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66A4" w14:textId="31916DBC" w:rsidR="00580D71" w:rsidRPr="000B3CA3" w:rsidRDefault="00814FFE" w:rsidP="00690D3E">
      <w:pPr>
        <w:pStyle w:val="AHPRADocumenttitle"/>
        <w:rPr>
          <w:lang w:val="en-US"/>
        </w:rPr>
      </w:pPr>
      <w:r w:rsidRPr="000B3CA3">
        <w:rPr>
          <w:lang w:val="en-US"/>
        </w:rPr>
        <w:t>Accreditation</w:t>
      </w:r>
      <w:r w:rsidR="007156CD" w:rsidRPr="000B3CA3">
        <w:rPr>
          <w:lang w:val="en-US"/>
        </w:rPr>
        <w:t xml:space="preserve"> </w:t>
      </w:r>
      <w:r w:rsidR="00580D71" w:rsidRPr="000B3CA3">
        <w:rPr>
          <w:lang w:val="en-US"/>
        </w:rPr>
        <w:t>C</w:t>
      </w:r>
      <w:r w:rsidR="004D16CA" w:rsidRPr="000B3CA3">
        <w:rPr>
          <w:lang w:val="en-US"/>
        </w:rPr>
        <w:t>ommittee</w:t>
      </w:r>
      <w:r w:rsidR="00690D3E" w:rsidRPr="000B3CA3">
        <w:rPr>
          <w:lang w:val="en-US"/>
        </w:rPr>
        <w:t xml:space="preserve"> </w:t>
      </w:r>
      <w:r w:rsidR="00580D71" w:rsidRPr="000B3CA3">
        <w:rPr>
          <w:lang w:val="en-US"/>
        </w:rPr>
        <w:t>A</w:t>
      </w:r>
      <w:r w:rsidR="004D16CA" w:rsidRPr="000B3CA3">
        <w:rPr>
          <w:lang w:val="en-US"/>
        </w:rPr>
        <w:t>nnual</w:t>
      </w:r>
      <w:r w:rsidR="00580D71" w:rsidRPr="000B3CA3">
        <w:rPr>
          <w:lang w:val="en-US"/>
        </w:rPr>
        <w:t xml:space="preserve"> R</w:t>
      </w:r>
      <w:r w:rsidR="004D16CA" w:rsidRPr="000B3CA3">
        <w:rPr>
          <w:lang w:val="en-US"/>
        </w:rPr>
        <w:t>eport</w:t>
      </w:r>
      <w:r w:rsidR="00110D20" w:rsidRPr="000B3CA3">
        <w:rPr>
          <w:lang w:val="en-US"/>
        </w:rPr>
        <w:t xml:space="preserve"> </w:t>
      </w:r>
      <w:r w:rsidR="005868F6" w:rsidRPr="000B3CA3">
        <w:rPr>
          <w:lang w:val="en-US"/>
        </w:rPr>
        <w:t>2021/22</w:t>
      </w:r>
    </w:p>
    <w:p w14:paraId="58484D69" w14:textId="77777777" w:rsidR="00690D3E" w:rsidRPr="000B3CA3" w:rsidRDefault="00445B9C" w:rsidP="00E61F90">
      <w:pPr>
        <w:pStyle w:val="NoSpacing"/>
        <w:rPr>
          <w:rFonts w:ascii="Arial" w:eastAsia="ヒラギノ角ゴ Pro W3" w:hAnsi="Arial"/>
          <w:color w:val="00ACE0"/>
          <w:sz w:val="32"/>
          <w:szCs w:val="20"/>
          <w:lang w:val="en-US"/>
        </w:rPr>
      </w:pPr>
      <w:r>
        <w:rPr>
          <w:rFonts w:ascii="Arial" w:eastAsia="ヒラギノ角ゴ Pro W3" w:hAnsi="Arial"/>
          <w:noProof/>
          <w:color w:val="00ACE0"/>
          <w:sz w:val="32"/>
          <w:szCs w:val="20"/>
          <w:lang w:val="en-US"/>
        </w:rPr>
        <w:pict w14:anchorId="2B5077EF">
          <v:shapetype id="_x0000_t32" coordsize="21600,21600" o:spt="32" o:oned="t" path="m,l21600,21600e" filled="f">
            <v:path arrowok="t" fillok="f" o:connecttype="none"/>
            <o:lock v:ext="edit" shapetype="t"/>
          </v:shapetype>
          <v:shape id="_x0000_s2050" type="#_x0000_t32" style="position:absolute;margin-left:-56.7pt;margin-top:9.9pt;width:399.7pt;height:0;z-index:251658240" o:connectortype="straight"/>
        </w:pict>
      </w:r>
    </w:p>
    <w:p w14:paraId="68CE98F2" w14:textId="77777777" w:rsidR="00580D71" w:rsidRPr="000B3CA3" w:rsidRDefault="00580D71" w:rsidP="00690D3E">
      <w:pPr>
        <w:pStyle w:val="AHPRADocumentsubheading"/>
      </w:pPr>
      <w:r w:rsidRPr="000B3CA3">
        <w:t>Chair</w:t>
      </w:r>
      <w:r w:rsidR="009D6955" w:rsidRPr="000B3CA3">
        <w:t>’</w:t>
      </w:r>
      <w:r w:rsidRPr="000B3CA3">
        <w:t xml:space="preserve">s </w:t>
      </w:r>
      <w:r w:rsidR="00690D3E" w:rsidRPr="000B3CA3">
        <w:t>i</w:t>
      </w:r>
      <w:r w:rsidRPr="000B3CA3">
        <w:t>ntroduction</w:t>
      </w:r>
      <w:r w:rsidR="009D6955" w:rsidRPr="000B3CA3">
        <w:t xml:space="preserve"> </w:t>
      </w:r>
    </w:p>
    <w:p w14:paraId="2244917E" w14:textId="067EC5DE" w:rsidR="00CA039E" w:rsidRPr="000B3CA3" w:rsidRDefault="00D526E9" w:rsidP="0038564F">
      <w:pPr>
        <w:pStyle w:val="AHPRAbody"/>
      </w:pPr>
      <w:r w:rsidRPr="000B3CA3">
        <w:t xml:space="preserve">In accordance with its Charter, the Accreditation Committee (the Committee) provides this annual report to the </w:t>
      </w:r>
      <w:r w:rsidR="00D903DA">
        <w:t>Ahpra Board</w:t>
      </w:r>
      <w:r w:rsidR="00A9174C">
        <w:t xml:space="preserve"> for its consideration</w:t>
      </w:r>
      <w:r w:rsidRPr="000B3CA3">
        <w:t xml:space="preserve"> and publication on the Ahpra website.</w:t>
      </w:r>
      <w:r w:rsidR="002416AB" w:rsidRPr="000B3CA3">
        <w:t xml:space="preserve"> This is the Committee’s first annual report </w:t>
      </w:r>
      <w:r w:rsidR="00CC3E26" w:rsidRPr="000B3CA3">
        <w:t xml:space="preserve">and covers its </w:t>
      </w:r>
      <w:r w:rsidR="009C7D41">
        <w:t>activity from its inaugural meeting in September 2021</w:t>
      </w:r>
      <w:r w:rsidR="00CC3E26" w:rsidRPr="000B3CA3">
        <w:t xml:space="preserve"> to 30 June 2022. </w:t>
      </w:r>
    </w:p>
    <w:p w14:paraId="0A0234AE" w14:textId="78ED6989" w:rsidR="00D526E9" w:rsidRPr="000B3CA3" w:rsidRDefault="001C2E01" w:rsidP="0038564F">
      <w:pPr>
        <w:pStyle w:val="AHPRAbody"/>
      </w:pPr>
      <w:r>
        <w:t xml:space="preserve">The Committee was established </w:t>
      </w:r>
      <w:r w:rsidR="00B84AD0">
        <w:t xml:space="preserve">following Policy Direction 2020-1 issued by </w:t>
      </w:r>
      <w:r w:rsidR="00B720DF">
        <w:t>the Ministerial Council</w:t>
      </w:r>
      <w:r w:rsidR="00A9174C">
        <w:t>. The Committee’s membership has been drawn from a broad range of accreditation stakeholders</w:t>
      </w:r>
      <w:r w:rsidR="009C7D41">
        <w:t>.</w:t>
      </w:r>
    </w:p>
    <w:p w14:paraId="6A4FE7F5" w14:textId="4615DAED" w:rsidR="00755E73" w:rsidRPr="000B3CA3" w:rsidRDefault="004501BB" w:rsidP="0038564F">
      <w:pPr>
        <w:pStyle w:val="AHPRAbody"/>
      </w:pPr>
      <w:r>
        <w:t>During its initial meetings, t</w:t>
      </w:r>
      <w:r w:rsidR="00A42906" w:rsidRPr="000B3CA3">
        <w:t>he Committee</w:t>
      </w:r>
      <w:r w:rsidR="0079033C" w:rsidRPr="000B3CA3">
        <w:t xml:space="preserve"> </w:t>
      </w:r>
      <w:r>
        <w:t>developed</w:t>
      </w:r>
      <w:r w:rsidR="00B104C5" w:rsidRPr="000B3CA3">
        <w:t xml:space="preserve"> a shared understanding </w:t>
      </w:r>
      <w:r w:rsidR="00F3678C">
        <w:t>of</w:t>
      </w:r>
      <w:r w:rsidR="00B104C5" w:rsidRPr="000B3CA3">
        <w:t xml:space="preserve"> </w:t>
      </w:r>
      <w:r>
        <w:t>its</w:t>
      </w:r>
      <w:r w:rsidR="00B104C5" w:rsidRPr="000B3CA3">
        <w:t xml:space="preserve"> purpose</w:t>
      </w:r>
      <w:r w:rsidR="008B2CCD" w:rsidRPr="000B3CA3">
        <w:t>,</w:t>
      </w:r>
      <w:r w:rsidR="00AD637A" w:rsidRPr="000B3CA3">
        <w:t xml:space="preserve"> </w:t>
      </w:r>
      <w:r w:rsidR="001220F4">
        <w:t>strengthened its understanding of</w:t>
      </w:r>
      <w:r w:rsidR="004B29C1" w:rsidRPr="000B3CA3">
        <w:t xml:space="preserve"> </w:t>
      </w:r>
      <w:r w:rsidR="00813073" w:rsidRPr="000B3CA3">
        <w:t>accreditation</w:t>
      </w:r>
      <w:r w:rsidR="004B29C1" w:rsidRPr="000B3CA3">
        <w:t xml:space="preserve"> in the National Scheme and </w:t>
      </w:r>
      <w:r w:rsidR="00A856A3">
        <w:t>confirmed</w:t>
      </w:r>
      <w:r w:rsidR="00C666E5">
        <w:t xml:space="preserve"> the</w:t>
      </w:r>
      <w:r w:rsidR="004B29C1" w:rsidRPr="000B3CA3">
        <w:t xml:space="preserve"> Committee’s alignment </w:t>
      </w:r>
      <w:r w:rsidR="00601736">
        <w:t xml:space="preserve">with </w:t>
      </w:r>
      <w:r w:rsidR="001D321C" w:rsidRPr="000B3CA3">
        <w:t xml:space="preserve">National Scheme objectives. Members </w:t>
      </w:r>
      <w:r w:rsidR="00C017CE" w:rsidRPr="000B3CA3">
        <w:t xml:space="preserve">agreed to its </w:t>
      </w:r>
      <w:r w:rsidR="00C017CE" w:rsidRPr="000B3CA3">
        <w:rPr>
          <w:i/>
          <w:iCs/>
        </w:rPr>
        <w:t>ways of working</w:t>
      </w:r>
      <w:r w:rsidR="00C017CE" w:rsidRPr="000B3CA3">
        <w:t>, which establishe</w:t>
      </w:r>
      <w:r w:rsidR="00C666E5">
        <w:t>s</w:t>
      </w:r>
      <w:r w:rsidR="00C017CE" w:rsidRPr="000B3CA3">
        <w:t xml:space="preserve"> shared expectations among</w:t>
      </w:r>
      <w:r w:rsidR="00601736">
        <w:t>st</w:t>
      </w:r>
      <w:r w:rsidR="00C017CE" w:rsidRPr="000B3CA3">
        <w:t xml:space="preserve"> members about key aspects of its operations, </w:t>
      </w:r>
      <w:r w:rsidR="00813073" w:rsidRPr="000B3CA3">
        <w:t xml:space="preserve">its </w:t>
      </w:r>
      <w:proofErr w:type="gramStart"/>
      <w:r w:rsidR="00813073" w:rsidRPr="000B3CA3">
        <w:t>values</w:t>
      </w:r>
      <w:proofErr w:type="gramEnd"/>
      <w:r w:rsidR="00813073" w:rsidRPr="000B3CA3">
        <w:t xml:space="preserve"> and relationships both within and external to the Committee.</w:t>
      </w:r>
      <w:r w:rsidR="00C12A78" w:rsidRPr="000B3CA3">
        <w:t xml:space="preserve"> Members also </w:t>
      </w:r>
      <w:r w:rsidR="00C72F9E" w:rsidRPr="000B3CA3">
        <w:t xml:space="preserve">affirmed their commitment to respectful, meaningful, </w:t>
      </w:r>
      <w:r w:rsidR="001652E4" w:rsidRPr="000B3CA3">
        <w:t>open,</w:t>
      </w:r>
      <w:r w:rsidR="00C72F9E" w:rsidRPr="000B3CA3">
        <w:t xml:space="preserve"> and inclusive engagement with stakeholders who have an interest in or are impacted by this work. </w:t>
      </w:r>
    </w:p>
    <w:p w14:paraId="4FC33BDA" w14:textId="107903B3" w:rsidR="00843E24" w:rsidRDefault="00755E73" w:rsidP="00794A35">
      <w:pPr>
        <w:pStyle w:val="AHPRAbody"/>
      </w:pPr>
      <w:r w:rsidRPr="000B3CA3">
        <w:t xml:space="preserve">These efforts and agreed commitments set the foundation for </w:t>
      </w:r>
      <w:r w:rsidR="00794A35" w:rsidRPr="000B3CA3">
        <w:t xml:space="preserve">the Committee’s </w:t>
      </w:r>
      <w:r w:rsidR="008D3F1D">
        <w:t>initial</w:t>
      </w:r>
      <w:r w:rsidR="00794A35" w:rsidRPr="000B3CA3">
        <w:t xml:space="preserve"> workplan</w:t>
      </w:r>
      <w:r w:rsidR="00D8157F" w:rsidRPr="000B3CA3">
        <w:t xml:space="preserve">, which it agreed in March 2022. </w:t>
      </w:r>
      <w:r w:rsidR="00BB39A9" w:rsidRPr="000B3CA3">
        <w:t xml:space="preserve">The areas of work outlined in </w:t>
      </w:r>
      <w:r w:rsidR="00506030">
        <w:t>this</w:t>
      </w:r>
      <w:r w:rsidR="00BB39A9" w:rsidRPr="000B3CA3">
        <w:t xml:space="preserve"> workplan </w:t>
      </w:r>
      <w:r w:rsidR="00A1681C" w:rsidRPr="000B3CA3">
        <w:t xml:space="preserve">reflect the issues referred by Health Ministers to the Committee </w:t>
      </w:r>
      <w:r w:rsidR="00A03E20">
        <w:t xml:space="preserve">with </w:t>
      </w:r>
      <w:r w:rsidR="00A1681C" w:rsidRPr="000B3CA3">
        <w:t xml:space="preserve">deliverables </w:t>
      </w:r>
      <w:r w:rsidR="00A03E20">
        <w:t>reflecting</w:t>
      </w:r>
      <w:r w:rsidR="00A1681C" w:rsidRPr="000B3CA3">
        <w:t xml:space="preserve"> Ministers’ response to the Accreditation Systems Review final report. </w:t>
      </w:r>
      <w:r w:rsidR="003A028D" w:rsidRPr="000B3CA3">
        <w:t>Members agreed it would be most effective to focus on a smaller range of deliverables, while continuing to monitor progress on work already underway across the National Scheme</w:t>
      </w:r>
      <w:r w:rsidR="00B950FE" w:rsidRPr="000B3CA3">
        <w:t xml:space="preserve"> through regular updates from relevant bodies. </w:t>
      </w:r>
    </w:p>
    <w:p w14:paraId="500B347B" w14:textId="534E7A84" w:rsidR="00A03E20" w:rsidRPr="000B3CA3" w:rsidRDefault="00BB5774" w:rsidP="00794A35">
      <w:pPr>
        <w:pStyle w:val="AHPRAbody"/>
      </w:pPr>
      <w:r>
        <w:t xml:space="preserve">The Committee will refresh its workplan at the end of 2022, to ensure that its efforts are focussed on and are continued to be aligned with priorities of the Scheme. </w:t>
      </w:r>
      <w:r w:rsidR="00A03E20">
        <w:t xml:space="preserve"> </w:t>
      </w:r>
    </w:p>
    <w:p w14:paraId="60A2382F" w14:textId="5A33EE7E" w:rsidR="00D20E8A" w:rsidRPr="000B3CA3" w:rsidRDefault="00AA3397" w:rsidP="0038564F">
      <w:pPr>
        <w:pStyle w:val="AHPRAbody"/>
      </w:pPr>
      <w:r w:rsidRPr="000B3CA3">
        <w:t xml:space="preserve">Thank you to Committee members and Ahpra staff members for their contribution to the Committee’s work. </w:t>
      </w:r>
    </w:p>
    <w:p w14:paraId="5E0026DB" w14:textId="564587F2" w:rsidR="003E1B93" w:rsidRPr="000B3CA3" w:rsidRDefault="005553D8" w:rsidP="00690D3E">
      <w:pPr>
        <w:pStyle w:val="AHPRAbody"/>
        <w:rPr>
          <w:b/>
          <w:color w:val="7030A0"/>
          <w:szCs w:val="20"/>
        </w:rPr>
      </w:pPr>
      <w:r w:rsidRPr="000B3CA3">
        <w:rPr>
          <w:b/>
          <w:szCs w:val="20"/>
        </w:rPr>
        <w:t>Professor Andrew Wilson</w:t>
      </w:r>
      <w:r w:rsidR="0085371A" w:rsidRPr="000B3CA3">
        <w:rPr>
          <w:b/>
          <w:szCs w:val="20"/>
        </w:rPr>
        <w:t xml:space="preserve"> </w:t>
      </w:r>
      <w:r w:rsidR="003E1B93" w:rsidRPr="000B3CA3">
        <w:rPr>
          <w:b/>
          <w:szCs w:val="20"/>
        </w:rPr>
        <w:t xml:space="preserve">– Chair, </w:t>
      </w:r>
      <w:r w:rsidRPr="000B3CA3">
        <w:rPr>
          <w:b/>
          <w:szCs w:val="20"/>
        </w:rPr>
        <w:t>Accreditation Committee</w:t>
      </w:r>
    </w:p>
    <w:p w14:paraId="2E14137A" w14:textId="77777777" w:rsidR="00BB5774" w:rsidRDefault="00BB5774">
      <w:pPr>
        <w:spacing w:after="0" w:line="240" w:lineRule="auto"/>
        <w:rPr>
          <w:rFonts w:eastAsia="Cambria"/>
          <w:b/>
          <w:color w:val="007DC3"/>
          <w:sz w:val="20"/>
          <w:szCs w:val="24"/>
          <w:lang w:val="en-US"/>
        </w:rPr>
      </w:pPr>
      <w:r>
        <w:rPr>
          <w:lang w:val="en-US"/>
        </w:rPr>
        <w:br w:type="page"/>
      </w:r>
    </w:p>
    <w:p w14:paraId="46DF9366" w14:textId="04BEFD9D" w:rsidR="00580D71" w:rsidRPr="000B3CA3" w:rsidRDefault="00580D71" w:rsidP="00690D3E">
      <w:pPr>
        <w:pStyle w:val="AHPRASubheading"/>
        <w:rPr>
          <w:lang w:val="en-US"/>
        </w:rPr>
      </w:pPr>
      <w:r w:rsidRPr="000B3CA3">
        <w:rPr>
          <w:lang w:val="en-US"/>
        </w:rPr>
        <w:lastRenderedPageBreak/>
        <w:t>Role of the Committee</w:t>
      </w:r>
    </w:p>
    <w:p w14:paraId="45B0FADD" w14:textId="3AC7F1A9" w:rsidR="00A303FF" w:rsidRPr="000B3CA3" w:rsidRDefault="00A303FF" w:rsidP="003B5B90">
      <w:pPr>
        <w:pStyle w:val="AHPRAbody"/>
      </w:pPr>
      <w:r w:rsidRPr="000B3CA3">
        <w:t>Consistent with the Ministerial Council Policy Direction 2020-1</w:t>
      </w:r>
      <w:r w:rsidR="0066560A" w:rsidRPr="000B3CA3">
        <w:t>, the Accreditation Committee provides independent and expert advice on accreditation reform and other National Scheme accreditation matters to National Scheme entities such as National Boards, Accreditation Authorities and Ahpra.</w:t>
      </w:r>
    </w:p>
    <w:p w14:paraId="238EA21C" w14:textId="1A8BC243" w:rsidR="0066560A" w:rsidRPr="000B3CA3" w:rsidRDefault="0066560A" w:rsidP="003B5B90">
      <w:pPr>
        <w:pStyle w:val="AHPRAbody"/>
      </w:pPr>
      <w:r w:rsidRPr="000B3CA3">
        <w:t xml:space="preserve">A copy of its workplan can be found on </w:t>
      </w:r>
      <w:r w:rsidR="003B5B90" w:rsidRPr="000B3CA3">
        <w:t>the Committee’s</w:t>
      </w:r>
      <w:r w:rsidRPr="000B3CA3">
        <w:t xml:space="preserve"> </w:t>
      </w:r>
      <w:hyperlink r:id="rId11" w:history="1">
        <w:r w:rsidRPr="000B3CA3">
          <w:rPr>
            <w:rStyle w:val="Hyperlink"/>
          </w:rPr>
          <w:t>webpage</w:t>
        </w:r>
      </w:hyperlink>
      <w:r w:rsidRPr="000B3CA3">
        <w:t>.</w:t>
      </w:r>
    </w:p>
    <w:p w14:paraId="235707F9" w14:textId="77777777" w:rsidR="00580D71" w:rsidRPr="000B3CA3" w:rsidRDefault="00BC297D" w:rsidP="00690D3E">
      <w:pPr>
        <w:pStyle w:val="AHPRASubheading"/>
        <w:rPr>
          <w:lang w:val="en-US"/>
        </w:rPr>
      </w:pPr>
      <w:r w:rsidRPr="000B3CA3">
        <w:rPr>
          <w:lang w:val="en-US"/>
        </w:rPr>
        <w:t xml:space="preserve">Functions </w:t>
      </w:r>
      <w:r w:rsidR="00580D71" w:rsidRPr="000B3CA3">
        <w:rPr>
          <w:lang w:val="en-US"/>
        </w:rPr>
        <w:t xml:space="preserve">and </w:t>
      </w:r>
      <w:r w:rsidR="000D4B27" w:rsidRPr="000B3CA3">
        <w:rPr>
          <w:lang w:val="en-US"/>
        </w:rPr>
        <w:t>r</w:t>
      </w:r>
      <w:r w:rsidR="00580D71" w:rsidRPr="000B3CA3">
        <w:rPr>
          <w:lang w:val="en-US"/>
        </w:rPr>
        <w:t>esponsibilities</w:t>
      </w:r>
      <w:r w:rsidR="00887697" w:rsidRPr="000B3CA3">
        <w:rPr>
          <w:lang w:val="en-US"/>
        </w:rPr>
        <w:t xml:space="preserve"> of the Committee</w:t>
      </w:r>
    </w:p>
    <w:p w14:paraId="0253C916" w14:textId="62567706" w:rsidR="000D4B27" w:rsidRPr="000B3CA3" w:rsidRDefault="003B5B90" w:rsidP="00F00519">
      <w:pPr>
        <w:pStyle w:val="AHPRAbody"/>
      </w:pPr>
      <w:r w:rsidRPr="000B3CA3">
        <w:t>The Committee’s function and responsibilities have included, but are not limited to</w:t>
      </w:r>
      <w:r w:rsidR="00F00519" w:rsidRPr="000B3CA3">
        <w:t>:</w:t>
      </w:r>
    </w:p>
    <w:p w14:paraId="52FEA55E" w14:textId="0BFBC3B9" w:rsidR="00F00519" w:rsidRPr="000B3CA3" w:rsidRDefault="00F00519" w:rsidP="00FF497E">
      <w:pPr>
        <w:pStyle w:val="AHPRABulletlevel1"/>
      </w:pPr>
      <w:r w:rsidRPr="000B3CA3">
        <w:t>preparing independent and expert advice on accreditation reform</w:t>
      </w:r>
      <w:r w:rsidR="007100E8" w:rsidRPr="000B3CA3">
        <w:t xml:space="preserve"> and other National Scheme accreditation matters to National Scheme entities</w:t>
      </w:r>
    </w:p>
    <w:p w14:paraId="54903598" w14:textId="708F4B02" w:rsidR="007100E8" w:rsidRPr="000B3CA3" w:rsidRDefault="007100E8" w:rsidP="00FF497E">
      <w:pPr>
        <w:pStyle w:val="AHPRABulletlevel1"/>
      </w:pPr>
      <w:r w:rsidRPr="000B3CA3">
        <w:t>support implementation of Health Ministers’ February 202</w:t>
      </w:r>
      <w:r w:rsidR="000C34BC" w:rsidRPr="000B3CA3">
        <w:t>0 response to the recommendations of the Independent Review of Accreditation Systems Final Report (ASR Final Report)</w:t>
      </w:r>
    </w:p>
    <w:p w14:paraId="443D9140" w14:textId="5297AEF5" w:rsidR="000C34BC" w:rsidRPr="000B3CA3" w:rsidRDefault="007B7D98" w:rsidP="00FF497E">
      <w:pPr>
        <w:pStyle w:val="AHPRABulletlevel1"/>
      </w:pPr>
      <w:r w:rsidRPr="000B3CA3">
        <w:t xml:space="preserve">provide a forum for advice on significant whole of </w:t>
      </w:r>
      <w:r w:rsidR="00B85A43">
        <w:t>S</w:t>
      </w:r>
      <w:r w:rsidRPr="000B3CA3">
        <w:t xml:space="preserve">cheme accreditation issues including governance, </w:t>
      </w:r>
      <w:proofErr w:type="gramStart"/>
      <w:r w:rsidRPr="000B3CA3">
        <w:t>accountability</w:t>
      </w:r>
      <w:proofErr w:type="gramEnd"/>
      <w:r w:rsidRPr="000B3CA3">
        <w:t xml:space="preserve"> and transparency issues, and</w:t>
      </w:r>
    </w:p>
    <w:p w14:paraId="784000CF" w14:textId="1033E9FC" w:rsidR="007B7D98" w:rsidRPr="000B3CA3" w:rsidRDefault="007B7D98" w:rsidP="00FF497E">
      <w:pPr>
        <w:pStyle w:val="AHPRABulletlevel1"/>
      </w:pPr>
      <w:r w:rsidRPr="000B3CA3">
        <w:t xml:space="preserve">provide jurisdictions and relevant stakeholders with information on how </w:t>
      </w:r>
      <w:r w:rsidR="00B85A43">
        <w:t>National Scheme</w:t>
      </w:r>
      <w:r w:rsidRPr="000B3CA3">
        <w:t xml:space="preserve"> entities and relevant external entities are taking the Committee’s advice into account.</w:t>
      </w:r>
    </w:p>
    <w:p w14:paraId="6355F99A" w14:textId="77777777" w:rsidR="00BC297D" w:rsidRPr="000B3CA3" w:rsidRDefault="000D4B27" w:rsidP="00690D3E">
      <w:pPr>
        <w:pStyle w:val="AHPRASubheading"/>
        <w:rPr>
          <w:lang w:val="en-US"/>
        </w:rPr>
      </w:pPr>
      <w:r w:rsidRPr="000B3CA3">
        <w:rPr>
          <w:lang w:val="en-US"/>
        </w:rPr>
        <w:t>P</w:t>
      </w:r>
      <w:r w:rsidR="00BC297D" w:rsidRPr="000B3CA3">
        <w:rPr>
          <w:lang w:val="en-US"/>
        </w:rPr>
        <w:t>owers of the Committee</w:t>
      </w:r>
    </w:p>
    <w:p w14:paraId="74557F84" w14:textId="42180360" w:rsidR="009B60D2" w:rsidRPr="000B3CA3" w:rsidRDefault="000D4B27" w:rsidP="000D4B27">
      <w:pPr>
        <w:pStyle w:val="AHPRAbody"/>
        <w:rPr>
          <w:rFonts w:cs="Times New Roman"/>
        </w:rPr>
      </w:pPr>
      <w:r w:rsidRPr="000B3CA3">
        <w:t>The Committee has no formal delegated power from the</w:t>
      </w:r>
      <w:r w:rsidR="00DF24F6">
        <w:t xml:space="preserve"> Ahpra</w:t>
      </w:r>
      <w:r w:rsidRPr="000B3CA3">
        <w:t xml:space="preserve"> Board. </w:t>
      </w:r>
      <w:r w:rsidR="00881D91" w:rsidRPr="000B3CA3">
        <w:t>The Policy Direction’s intent is that Ahpra, National Boards and Accreditation Authorities are accountable for having regard to the Committee’s advice when exer</w:t>
      </w:r>
      <w:r w:rsidR="00327799" w:rsidRPr="000B3CA3">
        <w:t xml:space="preserve">cising their functions under the National Law. </w:t>
      </w:r>
    </w:p>
    <w:p w14:paraId="0F09D222" w14:textId="5CE7AEBB" w:rsidR="00580D71" w:rsidRPr="000B3CA3" w:rsidRDefault="00580D71" w:rsidP="00690D3E">
      <w:pPr>
        <w:pStyle w:val="AHPRASubheading"/>
        <w:rPr>
          <w:lang w:val="en-US"/>
        </w:rPr>
      </w:pPr>
      <w:r w:rsidRPr="000B3CA3">
        <w:rPr>
          <w:lang w:val="en-US"/>
        </w:rPr>
        <w:t>Membership</w:t>
      </w:r>
    </w:p>
    <w:p w14:paraId="06CF1A7A" w14:textId="273E757E" w:rsidR="00580D71" w:rsidRPr="000B3CA3" w:rsidRDefault="00580D71" w:rsidP="00690D3E">
      <w:pPr>
        <w:pStyle w:val="AHPRAbody"/>
      </w:pPr>
      <w:r w:rsidRPr="000B3CA3">
        <w:t>Membership is appointed by th</w:t>
      </w:r>
      <w:r w:rsidR="002109D9">
        <w:t>e Ahpra Board</w:t>
      </w:r>
      <w:r w:rsidR="00CE3AC2" w:rsidRPr="000B3CA3">
        <w:t xml:space="preserve"> </w:t>
      </w:r>
      <w:r w:rsidRPr="000B3CA3">
        <w:t>and consists of</w:t>
      </w:r>
      <w:r w:rsidR="00691DE2" w:rsidRPr="000B3CA3">
        <w:t>:</w:t>
      </w:r>
    </w:p>
    <w:p w14:paraId="521531F1" w14:textId="633AFDDF" w:rsidR="00327799" w:rsidRPr="000B3CA3" w:rsidRDefault="00327799" w:rsidP="00327799">
      <w:pPr>
        <w:pStyle w:val="AHPRABulletlevel1"/>
      </w:pPr>
      <w:bookmarkStart w:id="0" w:name="_Hlk55904028"/>
      <w:r w:rsidRPr="000B3CA3">
        <w:t>an external accreditation/education expert</w:t>
      </w:r>
    </w:p>
    <w:p w14:paraId="692A3F15" w14:textId="6E86734A" w:rsidR="00327799" w:rsidRPr="000B3CA3" w:rsidRDefault="00327799" w:rsidP="00327799">
      <w:pPr>
        <w:pStyle w:val="AHPRABulletlevel1"/>
      </w:pPr>
      <w:r w:rsidRPr="000B3CA3">
        <w:t>nominee of the Australian Commission on Safety and Quality in Healthcare</w:t>
      </w:r>
    </w:p>
    <w:p w14:paraId="3701CB81" w14:textId="5262DDD9" w:rsidR="00327799" w:rsidRPr="000B3CA3" w:rsidRDefault="00327799" w:rsidP="00327799">
      <w:pPr>
        <w:pStyle w:val="AHPRABulletlevel1"/>
      </w:pPr>
      <w:r w:rsidRPr="000B3CA3">
        <w:t>nomine</w:t>
      </w:r>
      <w:r w:rsidR="00A5569F" w:rsidRPr="000B3CA3">
        <w:t>e</w:t>
      </w:r>
      <w:r w:rsidRPr="000B3CA3">
        <w:t xml:space="preserve"> of the Tertiary Education Quality and Standards Agency</w:t>
      </w:r>
    </w:p>
    <w:p w14:paraId="0FCE1055" w14:textId="71399D24" w:rsidR="00327799" w:rsidRPr="000B3CA3" w:rsidRDefault="00327799" w:rsidP="00327799">
      <w:pPr>
        <w:pStyle w:val="AHPRABulletlevel1"/>
      </w:pPr>
      <w:r w:rsidRPr="000B3CA3">
        <w:t>nominee of Universities Australia</w:t>
      </w:r>
    </w:p>
    <w:p w14:paraId="4A4E6091" w14:textId="1B5E17E3" w:rsidR="00E264DE" w:rsidRPr="000B3CA3" w:rsidRDefault="00E264DE" w:rsidP="00327799">
      <w:pPr>
        <w:pStyle w:val="AHPRABulletlevel1"/>
      </w:pPr>
      <w:r w:rsidRPr="000B3CA3">
        <w:t>two nominees of the Health Professions Accreditation Collaborative Forum</w:t>
      </w:r>
    </w:p>
    <w:p w14:paraId="197FDD9F" w14:textId="0E9F6D9C" w:rsidR="00E264DE" w:rsidRPr="000B3CA3" w:rsidRDefault="00E264DE" w:rsidP="00E264DE">
      <w:pPr>
        <w:pStyle w:val="AHPRABulletlevel1"/>
      </w:pPr>
      <w:r w:rsidRPr="000B3CA3">
        <w:t>two members of the Board</w:t>
      </w:r>
    </w:p>
    <w:p w14:paraId="153CC0A2" w14:textId="7494A238" w:rsidR="00E264DE" w:rsidRPr="000B3CA3" w:rsidRDefault="00E264DE" w:rsidP="00E264DE">
      <w:pPr>
        <w:pStyle w:val="AHPRABulletlevel1"/>
      </w:pPr>
      <w:r w:rsidRPr="000B3CA3">
        <w:t>two National Board representatives</w:t>
      </w:r>
    </w:p>
    <w:p w14:paraId="05203D6D" w14:textId="68444DD8" w:rsidR="00E264DE" w:rsidRPr="000B3CA3" w:rsidRDefault="00E264DE" w:rsidP="00E264DE">
      <w:pPr>
        <w:pStyle w:val="AHPRABulletlevel1"/>
      </w:pPr>
      <w:r w:rsidRPr="000B3CA3">
        <w:t>jurisdictional representative</w:t>
      </w:r>
    </w:p>
    <w:p w14:paraId="1F6B5187" w14:textId="36A297AF" w:rsidR="00E264DE" w:rsidRPr="000B3CA3" w:rsidRDefault="00E264DE" w:rsidP="00E264DE">
      <w:pPr>
        <w:pStyle w:val="AHPRABulletlevel1"/>
      </w:pPr>
      <w:r w:rsidRPr="000B3CA3">
        <w:t xml:space="preserve">private </w:t>
      </w:r>
      <w:r w:rsidR="00952E55" w:rsidRPr="000B3CA3">
        <w:t>healthcare employer</w:t>
      </w:r>
    </w:p>
    <w:p w14:paraId="16A1E6A0" w14:textId="12A08C4E" w:rsidR="00952E55" w:rsidRPr="000B3CA3" w:rsidRDefault="00787A01" w:rsidP="00E264DE">
      <w:pPr>
        <w:pStyle w:val="AHPRABulletlevel1"/>
      </w:pPr>
      <w:r w:rsidRPr="000B3CA3">
        <w:t>consumer/community representative</w:t>
      </w:r>
    </w:p>
    <w:p w14:paraId="44F02DF9" w14:textId="4D612433" w:rsidR="00787A01" w:rsidRPr="000B3CA3" w:rsidRDefault="00787A01" w:rsidP="00DC013A">
      <w:pPr>
        <w:pStyle w:val="AHPRABulletlevel1last"/>
        <w:ind w:left="360"/>
      </w:pPr>
      <w:r w:rsidRPr="000B3CA3">
        <w:t>a member who identifies as Aboriginal and/or Torres Strait Islander</w:t>
      </w:r>
    </w:p>
    <w:bookmarkEnd w:id="0"/>
    <w:p w14:paraId="5BB56CD1" w14:textId="54BED8A4" w:rsidR="00D402A6" w:rsidRDefault="00543947" w:rsidP="00D402A6">
      <w:pPr>
        <w:pStyle w:val="AHPRAbody"/>
      </w:pPr>
      <w:r w:rsidRPr="000B3CA3">
        <w:lastRenderedPageBreak/>
        <w:t>As mandated in the Committee charter,</w:t>
      </w:r>
      <w:r w:rsidR="0008520A" w:rsidRPr="000B3CA3">
        <w:t xml:space="preserve"> the Chair of the </w:t>
      </w:r>
      <w:r w:rsidR="002109D9">
        <w:t>Committee</w:t>
      </w:r>
      <w:r w:rsidR="0008520A" w:rsidRPr="000B3CA3">
        <w:t xml:space="preserve"> (Professor Andrew Wilson) is independent (that is not a member of the Board; an office bearer, </w:t>
      </w:r>
      <w:proofErr w:type="gramStart"/>
      <w:r w:rsidR="000C28D3" w:rsidRPr="000B3CA3">
        <w:t>employee</w:t>
      </w:r>
      <w:proofErr w:type="gramEnd"/>
      <w:r w:rsidR="000C28D3" w:rsidRPr="000B3CA3">
        <w:t xml:space="preserve"> or agent of any nominating body; or an office bearer, employee or agent of any National Board, Accreditation Authority or Ahpra).</w:t>
      </w:r>
    </w:p>
    <w:p w14:paraId="3889EEEF" w14:textId="1C8BC336" w:rsidR="00D402A6" w:rsidRPr="00D402A6" w:rsidRDefault="00D402A6" w:rsidP="00D402A6">
      <w:pPr>
        <w:pStyle w:val="AHPRAbody"/>
      </w:pPr>
      <w:r>
        <w:t xml:space="preserve">In March 2022, the Committee exercised </w:t>
      </w:r>
      <w:r w:rsidR="007D22CF">
        <w:t>the option to appoint a Deputy Chair</w:t>
      </w:r>
      <w:r w:rsidR="0024028B">
        <w:t>, noting that appointment to the position must ensure a similar type of independence as the Chair. Professor Maree O’Keefe</w:t>
      </w:r>
      <w:r w:rsidR="00BA7852">
        <w:t xml:space="preserve"> was appointed as Deputy Chair. </w:t>
      </w:r>
    </w:p>
    <w:p w14:paraId="20A195A8" w14:textId="2B62AEF0" w:rsidR="009B60D2" w:rsidRPr="000B3CA3" w:rsidRDefault="009B60D2" w:rsidP="00690D3E">
      <w:pPr>
        <w:pStyle w:val="AHPRAbody"/>
      </w:pPr>
      <w:r w:rsidRPr="000B3CA3">
        <w:t xml:space="preserve">In addition, meetings </w:t>
      </w:r>
      <w:r w:rsidR="00C455E7">
        <w:t>are</w:t>
      </w:r>
      <w:r w:rsidRPr="000B3CA3">
        <w:t xml:space="preserve"> attended by:</w:t>
      </w:r>
    </w:p>
    <w:p w14:paraId="2DF5D366" w14:textId="639A97B3" w:rsidR="00691DE2" w:rsidRPr="000B3CA3" w:rsidRDefault="00691DE2" w:rsidP="005E3717">
      <w:pPr>
        <w:pStyle w:val="AHPRABulletlevel1"/>
      </w:pPr>
      <w:r w:rsidRPr="000B3CA3">
        <w:t>A</w:t>
      </w:r>
      <w:r w:rsidR="000D4B27" w:rsidRPr="000B3CA3">
        <w:t xml:space="preserve">hpra </w:t>
      </w:r>
      <w:r w:rsidRPr="000B3CA3">
        <w:t>C</w:t>
      </w:r>
      <w:r w:rsidR="002E653D" w:rsidRPr="000B3CA3">
        <w:t xml:space="preserve">hief </w:t>
      </w:r>
      <w:r w:rsidRPr="000B3CA3">
        <w:t>E</w:t>
      </w:r>
      <w:r w:rsidR="002E653D" w:rsidRPr="000B3CA3">
        <w:t xml:space="preserve">xecutive </w:t>
      </w:r>
      <w:r w:rsidRPr="000B3CA3">
        <w:t>O</w:t>
      </w:r>
      <w:r w:rsidR="002E653D" w:rsidRPr="000B3CA3">
        <w:t>fficer</w:t>
      </w:r>
    </w:p>
    <w:p w14:paraId="71829EF0" w14:textId="3CBA9222" w:rsidR="00DD26B5" w:rsidRPr="000B3CA3" w:rsidRDefault="005A49A9" w:rsidP="00DD26B5">
      <w:pPr>
        <w:pStyle w:val="AHPRABulletlevel1"/>
      </w:pPr>
      <w:r w:rsidRPr="000B3CA3">
        <w:t>Ahpra Executive Director, Strategy and Policy</w:t>
      </w:r>
    </w:p>
    <w:p w14:paraId="5C84EF9A" w14:textId="77436BE3" w:rsidR="005E3717" w:rsidRPr="000B3CA3" w:rsidRDefault="005E3717" w:rsidP="00DD26B5">
      <w:pPr>
        <w:pStyle w:val="AHPRABulletlevel1"/>
      </w:pPr>
      <w:r w:rsidRPr="000B3CA3">
        <w:t xml:space="preserve">Ahpra National Director, </w:t>
      </w:r>
      <w:proofErr w:type="gramStart"/>
      <w:r w:rsidRPr="000B3CA3">
        <w:t>Policy</w:t>
      </w:r>
      <w:proofErr w:type="gramEnd"/>
      <w:r w:rsidRPr="000B3CA3">
        <w:t xml:space="preserve"> and Accreditation</w:t>
      </w:r>
    </w:p>
    <w:p w14:paraId="4ABBAEEB" w14:textId="53C6C12D" w:rsidR="00EC0B30" w:rsidRPr="000B3CA3" w:rsidRDefault="009B60D2" w:rsidP="009D477B">
      <w:pPr>
        <w:pStyle w:val="AHPRABulletlevel1last"/>
        <w:ind w:left="369" w:hanging="369"/>
      </w:pPr>
      <w:r w:rsidRPr="000B3CA3">
        <w:t>A</w:t>
      </w:r>
      <w:r w:rsidR="000D4B27" w:rsidRPr="000B3CA3">
        <w:t xml:space="preserve">hpra </w:t>
      </w:r>
      <w:r w:rsidR="005E3717" w:rsidRPr="000B3CA3">
        <w:t>Secretariat</w:t>
      </w:r>
    </w:p>
    <w:p w14:paraId="05F7C75B" w14:textId="77777777" w:rsidR="00AF432D" w:rsidRDefault="00AF432D">
      <w:pPr>
        <w:spacing w:after="0" w:line="240" w:lineRule="auto"/>
        <w:rPr>
          <w:rFonts w:eastAsia="Cambria"/>
          <w:b/>
          <w:bCs/>
          <w:sz w:val="20"/>
          <w:szCs w:val="24"/>
        </w:rPr>
      </w:pPr>
      <w:r>
        <w:rPr>
          <w:b/>
          <w:bCs/>
        </w:rPr>
        <w:br w:type="page"/>
      </w:r>
    </w:p>
    <w:p w14:paraId="02014C15" w14:textId="7F4144C2" w:rsidR="001C10FE" w:rsidRPr="001F341F" w:rsidRDefault="00FF1A56" w:rsidP="00690D3E">
      <w:pPr>
        <w:pStyle w:val="AHPRASubheadinglevel3"/>
        <w:rPr>
          <w:b/>
          <w:bCs/>
          <w:color w:val="auto"/>
        </w:rPr>
      </w:pPr>
      <w:r w:rsidRPr="001F341F">
        <w:rPr>
          <w:b/>
          <w:bCs/>
          <w:color w:val="auto"/>
        </w:rPr>
        <w:lastRenderedPageBreak/>
        <w:t>Committee members</w:t>
      </w:r>
    </w:p>
    <w:tbl>
      <w:tblPr>
        <w:tblStyle w:val="MediumGrid3-Accent3"/>
        <w:tblW w:w="9923" w:type="dxa"/>
        <w:tblInd w:w="108" w:type="dxa"/>
        <w:tblLook w:val="0620" w:firstRow="1" w:lastRow="0" w:firstColumn="0" w:lastColumn="0" w:noHBand="1" w:noVBand="1"/>
      </w:tblPr>
      <w:tblGrid>
        <w:gridCol w:w="3686"/>
        <w:gridCol w:w="6237"/>
      </w:tblGrid>
      <w:tr w:rsidR="00580D71" w:rsidRPr="000B3CA3" w14:paraId="56FEAEFF" w14:textId="77777777" w:rsidTr="001F341F">
        <w:trPr>
          <w:cnfStyle w:val="100000000000" w:firstRow="1" w:lastRow="0" w:firstColumn="0" w:lastColumn="0" w:oddVBand="0" w:evenVBand="0" w:oddHBand="0" w:evenHBand="0" w:firstRowFirstColumn="0" w:firstRowLastColumn="0" w:lastRowFirstColumn="0" w:lastRowLastColumn="0"/>
        </w:trPr>
        <w:tc>
          <w:tcPr>
            <w:tcW w:w="3686" w:type="dxa"/>
            <w:tcBorders>
              <w:top w:val="inset" w:sz="6" w:space="0" w:color="auto"/>
              <w:left w:val="outset" w:sz="6" w:space="0" w:color="auto"/>
              <w:bottom w:val="single" w:sz="6" w:space="0" w:color="FFFFFF" w:themeColor="background1"/>
            </w:tcBorders>
            <w:shd w:val="clear" w:color="auto" w:fill="007DC3"/>
            <w:vAlign w:val="center"/>
          </w:tcPr>
          <w:p w14:paraId="06D068D2" w14:textId="77777777" w:rsidR="00580D71" w:rsidRPr="000B3CA3" w:rsidRDefault="00580D71" w:rsidP="001F341F">
            <w:pPr>
              <w:spacing w:after="120" w:line="240" w:lineRule="auto"/>
              <w:contextualSpacing/>
              <w:rPr>
                <w:rFonts w:cs="Arial"/>
                <w:sz w:val="20"/>
                <w:szCs w:val="20"/>
              </w:rPr>
            </w:pPr>
            <w:r w:rsidRPr="000B3CA3">
              <w:rPr>
                <w:rFonts w:cs="Arial"/>
                <w:sz w:val="20"/>
                <w:szCs w:val="20"/>
              </w:rPr>
              <w:t>Name</w:t>
            </w:r>
          </w:p>
        </w:tc>
        <w:tc>
          <w:tcPr>
            <w:tcW w:w="6237" w:type="dxa"/>
            <w:tcBorders>
              <w:top w:val="inset" w:sz="6" w:space="0" w:color="auto"/>
              <w:bottom w:val="single" w:sz="6" w:space="0" w:color="FFFFFF" w:themeColor="background1"/>
              <w:right w:val="outset" w:sz="6" w:space="0" w:color="auto"/>
            </w:tcBorders>
            <w:shd w:val="clear" w:color="auto" w:fill="007DC3"/>
            <w:vAlign w:val="center"/>
          </w:tcPr>
          <w:p w14:paraId="0451F3B2" w14:textId="14580D68" w:rsidR="00580D71" w:rsidRPr="000B3CA3" w:rsidRDefault="00580D71" w:rsidP="001F341F">
            <w:pPr>
              <w:spacing w:before="120" w:after="120" w:line="240" w:lineRule="auto"/>
              <w:contextualSpacing/>
              <w:rPr>
                <w:rFonts w:cs="Arial"/>
                <w:sz w:val="20"/>
                <w:szCs w:val="20"/>
              </w:rPr>
            </w:pPr>
            <w:r w:rsidRPr="000B3CA3">
              <w:rPr>
                <w:rFonts w:cs="Arial"/>
                <w:sz w:val="20"/>
                <w:szCs w:val="20"/>
              </w:rPr>
              <w:t>Membership</w:t>
            </w:r>
            <w:r w:rsidR="00B06925" w:rsidRPr="000B3CA3">
              <w:rPr>
                <w:rFonts w:cs="Arial"/>
                <w:sz w:val="20"/>
                <w:szCs w:val="20"/>
              </w:rPr>
              <w:t xml:space="preserve"> s</w:t>
            </w:r>
            <w:r w:rsidRPr="000B3CA3">
              <w:rPr>
                <w:rFonts w:cs="Arial"/>
                <w:sz w:val="20"/>
                <w:szCs w:val="20"/>
              </w:rPr>
              <w:t>tatus</w:t>
            </w:r>
            <w:r w:rsidR="004E7AED" w:rsidRPr="000B3CA3">
              <w:rPr>
                <w:rFonts w:cs="Arial"/>
                <w:sz w:val="20"/>
                <w:szCs w:val="20"/>
              </w:rPr>
              <w:t xml:space="preserve"> </w:t>
            </w:r>
            <w:r w:rsidR="00B06925" w:rsidRPr="000B3CA3">
              <w:rPr>
                <w:rFonts w:cs="Arial"/>
                <w:sz w:val="20"/>
                <w:szCs w:val="20"/>
              </w:rPr>
              <w:t>during</w:t>
            </w:r>
            <w:r w:rsidR="004E7AED" w:rsidRPr="000B3CA3">
              <w:rPr>
                <w:rFonts w:cs="Arial"/>
                <w:sz w:val="20"/>
                <w:szCs w:val="20"/>
              </w:rPr>
              <w:t xml:space="preserve"> 20</w:t>
            </w:r>
            <w:r w:rsidR="0001480B" w:rsidRPr="000B3CA3">
              <w:rPr>
                <w:rFonts w:cs="Arial"/>
                <w:sz w:val="20"/>
                <w:szCs w:val="20"/>
              </w:rPr>
              <w:t>2</w:t>
            </w:r>
            <w:r w:rsidR="005868F6" w:rsidRPr="000B3CA3">
              <w:rPr>
                <w:rFonts w:cs="Arial"/>
                <w:sz w:val="20"/>
                <w:szCs w:val="20"/>
              </w:rPr>
              <w:t>1/22</w:t>
            </w:r>
          </w:p>
        </w:tc>
      </w:tr>
      <w:tr w:rsidR="00B63814" w:rsidRPr="000B3CA3" w14:paraId="784A568D"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038C5831" w14:textId="0A23CDED" w:rsidR="00B63814" w:rsidRPr="000B3CA3" w:rsidRDefault="00D906A4" w:rsidP="001F341F">
            <w:pPr>
              <w:pStyle w:val="AHPRAbody"/>
              <w:spacing w:after="120"/>
              <w:rPr>
                <w:sz w:val="18"/>
                <w:szCs w:val="18"/>
              </w:rPr>
            </w:pPr>
            <w:r w:rsidRPr="000B3CA3">
              <w:rPr>
                <w:sz w:val="18"/>
                <w:szCs w:val="18"/>
              </w:rPr>
              <w:t>Professor Andrew Wilson</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3A1FFD6F" w14:textId="32CF7A73" w:rsidR="00B63814" w:rsidRPr="000B3CA3" w:rsidRDefault="00D906A4" w:rsidP="001F341F">
            <w:pPr>
              <w:pStyle w:val="AHPRAbody"/>
              <w:spacing w:after="120"/>
              <w:rPr>
                <w:sz w:val="18"/>
                <w:szCs w:val="18"/>
              </w:rPr>
            </w:pPr>
            <w:r w:rsidRPr="000B3CA3">
              <w:rPr>
                <w:sz w:val="18"/>
                <w:szCs w:val="18"/>
              </w:rPr>
              <w:t>Independent Chair</w:t>
            </w:r>
          </w:p>
        </w:tc>
      </w:tr>
      <w:tr w:rsidR="00C93DBB" w:rsidRPr="000B3CA3" w14:paraId="28CF8D25"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6381E113" w14:textId="1EC26593" w:rsidR="00C93DBB" w:rsidRPr="000B3CA3" w:rsidRDefault="00C93DBB" w:rsidP="00C93DBB">
            <w:pPr>
              <w:pStyle w:val="AHPRAbody"/>
              <w:spacing w:after="120"/>
              <w:rPr>
                <w:sz w:val="18"/>
                <w:szCs w:val="18"/>
              </w:rPr>
            </w:pPr>
            <w:r w:rsidRPr="000B3CA3">
              <w:rPr>
                <w:sz w:val="18"/>
                <w:szCs w:val="18"/>
              </w:rPr>
              <w:t>Professor Maree O’Keefe</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5DE81ADE" w14:textId="77777777" w:rsidR="00C93DBB" w:rsidRDefault="00C93DBB" w:rsidP="00C93DBB">
            <w:pPr>
              <w:pStyle w:val="AHPRAbody"/>
              <w:spacing w:after="0"/>
              <w:rPr>
                <w:sz w:val="18"/>
                <w:szCs w:val="18"/>
              </w:rPr>
            </w:pPr>
            <w:r w:rsidRPr="000B3CA3">
              <w:rPr>
                <w:sz w:val="18"/>
                <w:szCs w:val="18"/>
              </w:rPr>
              <w:t>Deputy Chair from March 2022</w:t>
            </w:r>
          </w:p>
          <w:p w14:paraId="08A47956" w14:textId="288BE50C" w:rsidR="00C93DBB" w:rsidRPr="000B3CA3" w:rsidRDefault="00C93DBB" w:rsidP="00C93DBB">
            <w:pPr>
              <w:pStyle w:val="AHPRAbody"/>
              <w:spacing w:after="120"/>
              <w:rPr>
                <w:sz w:val="18"/>
                <w:szCs w:val="18"/>
              </w:rPr>
            </w:pPr>
            <w:r w:rsidRPr="000B3CA3">
              <w:rPr>
                <w:sz w:val="18"/>
                <w:szCs w:val="18"/>
              </w:rPr>
              <w:t>Accreditation / education expert</w:t>
            </w:r>
          </w:p>
        </w:tc>
      </w:tr>
      <w:tr w:rsidR="00C93DBB" w:rsidRPr="000B3CA3" w14:paraId="7793FA69"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64F9E9B2" w14:textId="3EFE94DC" w:rsidR="00C93DBB" w:rsidRPr="000B3CA3" w:rsidRDefault="00C93DBB" w:rsidP="00C93DBB">
            <w:pPr>
              <w:pStyle w:val="AHPRAbody"/>
              <w:spacing w:after="120"/>
              <w:rPr>
                <w:sz w:val="18"/>
                <w:szCs w:val="18"/>
              </w:rPr>
            </w:pPr>
            <w:r w:rsidRPr="000B3CA3">
              <w:rPr>
                <w:sz w:val="18"/>
                <w:szCs w:val="18"/>
              </w:rPr>
              <w:t>Ms Alison Barnes</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28731F2" w14:textId="47A197B5" w:rsidR="00C93DBB" w:rsidRPr="000B3CA3" w:rsidRDefault="00C93DBB" w:rsidP="00C93DBB">
            <w:pPr>
              <w:pStyle w:val="AHPRAbody"/>
              <w:spacing w:after="120"/>
              <w:rPr>
                <w:sz w:val="18"/>
                <w:szCs w:val="18"/>
              </w:rPr>
            </w:pPr>
            <w:r w:rsidRPr="000B3CA3">
              <w:rPr>
                <w:sz w:val="18"/>
                <w:szCs w:val="18"/>
              </w:rPr>
              <w:t>Nominee of the National Scheme Aboriginal and Torres Strait Islander Health Strategy Group</w:t>
            </w:r>
          </w:p>
        </w:tc>
      </w:tr>
      <w:tr w:rsidR="00C93DBB" w:rsidRPr="000B3CA3" w14:paraId="641B6DA0"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75DAF39E" w14:textId="01124FCB" w:rsidR="00C93DBB" w:rsidRPr="000B3CA3" w:rsidRDefault="00C93DBB" w:rsidP="00C93DBB">
            <w:pPr>
              <w:pStyle w:val="AHPRAbody"/>
              <w:spacing w:after="120"/>
              <w:rPr>
                <w:sz w:val="18"/>
                <w:szCs w:val="18"/>
              </w:rPr>
            </w:pPr>
            <w:r w:rsidRPr="000B3CA3">
              <w:rPr>
                <w:sz w:val="18"/>
                <w:szCs w:val="18"/>
              </w:rPr>
              <w:t>Dr Heather Buchan</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BC0F247" w14:textId="368BC5DC" w:rsidR="00C93DBB" w:rsidRPr="000B3CA3" w:rsidRDefault="00C93DBB" w:rsidP="00C93DBB">
            <w:pPr>
              <w:pStyle w:val="AHPRAbody"/>
              <w:spacing w:after="120"/>
              <w:rPr>
                <w:sz w:val="18"/>
                <w:szCs w:val="18"/>
              </w:rPr>
            </w:pPr>
            <w:r w:rsidRPr="000B3CA3">
              <w:rPr>
                <w:sz w:val="18"/>
                <w:szCs w:val="18"/>
              </w:rPr>
              <w:t>Australian Commission on Safety and Quality in Health Care</w:t>
            </w:r>
          </w:p>
        </w:tc>
      </w:tr>
      <w:tr w:rsidR="00C93DBB" w:rsidRPr="000B3CA3" w14:paraId="63879DDD"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2C524BE1" w14:textId="2B325BB8" w:rsidR="00C93DBB" w:rsidRPr="000B3CA3" w:rsidRDefault="00C93DBB" w:rsidP="00C93DBB">
            <w:pPr>
              <w:pStyle w:val="AHPRAbody"/>
              <w:spacing w:after="120"/>
              <w:rPr>
                <w:sz w:val="18"/>
                <w:szCs w:val="18"/>
              </w:rPr>
            </w:pPr>
            <w:r w:rsidRPr="000B3CA3">
              <w:rPr>
                <w:sz w:val="18"/>
                <w:szCs w:val="18"/>
              </w:rPr>
              <w:t>Adjunct Professor Veronica Casey AM</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C35B5AD" w14:textId="45F57C22" w:rsidR="00C93DBB" w:rsidRPr="000B3CA3" w:rsidRDefault="00C93DBB" w:rsidP="00C93DBB">
            <w:pPr>
              <w:pStyle w:val="AHPRAbody"/>
              <w:spacing w:after="120"/>
              <w:rPr>
                <w:sz w:val="18"/>
                <w:szCs w:val="18"/>
              </w:rPr>
            </w:pPr>
            <w:r w:rsidRPr="000B3CA3">
              <w:rPr>
                <w:sz w:val="18"/>
                <w:szCs w:val="18"/>
              </w:rPr>
              <w:t>National Boards representative</w:t>
            </w:r>
          </w:p>
        </w:tc>
      </w:tr>
      <w:tr w:rsidR="00C93DBB" w:rsidRPr="000B3CA3" w14:paraId="2FF8069E"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7E6787F2" w14:textId="07C6D514" w:rsidR="00C93DBB" w:rsidRPr="000B3CA3" w:rsidRDefault="00C93DBB" w:rsidP="00C93DBB">
            <w:pPr>
              <w:pStyle w:val="AHPRAbody"/>
              <w:spacing w:after="120"/>
              <w:rPr>
                <w:sz w:val="18"/>
                <w:szCs w:val="18"/>
              </w:rPr>
            </w:pPr>
            <w:r w:rsidRPr="000B3CA3">
              <w:rPr>
                <w:sz w:val="18"/>
                <w:szCs w:val="18"/>
              </w:rPr>
              <w:t>Ms Deborah Frew</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4D73ACF" w14:textId="71E918C2" w:rsidR="00C93DBB" w:rsidRPr="000B3CA3" w:rsidRDefault="00C93DBB" w:rsidP="00C93DBB">
            <w:pPr>
              <w:pStyle w:val="AHPRAbody"/>
              <w:spacing w:after="120"/>
              <w:rPr>
                <w:sz w:val="18"/>
                <w:szCs w:val="18"/>
              </w:rPr>
            </w:pPr>
            <w:r w:rsidRPr="000B3CA3">
              <w:rPr>
                <w:sz w:val="18"/>
                <w:szCs w:val="18"/>
              </w:rPr>
              <w:t>Jurisdictional representative</w:t>
            </w:r>
          </w:p>
        </w:tc>
      </w:tr>
      <w:tr w:rsidR="00C93DBB" w:rsidRPr="000B3CA3" w14:paraId="2CC0B852"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36CFB31" w14:textId="1667C909" w:rsidR="00C93DBB" w:rsidRPr="000B3CA3" w:rsidRDefault="00C93DBB" w:rsidP="00C93DBB">
            <w:pPr>
              <w:pStyle w:val="AHPRAbody"/>
              <w:spacing w:after="120"/>
              <w:rPr>
                <w:sz w:val="18"/>
                <w:szCs w:val="18"/>
              </w:rPr>
            </w:pPr>
            <w:r w:rsidRPr="000B3CA3">
              <w:rPr>
                <w:sz w:val="18"/>
                <w:szCs w:val="18"/>
              </w:rPr>
              <w:t>Dr Helen Gniel</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16ED6823" w14:textId="269809CE" w:rsidR="00C93DBB" w:rsidRPr="000B3CA3" w:rsidRDefault="00C93DBB" w:rsidP="00C93DBB">
            <w:pPr>
              <w:pStyle w:val="AHPRAbody"/>
              <w:spacing w:after="120"/>
              <w:rPr>
                <w:sz w:val="18"/>
                <w:szCs w:val="18"/>
              </w:rPr>
            </w:pPr>
            <w:r w:rsidRPr="000B3CA3">
              <w:rPr>
                <w:sz w:val="18"/>
                <w:szCs w:val="18"/>
              </w:rPr>
              <w:t>Nominee of the Tertiary Education Quality and Standards Agency (TEQSA)</w:t>
            </w:r>
          </w:p>
        </w:tc>
      </w:tr>
      <w:tr w:rsidR="00C93DBB" w:rsidRPr="000B3CA3" w14:paraId="40D5C7B5"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3756517D" w14:textId="011ECBDF" w:rsidR="00C93DBB" w:rsidRPr="000B3CA3" w:rsidRDefault="00C93DBB" w:rsidP="00C93DBB">
            <w:pPr>
              <w:pStyle w:val="AHPRAbody"/>
              <w:spacing w:after="120"/>
              <w:rPr>
                <w:sz w:val="18"/>
                <w:szCs w:val="18"/>
              </w:rPr>
            </w:pPr>
            <w:r w:rsidRPr="000B3CA3">
              <w:rPr>
                <w:sz w:val="18"/>
                <w:szCs w:val="18"/>
              </w:rPr>
              <w:t>Professor Brian Jolly</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580FF7B" w14:textId="157FE7E8" w:rsidR="00C93DBB" w:rsidRPr="000B3CA3" w:rsidRDefault="00C93DBB" w:rsidP="00C93DBB">
            <w:pPr>
              <w:pStyle w:val="AHPRAbody"/>
              <w:spacing w:after="120"/>
              <w:rPr>
                <w:sz w:val="18"/>
                <w:szCs w:val="18"/>
              </w:rPr>
            </w:pPr>
            <w:r w:rsidRPr="000B3CA3">
              <w:rPr>
                <w:sz w:val="18"/>
                <w:szCs w:val="18"/>
              </w:rPr>
              <w:t>Nominee of Health Professions Accreditation Collaborative Forum (HPACF)</w:t>
            </w:r>
          </w:p>
        </w:tc>
      </w:tr>
      <w:tr w:rsidR="00C93DBB" w:rsidRPr="000B3CA3" w14:paraId="68807ADA"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794FC44B" w14:textId="49D55610" w:rsidR="00C93DBB" w:rsidRPr="000B3CA3" w:rsidRDefault="00C93DBB" w:rsidP="00C93DBB">
            <w:pPr>
              <w:pStyle w:val="AHPRAbody"/>
              <w:spacing w:after="120"/>
              <w:rPr>
                <w:sz w:val="18"/>
                <w:szCs w:val="18"/>
              </w:rPr>
            </w:pPr>
            <w:proofErr w:type="spellStart"/>
            <w:r w:rsidRPr="000B3CA3">
              <w:rPr>
                <w:sz w:val="18"/>
                <w:szCs w:val="18"/>
              </w:rPr>
              <w:t>Mrs</w:t>
            </w:r>
            <w:proofErr w:type="spellEnd"/>
            <w:r w:rsidRPr="000B3CA3">
              <w:rPr>
                <w:sz w:val="18"/>
                <w:szCs w:val="18"/>
              </w:rPr>
              <w:t xml:space="preserve"> Kay </w:t>
            </w:r>
            <w:proofErr w:type="spellStart"/>
            <w:r w:rsidRPr="000B3CA3">
              <w:rPr>
                <w:sz w:val="18"/>
                <w:szCs w:val="18"/>
              </w:rPr>
              <w:t>Leatherland</w:t>
            </w:r>
            <w:proofErr w:type="spellEnd"/>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42A5EB8" w14:textId="18537DCE" w:rsidR="00C93DBB" w:rsidRPr="000B3CA3" w:rsidRDefault="00C93DBB" w:rsidP="00C93DBB">
            <w:pPr>
              <w:pStyle w:val="AHPRAbody"/>
              <w:spacing w:after="120"/>
              <w:rPr>
                <w:sz w:val="18"/>
                <w:szCs w:val="18"/>
              </w:rPr>
            </w:pPr>
            <w:r w:rsidRPr="000B3CA3">
              <w:rPr>
                <w:sz w:val="18"/>
                <w:szCs w:val="18"/>
              </w:rPr>
              <w:t>Nominee of Australia Private Hospitals Association</w:t>
            </w:r>
          </w:p>
        </w:tc>
      </w:tr>
      <w:tr w:rsidR="00C93DBB" w:rsidRPr="000B3CA3" w14:paraId="2529CDC1"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6E74726" w14:textId="2914BEB1" w:rsidR="00C93DBB" w:rsidRPr="000B3CA3" w:rsidRDefault="00C93DBB" w:rsidP="00C93DBB">
            <w:pPr>
              <w:pStyle w:val="AHPRAbody"/>
              <w:spacing w:after="120"/>
              <w:rPr>
                <w:sz w:val="18"/>
                <w:szCs w:val="18"/>
              </w:rPr>
            </w:pPr>
            <w:r w:rsidRPr="000B3CA3">
              <w:rPr>
                <w:sz w:val="18"/>
                <w:szCs w:val="18"/>
              </w:rPr>
              <w:t>Ms Narelle Mills</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1A15440" w14:textId="1BE45E46" w:rsidR="00C93DBB" w:rsidRPr="000B3CA3" w:rsidRDefault="00C93DBB" w:rsidP="00C93DBB">
            <w:pPr>
              <w:pStyle w:val="AHPRAbody"/>
              <w:spacing w:after="120"/>
              <w:rPr>
                <w:sz w:val="18"/>
                <w:szCs w:val="18"/>
              </w:rPr>
            </w:pPr>
            <w:r w:rsidRPr="000B3CA3">
              <w:rPr>
                <w:sz w:val="18"/>
                <w:szCs w:val="18"/>
              </w:rPr>
              <w:t>Nominee of Health Professions Accreditation Collaborative Forum</w:t>
            </w:r>
          </w:p>
        </w:tc>
      </w:tr>
      <w:tr w:rsidR="00C93DBB" w:rsidRPr="000B3CA3" w14:paraId="2BA6BEB6"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4FC728ED" w14:textId="773FCE0C" w:rsidR="00C93DBB" w:rsidRPr="000B3CA3" w:rsidRDefault="00C93DBB" w:rsidP="00C93DBB">
            <w:pPr>
              <w:pStyle w:val="AHPRAbody"/>
              <w:spacing w:after="120"/>
              <w:rPr>
                <w:sz w:val="18"/>
                <w:szCs w:val="18"/>
              </w:rPr>
            </w:pPr>
            <w:r w:rsidRPr="000B3CA3">
              <w:rPr>
                <w:sz w:val="18"/>
                <w:szCs w:val="18"/>
              </w:rPr>
              <w:t>Mr Jeffrey Moffet</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2679D9D6" w14:textId="65D08E67" w:rsidR="00C93DBB" w:rsidRPr="000B3CA3" w:rsidRDefault="00C93DBB" w:rsidP="00C93DBB">
            <w:pPr>
              <w:pStyle w:val="AHPRAbody"/>
              <w:spacing w:after="120"/>
              <w:rPr>
                <w:sz w:val="18"/>
                <w:szCs w:val="18"/>
              </w:rPr>
            </w:pPr>
            <w:r w:rsidRPr="000B3CA3">
              <w:rPr>
                <w:sz w:val="18"/>
                <w:szCs w:val="18"/>
              </w:rPr>
              <w:t xml:space="preserve">Member of </w:t>
            </w:r>
            <w:r>
              <w:rPr>
                <w:sz w:val="18"/>
                <w:szCs w:val="18"/>
              </w:rPr>
              <w:t>Ahpra Board</w:t>
            </w:r>
          </w:p>
        </w:tc>
      </w:tr>
      <w:tr w:rsidR="00C93DBB" w:rsidRPr="000B3CA3" w14:paraId="6E1672AA"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A458B8D" w14:textId="487B23A5" w:rsidR="00C93DBB" w:rsidRPr="000B3CA3" w:rsidRDefault="00C93DBB" w:rsidP="00C93DBB">
            <w:pPr>
              <w:pStyle w:val="AHPRAbody"/>
              <w:spacing w:after="120"/>
              <w:rPr>
                <w:sz w:val="18"/>
                <w:szCs w:val="18"/>
              </w:rPr>
            </w:pPr>
            <w:r w:rsidRPr="000B3CA3">
              <w:rPr>
                <w:sz w:val="18"/>
                <w:szCs w:val="18"/>
              </w:rPr>
              <w:t>Mr Brett Simmonds</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390774BE" w14:textId="37133BF2" w:rsidR="00C93DBB" w:rsidRPr="000B3CA3" w:rsidRDefault="00C93DBB" w:rsidP="00C93DBB">
            <w:pPr>
              <w:pStyle w:val="AHPRAbody"/>
              <w:spacing w:after="120"/>
              <w:rPr>
                <w:sz w:val="18"/>
                <w:szCs w:val="18"/>
              </w:rPr>
            </w:pPr>
            <w:r w:rsidRPr="000B3CA3">
              <w:rPr>
                <w:sz w:val="18"/>
                <w:szCs w:val="18"/>
              </w:rPr>
              <w:t>National Boards representatives</w:t>
            </w:r>
          </w:p>
        </w:tc>
      </w:tr>
      <w:tr w:rsidR="00C93DBB" w:rsidRPr="000B3CA3" w14:paraId="468C3512"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298C3CE0" w14:textId="30AE8805" w:rsidR="00C93DBB" w:rsidRPr="000B3CA3" w:rsidRDefault="00C93DBB" w:rsidP="00C93DBB">
            <w:pPr>
              <w:pStyle w:val="AHPRAbody"/>
              <w:spacing w:after="120"/>
              <w:rPr>
                <w:sz w:val="18"/>
                <w:szCs w:val="18"/>
              </w:rPr>
            </w:pPr>
            <w:r w:rsidRPr="000B3CA3">
              <w:rPr>
                <w:sz w:val="18"/>
                <w:szCs w:val="18"/>
              </w:rPr>
              <w:t>Dr Hamza Vayani</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4081EA4" w14:textId="0B6D884A" w:rsidR="00C93DBB" w:rsidRPr="000B3CA3" w:rsidRDefault="00C93DBB" w:rsidP="00C93DBB">
            <w:pPr>
              <w:pStyle w:val="AHPRAbody"/>
              <w:spacing w:after="120"/>
              <w:rPr>
                <w:sz w:val="18"/>
                <w:szCs w:val="18"/>
              </w:rPr>
            </w:pPr>
            <w:r w:rsidRPr="000B3CA3">
              <w:rPr>
                <w:sz w:val="18"/>
                <w:szCs w:val="18"/>
              </w:rPr>
              <w:t>Nominee of the Community Advisory Council</w:t>
            </w:r>
          </w:p>
        </w:tc>
      </w:tr>
      <w:tr w:rsidR="00C93DBB" w:rsidRPr="000B3CA3" w14:paraId="1C99A13E" w14:textId="77777777" w:rsidTr="00C93DBB">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7C793ABD" w14:textId="597481C0" w:rsidR="00C93DBB" w:rsidRPr="000B3CA3" w:rsidRDefault="00C93DBB" w:rsidP="00C93DBB">
            <w:pPr>
              <w:pStyle w:val="AHPRAbody"/>
              <w:spacing w:after="120"/>
              <w:rPr>
                <w:sz w:val="18"/>
                <w:szCs w:val="18"/>
              </w:rPr>
            </w:pPr>
            <w:r w:rsidRPr="000B3CA3">
              <w:rPr>
                <w:sz w:val="18"/>
                <w:szCs w:val="18"/>
              </w:rPr>
              <w:t>Emeritus Professor Ian Wronski AO</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51CF666F" w14:textId="65A2807C" w:rsidR="00C93DBB" w:rsidRPr="000B3CA3" w:rsidRDefault="00C93DBB" w:rsidP="00C93DBB">
            <w:pPr>
              <w:pStyle w:val="AHPRAbody"/>
              <w:spacing w:after="120"/>
              <w:rPr>
                <w:sz w:val="18"/>
                <w:szCs w:val="18"/>
              </w:rPr>
            </w:pPr>
            <w:r w:rsidRPr="000B3CA3">
              <w:rPr>
                <w:sz w:val="18"/>
                <w:szCs w:val="18"/>
              </w:rPr>
              <w:t>Nominee of Universities Australia</w:t>
            </w:r>
          </w:p>
        </w:tc>
      </w:tr>
      <w:tr w:rsidR="00C93DBB" w:rsidRPr="000B3CA3" w14:paraId="5B3E9171" w14:textId="77777777" w:rsidTr="00C93DBB">
        <w:tc>
          <w:tcPr>
            <w:tcW w:w="3686" w:type="dxa"/>
            <w:tcBorders>
              <w:top w:val="single" w:sz="6" w:space="0" w:color="FFFFFF" w:themeColor="background1"/>
              <w:left w:val="outset" w:sz="6" w:space="0" w:color="auto"/>
              <w:bottom w:val="single" w:sz="4" w:space="0" w:color="auto"/>
            </w:tcBorders>
            <w:shd w:val="clear" w:color="auto" w:fill="F2F2F2" w:themeFill="background1" w:themeFillShade="F2"/>
          </w:tcPr>
          <w:p w14:paraId="36EF0909" w14:textId="17A4A283" w:rsidR="00C93DBB" w:rsidRPr="000B3CA3" w:rsidRDefault="00C93DBB" w:rsidP="00C93DBB">
            <w:pPr>
              <w:pStyle w:val="AHPRAbody"/>
              <w:spacing w:after="120"/>
              <w:rPr>
                <w:sz w:val="18"/>
                <w:szCs w:val="18"/>
              </w:rPr>
            </w:pPr>
            <w:r w:rsidRPr="000B3CA3">
              <w:rPr>
                <w:sz w:val="18"/>
                <w:szCs w:val="18"/>
              </w:rPr>
              <w:t>Dr Susan Young</w:t>
            </w:r>
          </w:p>
        </w:tc>
        <w:tc>
          <w:tcPr>
            <w:tcW w:w="6237" w:type="dxa"/>
            <w:tcBorders>
              <w:top w:val="single" w:sz="6" w:space="0" w:color="FFFFFF" w:themeColor="background1"/>
              <w:bottom w:val="single" w:sz="4" w:space="0" w:color="auto"/>
              <w:right w:val="outset" w:sz="6" w:space="0" w:color="auto"/>
            </w:tcBorders>
            <w:shd w:val="clear" w:color="auto" w:fill="F2F2F2" w:themeFill="background1" w:themeFillShade="F2"/>
          </w:tcPr>
          <w:p w14:paraId="0B3A6B99" w14:textId="21FB29F9" w:rsidR="00C93DBB" w:rsidRPr="000B3CA3" w:rsidRDefault="00C93DBB" w:rsidP="00C93DBB">
            <w:pPr>
              <w:pStyle w:val="AHPRAbody"/>
              <w:spacing w:after="120"/>
              <w:rPr>
                <w:sz w:val="18"/>
                <w:szCs w:val="18"/>
              </w:rPr>
            </w:pPr>
            <w:r w:rsidRPr="000B3CA3">
              <w:rPr>
                <w:sz w:val="18"/>
                <w:szCs w:val="18"/>
              </w:rPr>
              <w:t xml:space="preserve">Member of </w:t>
            </w:r>
            <w:r>
              <w:rPr>
                <w:sz w:val="18"/>
                <w:szCs w:val="18"/>
              </w:rPr>
              <w:t>Ahpra Board</w:t>
            </w:r>
          </w:p>
        </w:tc>
      </w:tr>
    </w:tbl>
    <w:p w14:paraId="59DA6883" w14:textId="425BA8FB" w:rsidR="00B63814" w:rsidRPr="00DC013A" w:rsidRDefault="00721C9F" w:rsidP="00690D3E">
      <w:pPr>
        <w:pStyle w:val="AHPRASubheadinglevel3"/>
        <w:rPr>
          <w:b/>
          <w:bCs/>
          <w:color w:val="auto"/>
        </w:rPr>
      </w:pPr>
      <w:r w:rsidRPr="00DC013A">
        <w:rPr>
          <w:b/>
          <w:bCs/>
          <w:color w:val="auto"/>
        </w:rPr>
        <w:t>A</w:t>
      </w:r>
      <w:r w:rsidR="00A07A51" w:rsidRPr="00DC013A">
        <w:rPr>
          <w:b/>
          <w:bCs/>
          <w:color w:val="auto"/>
        </w:rPr>
        <w:t>hpra</w:t>
      </w:r>
      <w:r w:rsidR="004577C1" w:rsidRPr="00DC013A">
        <w:rPr>
          <w:b/>
          <w:bCs/>
          <w:color w:val="auto"/>
        </w:rPr>
        <w:t xml:space="preserve"> attendees</w:t>
      </w:r>
    </w:p>
    <w:tbl>
      <w:tblPr>
        <w:tblStyle w:val="MediumGrid3-Accent3"/>
        <w:tblW w:w="9923" w:type="dxa"/>
        <w:tblInd w:w="108" w:type="dxa"/>
        <w:tblLook w:val="0620" w:firstRow="1" w:lastRow="0" w:firstColumn="0" w:lastColumn="0" w:noHBand="1" w:noVBand="1"/>
      </w:tblPr>
      <w:tblGrid>
        <w:gridCol w:w="3686"/>
        <w:gridCol w:w="6237"/>
      </w:tblGrid>
      <w:tr w:rsidR="0006630F" w:rsidRPr="000B3CA3" w14:paraId="3212410A" w14:textId="77777777" w:rsidTr="001F341F">
        <w:trPr>
          <w:cnfStyle w:val="100000000000" w:firstRow="1" w:lastRow="0" w:firstColumn="0" w:lastColumn="0" w:oddVBand="0" w:evenVBand="0" w:oddHBand="0" w:evenHBand="0" w:firstRowFirstColumn="0" w:firstRowLastColumn="0" w:lastRowFirstColumn="0" w:lastRowLastColumn="0"/>
        </w:trPr>
        <w:tc>
          <w:tcPr>
            <w:tcW w:w="3686" w:type="dxa"/>
            <w:tcBorders>
              <w:top w:val="inset" w:sz="6" w:space="0" w:color="auto"/>
              <w:left w:val="outset" w:sz="6" w:space="0" w:color="auto"/>
              <w:bottom w:val="single" w:sz="6" w:space="0" w:color="FFFFFF" w:themeColor="background1"/>
            </w:tcBorders>
            <w:shd w:val="clear" w:color="auto" w:fill="007DC3"/>
            <w:vAlign w:val="bottom"/>
          </w:tcPr>
          <w:p w14:paraId="2AE84441" w14:textId="77777777" w:rsidR="0006630F" w:rsidRPr="000B3CA3" w:rsidRDefault="0006630F" w:rsidP="001F341F">
            <w:pPr>
              <w:spacing w:after="0" w:line="240" w:lineRule="auto"/>
              <w:contextualSpacing/>
              <w:rPr>
                <w:rFonts w:cs="Arial"/>
                <w:sz w:val="20"/>
                <w:szCs w:val="20"/>
              </w:rPr>
            </w:pPr>
            <w:r w:rsidRPr="000B3CA3">
              <w:rPr>
                <w:rFonts w:cs="Arial"/>
                <w:sz w:val="20"/>
                <w:szCs w:val="20"/>
              </w:rPr>
              <w:t>Name</w:t>
            </w:r>
          </w:p>
        </w:tc>
        <w:tc>
          <w:tcPr>
            <w:tcW w:w="6237" w:type="dxa"/>
            <w:tcBorders>
              <w:top w:val="inset" w:sz="6" w:space="0" w:color="auto"/>
              <w:bottom w:val="single" w:sz="6" w:space="0" w:color="FFFFFF" w:themeColor="background1"/>
              <w:right w:val="outset" w:sz="6" w:space="0" w:color="auto"/>
            </w:tcBorders>
            <w:shd w:val="clear" w:color="auto" w:fill="007DC3"/>
            <w:vAlign w:val="center"/>
          </w:tcPr>
          <w:p w14:paraId="2B8F4336" w14:textId="037768A7" w:rsidR="0006630F" w:rsidRPr="000B3CA3" w:rsidRDefault="00C93DBB" w:rsidP="001F341F">
            <w:pPr>
              <w:spacing w:after="0" w:line="240" w:lineRule="auto"/>
              <w:contextualSpacing/>
              <w:rPr>
                <w:rFonts w:cs="Arial"/>
                <w:sz w:val="20"/>
                <w:szCs w:val="20"/>
              </w:rPr>
            </w:pPr>
            <w:r>
              <w:rPr>
                <w:rFonts w:cs="Arial"/>
                <w:sz w:val="20"/>
                <w:szCs w:val="20"/>
              </w:rPr>
              <w:t>Title</w:t>
            </w:r>
          </w:p>
        </w:tc>
      </w:tr>
      <w:tr w:rsidR="0006630F" w:rsidRPr="000B3CA3" w14:paraId="0D554B27"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8BDDE8F" w14:textId="3E00F7C6" w:rsidR="0006630F" w:rsidRPr="000B3CA3" w:rsidRDefault="004659AD" w:rsidP="0006630F">
            <w:pPr>
              <w:pStyle w:val="AHPRAbody"/>
              <w:rPr>
                <w:sz w:val="18"/>
                <w:szCs w:val="18"/>
              </w:rPr>
            </w:pPr>
            <w:r w:rsidRPr="000B3CA3">
              <w:rPr>
                <w:sz w:val="18"/>
                <w:szCs w:val="18"/>
              </w:rPr>
              <w:t>Mr Martin Fletcher</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71009D1" w14:textId="4E424BF0" w:rsidR="0006630F" w:rsidRPr="000B3CA3" w:rsidRDefault="004659AD" w:rsidP="0006630F">
            <w:pPr>
              <w:pStyle w:val="AHPRAbody"/>
              <w:rPr>
                <w:sz w:val="18"/>
                <w:szCs w:val="18"/>
              </w:rPr>
            </w:pPr>
            <w:r w:rsidRPr="000B3CA3">
              <w:rPr>
                <w:sz w:val="18"/>
                <w:szCs w:val="18"/>
              </w:rPr>
              <w:t>Chief Executive Officer</w:t>
            </w:r>
          </w:p>
        </w:tc>
      </w:tr>
      <w:tr w:rsidR="0006630F" w:rsidRPr="000B3CA3" w14:paraId="3E8DE77A"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1A5325A7" w14:textId="663D0083" w:rsidR="0006630F" w:rsidRPr="000B3CA3" w:rsidRDefault="004659AD" w:rsidP="0006630F">
            <w:pPr>
              <w:pStyle w:val="AHPRAbody"/>
              <w:rPr>
                <w:sz w:val="18"/>
                <w:szCs w:val="18"/>
              </w:rPr>
            </w:pPr>
            <w:r w:rsidRPr="000B3CA3">
              <w:rPr>
                <w:sz w:val="18"/>
                <w:szCs w:val="18"/>
              </w:rPr>
              <w:t>Mr Chris Robertson</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2D849A5" w14:textId="3F61B29E" w:rsidR="0006630F" w:rsidRPr="000B3CA3" w:rsidRDefault="004659AD" w:rsidP="0006630F">
            <w:pPr>
              <w:pStyle w:val="AHPRAbody"/>
              <w:rPr>
                <w:sz w:val="18"/>
                <w:szCs w:val="18"/>
              </w:rPr>
            </w:pPr>
            <w:r w:rsidRPr="000B3CA3">
              <w:rPr>
                <w:sz w:val="18"/>
                <w:szCs w:val="18"/>
              </w:rPr>
              <w:t>Executive Director, Strategy and Policy</w:t>
            </w:r>
          </w:p>
        </w:tc>
      </w:tr>
      <w:tr w:rsidR="0006630F" w:rsidRPr="000B3CA3" w14:paraId="50566D9D"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4FED94DA" w14:textId="482EDB30" w:rsidR="0006630F" w:rsidRPr="000B3CA3" w:rsidRDefault="004659AD" w:rsidP="0006630F">
            <w:pPr>
              <w:pStyle w:val="AHPRAbody"/>
              <w:rPr>
                <w:sz w:val="18"/>
                <w:szCs w:val="18"/>
              </w:rPr>
            </w:pPr>
            <w:r w:rsidRPr="000B3CA3">
              <w:rPr>
                <w:sz w:val="18"/>
                <w:szCs w:val="18"/>
              </w:rPr>
              <w:t>Ms Helen Townley</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8744A62" w14:textId="5CF3EE11" w:rsidR="0006630F" w:rsidRPr="000B3CA3" w:rsidRDefault="004659AD" w:rsidP="0006630F">
            <w:pPr>
              <w:pStyle w:val="AHPRAbody"/>
              <w:rPr>
                <w:sz w:val="18"/>
                <w:szCs w:val="18"/>
              </w:rPr>
            </w:pPr>
            <w:r w:rsidRPr="000B3CA3">
              <w:rPr>
                <w:sz w:val="18"/>
                <w:szCs w:val="18"/>
              </w:rPr>
              <w:t xml:space="preserve">National Director, </w:t>
            </w:r>
            <w:proofErr w:type="gramStart"/>
            <w:r w:rsidRPr="000B3CA3">
              <w:rPr>
                <w:sz w:val="18"/>
                <w:szCs w:val="18"/>
              </w:rPr>
              <w:t>Policy</w:t>
            </w:r>
            <w:proofErr w:type="gramEnd"/>
            <w:r w:rsidRPr="000B3CA3">
              <w:rPr>
                <w:sz w:val="18"/>
                <w:szCs w:val="18"/>
              </w:rPr>
              <w:t xml:space="preserve"> and Accreditation</w:t>
            </w:r>
          </w:p>
        </w:tc>
      </w:tr>
      <w:tr w:rsidR="0006630F" w:rsidRPr="000B3CA3" w14:paraId="5404D3F2"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40E1E0A3" w14:textId="41E07FD2" w:rsidR="0006630F" w:rsidRPr="000B3CA3" w:rsidRDefault="004659AD" w:rsidP="0006630F">
            <w:pPr>
              <w:pStyle w:val="AHPRAbody"/>
              <w:rPr>
                <w:sz w:val="18"/>
                <w:szCs w:val="18"/>
              </w:rPr>
            </w:pPr>
            <w:r w:rsidRPr="000B3CA3">
              <w:rPr>
                <w:sz w:val="18"/>
                <w:szCs w:val="18"/>
              </w:rPr>
              <w:t>Ms Margaret Grant</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3473A81B" w14:textId="0C335BC3" w:rsidR="0006630F" w:rsidRPr="000B3CA3" w:rsidRDefault="004659AD" w:rsidP="0006630F">
            <w:pPr>
              <w:pStyle w:val="AHPRAbody"/>
              <w:rPr>
                <w:sz w:val="18"/>
                <w:szCs w:val="18"/>
              </w:rPr>
            </w:pPr>
            <w:r w:rsidRPr="000B3CA3">
              <w:rPr>
                <w:sz w:val="18"/>
                <w:szCs w:val="18"/>
              </w:rPr>
              <w:t>Specialist Accreditation Advisor</w:t>
            </w:r>
          </w:p>
        </w:tc>
      </w:tr>
      <w:tr w:rsidR="0006630F" w:rsidRPr="000B3CA3" w14:paraId="6A378DA7" w14:textId="77777777" w:rsidTr="004659AD">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3DA8D1B6" w14:textId="45586C6E" w:rsidR="0001480B" w:rsidRPr="000B3CA3" w:rsidRDefault="004659AD" w:rsidP="00690D3E">
            <w:pPr>
              <w:pStyle w:val="AHPRAbody"/>
              <w:spacing w:after="0"/>
              <w:rPr>
                <w:sz w:val="18"/>
                <w:szCs w:val="18"/>
              </w:rPr>
            </w:pPr>
            <w:r w:rsidRPr="000B3CA3">
              <w:rPr>
                <w:sz w:val="18"/>
                <w:szCs w:val="18"/>
              </w:rPr>
              <w:t>Ms Kerryn Rozenbergs</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10821A4C" w14:textId="67BC736D" w:rsidR="0006630F" w:rsidRPr="000B3CA3" w:rsidRDefault="004659AD" w:rsidP="0006630F">
            <w:pPr>
              <w:pStyle w:val="AHPRAbody"/>
              <w:rPr>
                <w:sz w:val="18"/>
                <w:szCs w:val="18"/>
              </w:rPr>
            </w:pPr>
            <w:r w:rsidRPr="000B3CA3">
              <w:rPr>
                <w:sz w:val="18"/>
                <w:szCs w:val="18"/>
              </w:rPr>
              <w:t>Senior Accreditation Policy Advisor</w:t>
            </w:r>
          </w:p>
        </w:tc>
      </w:tr>
      <w:tr w:rsidR="00A07A0E" w:rsidRPr="000B3CA3" w14:paraId="684BA863" w14:textId="77777777" w:rsidTr="00707D03">
        <w:tc>
          <w:tcPr>
            <w:tcW w:w="3686" w:type="dxa"/>
            <w:tcBorders>
              <w:top w:val="single" w:sz="6" w:space="0" w:color="FFFFFF" w:themeColor="background1"/>
              <w:left w:val="outset" w:sz="6" w:space="0" w:color="auto"/>
              <w:bottom w:val="single" w:sz="4" w:space="0" w:color="auto"/>
            </w:tcBorders>
            <w:shd w:val="clear" w:color="auto" w:fill="F2F2F2" w:themeFill="background1" w:themeFillShade="F2"/>
          </w:tcPr>
          <w:p w14:paraId="6ADA9B05" w14:textId="0CC982BE" w:rsidR="00A07A0E" w:rsidRPr="000B3CA3" w:rsidRDefault="00A07A0E" w:rsidP="00690D3E">
            <w:pPr>
              <w:pStyle w:val="AHPRAbody"/>
              <w:spacing w:after="0"/>
              <w:rPr>
                <w:sz w:val="18"/>
                <w:szCs w:val="18"/>
              </w:rPr>
            </w:pPr>
            <w:r w:rsidRPr="000B3CA3">
              <w:rPr>
                <w:sz w:val="18"/>
                <w:szCs w:val="18"/>
              </w:rPr>
              <w:t>Ms Sangeetha Masilamani</w:t>
            </w:r>
          </w:p>
        </w:tc>
        <w:tc>
          <w:tcPr>
            <w:tcW w:w="6237" w:type="dxa"/>
            <w:tcBorders>
              <w:top w:val="single" w:sz="6" w:space="0" w:color="FFFFFF" w:themeColor="background1"/>
              <w:bottom w:val="single" w:sz="4" w:space="0" w:color="auto"/>
              <w:right w:val="outset" w:sz="6" w:space="0" w:color="auto"/>
            </w:tcBorders>
            <w:shd w:val="clear" w:color="auto" w:fill="F2F2F2" w:themeFill="background1" w:themeFillShade="F2"/>
          </w:tcPr>
          <w:p w14:paraId="5F7A0CD8" w14:textId="34DA3C28" w:rsidR="005643C2" w:rsidRPr="000B3CA3" w:rsidRDefault="00A07A0E" w:rsidP="0006630F">
            <w:pPr>
              <w:pStyle w:val="AHPRAbody"/>
              <w:rPr>
                <w:sz w:val="18"/>
                <w:szCs w:val="18"/>
              </w:rPr>
            </w:pPr>
            <w:r w:rsidRPr="000B3CA3">
              <w:rPr>
                <w:sz w:val="18"/>
                <w:szCs w:val="18"/>
              </w:rPr>
              <w:t>Program Manager, Government Relations (Secretariat</w:t>
            </w:r>
            <w:r w:rsidR="005643C2" w:rsidRPr="000B3CA3">
              <w:rPr>
                <w:sz w:val="18"/>
                <w:szCs w:val="18"/>
              </w:rPr>
              <w:t>;</w:t>
            </w:r>
            <w:r w:rsidR="004912DF" w:rsidRPr="000B3CA3">
              <w:rPr>
                <w:sz w:val="18"/>
                <w:szCs w:val="18"/>
              </w:rPr>
              <w:t xml:space="preserve"> September 2021)</w:t>
            </w:r>
          </w:p>
        </w:tc>
      </w:tr>
      <w:tr w:rsidR="004659AD" w:rsidRPr="000B3CA3" w14:paraId="7A3675B0" w14:textId="77777777" w:rsidTr="00707D03">
        <w:tc>
          <w:tcPr>
            <w:tcW w:w="3686" w:type="dxa"/>
            <w:tcBorders>
              <w:top w:val="single" w:sz="6" w:space="0" w:color="FFFFFF" w:themeColor="background1"/>
              <w:left w:val="outset" w:sz="6" w:space="0" w:color="auto"/>
              <w:bottom w:val="single" w:sz="4" w:space="0" w:color="auto"/>
            </w:tcBorders>
            <w:shd w:val="clear" w:color="auto" w:fill="F2F2F2" w:themeFill="background1" w:themeFillShade="F2"/>
          </w:tcPr>
          <w:p w14:paraId="686818F0" w14:textId="6F3F0EB3" w:rsidR="004659AD" w:rsidRPr="000B3CA3" w:rsidRDefault="004659AD" w:rsidP="00690D3E">
            <w:pPr>
              <w:pStyle w:val="AHPRAbody"/>
              <w:spacing w:after="0"/>
              <w:rPr>
                <w:sz w:val="18"/>
                <w:szCs w:val="18"/>
              </w:rPr>
            </w:pPr>
            <w:r w:rsidRPr="000B3CA3">
              <w:rPr>
                <w:sz w:val="18"/>
                <w:szCs w:val="18"/>
              </w:rPr>
              <w:t>Mr Peter Knapp</w:t>
            </w:r>
          </w:p>
        </w:tc>
        <w:tc>
          <w:tcPr>
            <w:tcW w:w="6237" w:type="dxa"/>
            <w:tcBorders>
              <w:top w:val="single" w:sz="6" w:space="0" w:color="FFFFFF" w:themeColor="background1"/>
              <w:bottom w:val="single" w:sz="4" w:space="0" w:color="auto"/>
              <w:right w:val="outset" w:sz="6" w:space="0" w:color="auto"/>
            </w:tcBorders>
            <w:shd w:val="clear" w:color="auto" w:fill="F2F2F2" w:themeFill="background1" w:themeFillShade="F2"/>
          </w:tcPr>
          <w:p w14:paraId="7C91A366" w14:textId="455A4569" w:rsidR="004659AD" w:rsidRPr="000B3CA3" w:rsidRDefault="004659AD" w:rsidP="0006630F">
            <w:pPr>
              <w:pStyle w:val="AHPRAbody"/>
              <w:rPr>
                <w:sz w:val="18"/>
                <w:szCs w:val="18"/>
              </w:rPr>
            </w:pPr>
            <w:r w:rsidRPr="000B3CA3">
              <w:rPr>
                <w:sz w:val="18"/>
                <w:szCs w:val="18"/>
              </w:rPr>
              <w:t>Senior Government Relations Officer</w:t>
            </w:r>
            <w:r w:rsidR="00A07A0E" w:rsidRPr="000B3CA3">
              <w:rPr>
                <w:sz w:val="18"/>
                <w:szCs w:val="18"/>
              </w:rPr>
              <w:t xml:space="preserve"> (Secretariat</w:t>
            </w:r>
            <w:r w:rsidR="004912DF" w:rsidRPr="000B3CA3">
              <w:rPr>
                <w:sz w:val="18"/>
                <w:szCs w:val="18"/>
              </w:rPr>
              <w:t>; from October 2021)</w:t>
            </w:r>
          </w:p>
        </w:tc>
      </w:tr>
    </w:tbl>
    <w:p w14:paraId="5B50CB72" w14:textId="00DBE344" w:rsidR="00580D71" w:rsidRPr="000B3CA3" w:rsidRDefault="00580D71" w:rsidP="0038564F">
      <w:pPr>
        <w:pStyle w:val="AHPRASubheading"/>
        <w:rPr>
          <w:lang w:val="en-US"/>
        </w:rPr>
      </w:pPr>
      <w:r w:rsidRPr="000B3CA3">
        <w:rPr>
          <w:lang w:val="en-US"/>
        </w:rPr>
        <w:t>Meetings</w:t>
      </w:r>
    </w:p>
    <w:p w14:paraId="421A6590" w14:textId="164AF889" w:rsidR="001C1A57" w:rsidRPr="000B3CA3" w:rsidRDefault="009811D9" w:rsidP="0038564F">
      <w:pPr>
        <w:pStyle w:val="AHPRAbody"/>
        <w:rPr>
          <w:lang w:val="en-US"/>
        </w:rPr>
      </w:pPr>
      <w:r w:rsidRPr="000B3CA3">
        <w:rPr>
          <w:lang w:val="en-US"/>
        </w:rPr>
        <w:t xml:space="preserve">The Committee </w:t>
      </w:r>
      <w:r w:rsidR="0001480B" w:rsidRPr="000B3CA3">
        <w:rPr>
          <w:lang w:val="en-US"/>
        </w:rPr>
        <w:t>met four times in 202</w:t>
      </w:r>
      <w:r w:rsidR="006363DF" w:rsidRPr="000B3CA3">
        <w:rPr>
          <w:lang w:val="en-US"/>
        </w:rPr>
        <w:t>1</w:t>
      </w:r>
      <w:r w:rsidR="0001480B" w:rsidRPr="000B3CA3">
        <w:rPr>
          <w:lang w:val="en-US"/>
        </w:rPr>
        <w:t>-2</w:t>
      </w:r>
      <w:r w:rsidR="006363DF" w:rsidRPr="000B3CA3">
        <w:rPr>
          <w:lang w:val="en-US"/>
        </w:rPr>
        <w:t>2</w:t>
      </w:r>
      <w:r w:rsidR="00272215" w:rsidRPr="000B3CA3">
        <w:rPr>
          <w:lang w:val="en-US"/>
        </w:rPr>
        <w:t xml:space="preserve"> – attendance at each meeting is below. </w:t>
      </w:r>
    </w:p>
    <w:tbl>
      <w:tblPr>
        <w:tblStyle w:val="MediumGrid3-Accent3"/>
        <w:tblW w:w="9923" w:type="dxa"/>
        <w:tblInd w:w="108" w:type="dxa"/>
        <w:tblLook w:val="0620" w:firstRow="1" w:lastRow="0" w:firstColumn="0" w:lastColumn="0" w:noHBand="1" w:noVBand="1"/>
      </w:tblPr>
      <w:tblGrid>
        <w:gridCol w:w="2532"/>
        <w:gridCol w:w="7391"/>
      </w:tblGrid>
      <w:tr w:rsidR="004E7AED" w:rsidRPr="000B3CA3" w14:paraId="257A2455" w14:textId="77777777" w:rsidTr="00690D3E">
        <w:trPr>
          <w:cnfStyle w:val="100000000000" w:firstRow="1" w:lastRow="0" w:firstColumn="0" w:lastColumn="0" w:oddVBand="0" w:evenVBand="0" w:oddHBand="0" w:evenHBand="0" w:firstRowFirstColumn="0" w:firstRowLastColumn="0" w:lastRowFirstColumn="0" w:lastRowLastColumn="0"/>
        </w:trPr>
        <w:tc>
          <w:tcPr>
            <w:tcW w:w="2532" w:type="dxa"/>
            <w:tcBorders>
              <w:top w:val="inset" w:sz="6" w:space="0" w:color="auto"/>
              <w:left w:val="inset" w:sz="6" w:space="0" w:color="auto"/>
            </w:tcBorders>
            <w:shd w:val="clear" w:color="auto" w:fill="007DC3"/>
            <w:vAlign w:val="bottom"/>
          </w:tcPr>
          <w:p w14:paraId="4BAA4B0A" w14:textId="77777777" w:rsidR="004E7AED" w:rsidRPr="000B3CA3" w:rsidRDefault="004E7AED" w:rsidP="001F341F">
            <w:pPr>
              <w:spacing w:before="100" w:beforeAutospacing="1" w:after="100" w:afterAutospacing="1" w:line="240" w:lineRule="auto"/>
              <w:contextualSpacing/>
              <w:rPr>
                <w:rFonts w:cs="Arial"/>
                <w:sz w:val="20"/>
                <w:szCs w:val="20"/>
              </w:rPr>
            </w:pPr>
            <w:r w:rsidRPr="000B3CA3">
              <w:rPr>
                <w:rFonts w:cs="Arial"/>
                <w:sz w:val="20"/>
                <w:szCs w:val="20"/>
              </w:rPr>
              <w:t>Meeting dates</w:t>
            </w:r>
          </w:p>
        </w:tc>
        <w:tc>
          <w:tcPr>
            <w:tcW w:w="7391" w:type="dxa"/>
            <w:tcBorders>
              <w:top w:val="inset" w:sz="6" w:space="0" w:color="auto"/>
              <w:right w:val="inset" w:sz="6" w:space="0" w:color="auto"/>
            </w:tcBorders>
            <w:shd w:val="clear" w:color="auto" w:fill="007DC3"/>
            <w:vAlign w:val="bottom"/>
          </w:tcPr>
          <w:p w14:paraId="5F0D8A29" w14:textId="77777777" w:rsidR="004E7AED" w:rsidRPr="000B3CA3" w:rsidRDefault="004E7AED" w:rsidP="001F341F">
            <w:pPr>
              <w:spacing w:before="100" w:beforeAutospacing="1" w:after="100" w:afterAutospacing="1" w:line="240" w:lineRule="auto"/>
              <w:contextualSpacing/>
              <w:rPr>
                <w:rFonts w:cs="Arial"/>
                <w:sz w:val="20"/>
                <w:szCs w:val="20"/>
              </w:rPr>
            </w:pPr>
            <w:r w:rsidRPr="000B3CA3">
              <w:rPr>
                <w:rFonts w:cs="Arial"/>
                <w:sz w:val="20"/>
                <w:szCs w:val="20"/>
              </w:rPr>
              <w:t>Attendance</w:t>
            </w:r>
          </w:p>
        </w:tc>
      </w:tr>
      <w:tr w:rsidR="004E7AED" w:rsidRPr="000B3CA3" w14:paraId="6465C901" w14:textId="77777777" w:rsidTr="00690D3E">
        <w:tc>
          <w:tcPr>
            <w:tcW w:w="2532" w:type="dxa"/>
            <w:tcBorders>
              <w:top w:val="single" w:sz="6" w:space="0" w:color="FFFFFF" w:themeColor="background1"/>
              <w:left w:val="inset" w:sz="6" w:space="0" w:color="auto"/>
              <w:bottom w:val="single" w:sz="6" w:space="0" w:color="FFFFFF" w:themeColor="background1"/>
            </w:tcBorders>
            <w:shd w:val="clear" w:color="auto" w:fill="F2F2F2" w:themeFill="background1" w:themeFillShade="F2"/>
          </w:tcPr>
          <w:p w14:paraId="59D097C3" w14:textId="45896CAC" w:rsidR="004E7AED" w:rsidRPr="000B3CA3" w:rsidRDefault="00763BDC" w:rsidP="00600726">
            <w:pPr>
              <w:pStyle w:val="AHPRAbody"/>
              <w:rPr>
                <w:sz w:val="18"/>
                <w:szCs w:val="18"/>
              </w:rPr>
            </w:pPr>
            <w:r w:rsidRPr="000B3CA3">
              <w:rPr>
                <w:sz w:val="18"/>
                <w:szCs w:val="18"/>
              </w:rPr>
              <w:t>1 September 2021</w:t>
            </w:r>
          </w:p>
        </w:tc>
        <w:tc>
          <w:tcPr>
            <w:tcW w:w="7391" w:type="dxa"/>
            <w:tcBorders>
              <w:top w:val="single" w:sz="6" w:space="0" w:color="FFFFFF" w:themeColor="background1"/>
              <w:bottom w:val="single" w:sz="6" w:space="0" w:color="FFFFFF" w:themeColor="background1"/>
              <w:right w:val="inset" w:sz="6" w:space="0" w:color="auto"/>
            </w:tcBorders>
            <w:shd w:val="clear" w:color="auto" w:fill="F2F2F2" w:themeFill="background1" w:themeFillShade="F2"/>
          </w:tcPr>
          <w:p w14:paraId="325AE73C" w14:textId="066F1200" w:rsidR="004E7AED" w:rsidRPr="000B3CA3" w:rsidRDefault="007936DC" w:rsidP="00600726">
            <w:pPr>
              <w:rPr>
                <w:rFonts w:cs="Arial"/>
                <w:sz w:val="18"/>
                <w:szCs w:val="18"/>
              </w:rPr>
            </w:pPr>
            <w:r w:rsidRPr="000B3CA3">
              <w:rPr>
                <w:rFonts w:cs="Arial"/>
                <w:sz w:val="18"/>
                <w:szCs w:val="18"/>
              </w:rPr>
              <w:t xml:space="preserve">Professor Andrew Wilson, Ms Alison Barnes, Mr Brett Simmonds, Professor Brian Jolly, Ms Deborah Frew, Dr Hamza Vayani, Dr Heather Buchan, Dr Helen Gniel, Emeritus Professor Ian Wronski AO, </w:t>
            </w:r>
            <w:proofErr w:type="spellStart"/>
            <w:r w:rsidRPr="000B3CA3">
              <w:rPr>
                <w:rFonts w:cs="Arial"/>
                <w:sz w:val="18"/>
                <w:szCs w:val="18"/>
              </w:rPr>
              <w:t>Mr</w:t>
            </w:r>
            <w:proofErr w:type="spellEnd"/>
            <w:r w:rsidRPr="000B3CA3">
              <w:rPr>
                <w:rFonts w:cs="Arial"/>
                <w:sz w:val="18"/>
                <w:szCs w:val="18"/>
              </w:rPr>
              <w:t xml:space="preserve"> Jeffrey </w:t>
            </w:r>
            <w:proofErr w:type="spellStart"/>
            <w:r w:rsidRPr="000B3CA3">
              <w:rPr>
                <w:rFonts w:cs="Arial"/>
                <w:sz w:val="18"/>
                <w:szCs w:val="18"/>
              </w:rPr>
              <w:t>Moffet</w:t>
            </w:r>
            <w:proofErr w:type="spellEnd"/>
            <w:r w:rsidRPr="000B3CA3">
              <w:rPr>
                <w:rFonts w:cs="Arial"/>
                <w:sz w:val="18"/>
                <w:szCs w:val="18"/>
              </w:rPr>
              <w:t xml:space="preserve">, </w:t>
            </w:r>
            <w:proofErr w:type="spellStart"/>
            <w:r w:rsidRPr="000B3CA3">
              <w:rPr>
                <w:rFonts w:cs="Arial"/>
                <w:sz w:val="18"/>
                <w:szCs w:val="18"/>
              </w:rPr>
              <w:t>Mrs</w:t>
            </w:r>
            <w:proofErr w:type="spellEnd"/>
            <w:r w:rsidRPr="000B3CA3">
              <w:rPr>
                <w:rFonts w:cs="Arial"/>
                <w:sz w:val="18"/>
                <w:szCs w:val="18"/>
              </w:rPr>
              <w:t xml:space="preserve"> Kay </w:t>
            </w:r>
            <w:proofErr w:type="spellStart"/>
            <w:r w:rsidRPr="000B3CA3">
              <w:rPr>
                <w:rFonts w:cs="Arial"/>
                <w:sz w:val="18"/>
                <w:szCs w:val="18"/>
              </w:rPr>
              <w:t>Leatherland</w:t>
            </w:r>
            <w:proofErr w:type="spellEnd"/>
            <w:r w:rsidRPr="000B3CA3">
              <w:rPr>
                <w:rFonts w:cs="Arial"/>
                <w:sz w:val="18"/>
                <w:szCs w:val="18"/>
              </w:rPr>
              <w:t xml:space="preserve">, Professor Maree O’Keefe, Ms Narelle Mills, Dr Susan Young, Adjunct Professor Veronica Casey AM, </w:t>
            </w:r>
            <w:r w:rsidR="00417F04" w:rsidRPr="000B3CA3">
              <w:rPr>
                <w:rFonts w:cs="Arial"/>
                <w:sz w:val="18"/>
                <w:szCs w:val="18"/>
              </w:rPr>
              <w:t xml:space="preserve">Ms </w:t>
            </w:r>
            <w:r w:rsidR="00417F04" w:rsidRPr="000B3CA3">
              <w:rPr>
                <w:rFonts w:cs="Arial"/>
                <w:sz w:val="18"/>
                <w:szCs w:val="18"/>
              </w:rPr>
              <w:lastRenderedPageBreak/>
              <w:t>Gill Callister</w:t>
            </w:r>
            <w:r w:rsidR="00E45263">
              <w:rPr>
                <w:rFonts w:cs="Arial"/>
                <w:sz w:val="18"/>
                <w:szCs w:val="18"/>
              </w:rPr>
              <w:t xml:space="preserve"> PSM</w:t>
            </w:r>
            <w:r w:rsidR="00417F04" w:rsidRPr="000B3CA3">
              <w:rPr>
                <w:rFonts w:cs="Arial"/>
                <w:sz w:val="18"/>
                <w:szCs w:val="18"/>
              </w:rPr>
              <w:t xml:space="preserve">, </w:t>
            </w:r>
            <w:r w:rsidRPr="000B3CA3">
              <w:rPr>
                <w:rFonts w:cs="Arial"/>
                <w:sz w:val="18"/>
                <w:szCs w:val="18"/>
              </w:rPr>
              <w:t>Mr Martin Fletcher</w:t>
            </w:r>
            <w:r w:rsidR="005643C2" w:rsidRPr="000B3CA3">
              <w:rPr>
                <w:rFonts w:cs="Arial"/>
                <w:sz w:val="18"/>
                <w:szCs w:val="18"/>
              </w:rPr>
              <w:t>, Mr Chris Robertson, Ms Helen Townley</w:t>
            </w:r>
            <w:r w:rsidR="001B6636" w:rsidRPr="000B3CA3">
              <w:rPr>
                <w:rFonts w:cs="Arial"/>
                <w:sz w:val="18"/>
                <w:szCs w:val="18"/>
              </w:rPr>
              <w:t xml:space="preserve">, Ms Margaret Grant, </w:t>
            </w:r>
            <w:r w:rsidR="005643C2" w:rsidRPr="000B3CA3">
              <w:rPr>
                <w:rFonts w:cs="Arial"/>
                <w:sz w:val="18"/>
                <w:szCs w:val="18"/>
              </w:rPr>
              <w:t>Ms Kerryn Rozenbergs, Ms Sangeetha Masilamani</w:t>
            </w:r>
          </w:p>
        </w:tc>
      </w:tr>
      <w:tr w:rsidR="00600726" w:rsidRPr="000B3CA3" w14:paraId="74E90204" w14:textId="77777777" w:rsidTr="00690D3E">
        <w:tc>
          <w:tcPr>
            <w:tcW w:w="2532" w:type="dxa"/>
            <w:tcBorders>
              <w:top w:val="single" w:sz="6" w:space="0" w:color="FFFFFF" w:themeColor="background1"/>
              <w:left w:val="inset" w:sz="6" w:space="0" w:color="auto"/>
              <w:bottom w:val="single" w:sz="6" w:space="0" w:color="FFFFFF" w:themeColor="background1"/>
            </w:tcBorders>
            <w:shd w:val="clear" w:color="auto" w:fill="F2F2F2" w:themeFill="background1" w:themeFillShade="F2"/>
          </w:tcPr>
          <w:p w14:paraId="2FDD0DE5" w14:textId="75B8A599" w:rsidR="00600726" w:rsidRPr="000B3CA3" w:rsidRDefault="00440B19" w:rsidP="00600726">
            <w:pPr>
              <w:pStyle w:val="AHPRAbody"/>
              <w:rPr>
                <w:sz w:val="18"/>
                <w:szCs w:val="18"/>
              </w:rPr>
            </w:pPr>
            <w:r w:rsidRPr="000B3CA3">
              <w:rPr>
                <w:sz w:val="18"/>
                <w:szCs w:val="18"/>
              </w:rPr>
              <w:lastRenderedPageBreak/>
              <w:t>1 December 2021</w:t>
            </w:r>
          </w:p>
        </w:tc>
        <w:tc>
          <w:tcPr>
            <w:tcW w:w="7391" w:type="dxa"/>
            <w:tcBorders>
              <w:top w:val="single" w:sz="6" w:space="0" w:color="FFFFFF" w:themeColor="background1"/>
              <w:bottom w:val="single" w:sz="6" w:space="0" w:color="FFFFFF" w:themeColor="background1"/>
              <w:right w:val="inset" w:sz="6" w:space="0" w:color="auto"/>
            </w:tcBorders>
            <w:shd w:val="clear" w:color="auto" w:fill="F2F2F2" w:themeFill="background1" w:themeFillShade="F2"/>
          </w:tcPr>
          <w:p w14:paraId="4E6ADE8F" w14:textId="338F97AA" w:rsidR="00600726" w:rsidRPr="000B3CA3" w:rsidRDefault="00C27177" w:rsidP="00CC37ED">
            <w:pPr>
              <w:rPr>
                <w:rFonts w:cs="Arial"/>
                <w:sz w:val="18"/>
                <w:szCs w:val="18"/>
              </w:rPr>
            </w:pPr>
            <w:r w:rsidRPr="000B3CA3">
              <w:rPr>
                <w:rFonts w:cs="Arial"/>
                <w:sz w:val="18"/>
                <w:szCs w:val="18"/>
              </w:rPr>
              <w:t xml:space="preserve">Professor Andrew Wilson, </w:t>
            </w:r>
            <w:r w:rsidR="00C17E6B" w:rsidRPr="000B3CA3">
              <w:rPr>
                <w:rFonts w:cs="Arial"/>
                <w:sz w:val="18"/>
                <w:szCs w:val="18"/>
              </w:rPr>
              <w:t>Conjoint Pr</w:t>
            </w:r>
            <w:r w:rsidR="00944363" w:rsidRPr="000B3CA3">
              <w:rPr>
                <w:rFonts w:cs="Arial"/>
                <w:sz w:val="18"/>
                <w:szCs w:val="18"/>
              </w:rPr>
              <w:t>o</w:t>
            </w:r>
            <w:r w:rsidR="00C17E6B" w:rsidRPr="000B3CA3">
              <w:rPr>
                <w:rFonts w:cs="Arial"/>
                <w:sz w:val="18"/>
                <w:szCs w:val="18"/>
              </w:rPr>
              <w:t xml:space="preserve">fessor Anne Duggan, </w:t>
            </w:r>
            <w:r w:rsidRPr="000B3CA3">
              <w:rPr>
                <w:rFonts w:cs="Arial"/>
                <w:sz w:val="18"/>
                <w:szCs w:val="18"/>
              </w:rPr>
              <w:t xml:space="preserve">Mr Brett Simmonds, Professor Brian Jolly, </w:t>
            </w:r>
            <w:r w:rsidR="00944363" w:rsidRPr="000B3CA3">
              <w:rPr>
                <w:rFonts w:cs="Arial"/>
                <w:sz w:val="18"/>
                <w:szCs w:val="18"/>
              </w:rPr>
              <w:t xml:space="preserve">Ms Catherine Schofield, </w:t>
            </w:r>
            <w:r w:rsidRPr="000B3CA3">
              <w:rPr>
                <w:rFonts w:cs="Arial"/>
                <w:sz w:val="18"/>
                <w:szCs w:val="18"/>
              </w:rPr>
              <w:t xml:space="preserve">Ms Deborah Frew, Dr Helen Gniel, Emeritus Professor Ian </w:t>
            </w:r>
            <w:proofErr w:type="spellStart"/>
            <w:r w:rsidRPr="000B3CA3">
              <w:rPr>
                <w:rFonts w:cs="Arial"/>
                <w:sz w:val="18"/>
                <w:szCs w:val="18"/>
              </w:rPr>
              <w:t>Wronski</w:t>
            </w:r>
            <w:proofErr w:type="spellEnd"/>
            <w:r w:rsidRPr="000B3CA3">
              <w:rPr>
                <w:rFonts w:cs="Arial"/>
                <w:sz w:val="18"/>
                <w:szCs w:val="18"/>
              </w:rPr>
              <w:t xml:space="preserve"> AO, </w:t>
            </w:r>
            <w:proofErr w:type="spellStart"/>
            <w:r w:rsidRPr="000B3CA3">
              <w:rPr>
                <w:rFonts w:cs="Arial"/>
                <w:sz w:val="18"/>
                <w:szCs w:val="18"/>
              </w:rPr>
              <w:t>Mrs</w:t>
            </w:r>
            <w:proofErr w:type="spellEnd"/>
            <w:r w:rsidRPr="000B3CA3">
              <w:rPr>
                <w:rFonts w:cs="Arial"/>
                <w:sz w:val="18"/>
                <w:szCs w:val="18"/>
              </w:rPr>
              <w:t xml:space="preserve"> Kay </w:t>
            </w:r>
            <w:proofErr w:type="spellStart"/>
            <w:r w:rsidRPr="000B3CA3">
              <w:rPr>
                <w:rFonts w:cs="Arial"/>
                <w:sz w:val="18"/>
                <w:szCs w:val="18"/>
              </w:rPr>
              <w:t>Leatherland</w:t>
            </w:r>
            <w:proofErr w:type="spellEnd"/>
            <w:r w:rsidRPr="000B3CA3">
              <w:rPr>
                <w:rFonts w:cs="Arial"/>
                <w:sz w:val="18"/>
                <w:szCs w:val="18"/>
              </w:rPr>
              <w:t xml:space="preserve">, Professor Maree O’Keefe, Ms Narelle Mills, Dr Susan Young, Mr Martin Fletcher, Mr Chris Robertson, Ms Helen Townley, Ms Margaret Grant, </w:t>
            </w:r>
            <w:r w:rsidR="001B6636" w:rsidRPr="000B3CA3">
              <w:rPr>
                <w:rFonts w:cs="Arial"/>
                <w:sz w:val="18"/>
                <w:szCs w:val="18"/>
              </w:rPr>
              <w:t xml:space="preserve">Ms Kerryn Rozenbergs, </w:t>
            </w:r>
            <w:r w:rsidR="00C17E6B" w:rsidRPr="000B3CA3">
              <w:rPr>
                <w:rFonts w:cs="Arial"/>
                <w:sz w:val="18"/>
                <w:szCs w:val="18"/>
              </w:rPr>
              <w:t>Mr Peter Knapp</w:t>
            </w:r>
          </w:p>
        </w:tc>
      </w:tr>
      <w:tr w:rsidR="009C19C8" w:rsidRPr="000B3CA3" w14:paraId="087A474C" w14:textId="77777777" w:rsidTr="00690D3E">
        <w:tc>
          <w:tcPr>
            <w:tcW w:w="2532" w:type="dxa"/>
            <w:tcBorders>
              <w:top w:val="single" w:sz="6" w:space="0" w:color="FFFFFF" w:themeColor="background1"/>
              <w:left w:val="inset" w:sz="6" w:space="0" w:color="auto"/>
              <w:bottom w:val="single" w:sz="6" w:space="0" w:color="FFFFFF" w:themeColor="background1"/>
            </w:tcBorders>
            <w:shd w:val="clear" w:color="auto" w:fill="F2F2F2" w:themeFill="background1" w:themeFillShade="F2"/>
          </w:tcPr>
          <w:p w14:paraId="29FF4D23" w14:textId="254E665D" w:rsidR="009C19C8" w:rsidRPr="000B3CA3" w:rsidRDefault="003C55AF" w:rsidP="00600726">
            <w:pPr>
              <w:pStyle w:val="AHPRAbody"/>
              <w:rPr>
                <w:sz w:val="18"/>
                <w:szCs w:val="18"/>
              </w:rPr>
            </w:pPr>
            <w:r w:rsidRPr="000B3CA3">
              <w:rPr>
                <w:sz w:val="18"/>
                <w:szCs w:val="18"/>
              </w:rPr>
              <w:t>2 March 2022</w:t>
            </w:r>
          </w:p>
        </w:tc>
        <w:tc>
          <w:tcPr>
            <w:tcW w:w="7391" w:type="dxa"/>
            <w:tcBorders>
              <w:top w:val="single" w:sz="6" w:space="0" w:color="FFFFFF" w:themeColor="background1"/>
              <w:bottom w:val="single" w:sz="6" w:space="0" w:color="FFFFFF" w:themeColor="background1"/>
              <w:right w:val="inset" w:sz="6" w:space="0" w:color="auto"/>
            </w:tcBorders>
            <w:shd w:val="clear" w:color="auto" w:fill="F2F2F2" w:themeFill="background1" w:themeFillShade="F2"/>
          </w:tcPr>
          <w:p w14:paraId="423F10F4" w14:textId="707C1338" w:rsidR="009C19C8" w:rsidRPr="000B3CA3" w:rsidRDefault="00440B19" w:rsidP="00CC37ED">
            <w:pPr>
              <w:rPr>
                <w:rFonts w:cs="Arial"/>
                <w:sz w:val="18"/>
                <w:szCs w:val="18"/>
              </w:rPr>
            </w:pPr>
            <w:r w:rsidRPr="000B3CA3">
              <w:rPr>
                <w:rFonts w:cs="Arial"/>
                <w:sz w:val="18"/>
                <w:szCs w:val="18"/>
              </w:rPr>
              <w:t xml:space="preserve">Professor Andrew Wilson, Ms Alison Barnes, Mr Brett Simmonds, Professor Brian Jolly, Dr Heather Buchan, Emeritus Professor Ian Wronski AO, </w:t>
            </w:r>
            <w:proofErr w:type="spellStart"/>
            <w:r w:rsidRPr="000B3CA3">
              <w:rPr>
                <w:rFonts w:cs="Arial"/>
                <w:sz w:val="18"/>
                <w:szCs w:val="18"/>
              </w:rPr>
              <w:t>Mr</w:t>
            </w:r>
            <w:proofErr w:type="spellEnd"/>
            <w:r w:rsidRPr="000B3CA3">
              <w:rPr>
                <w:rFonts w:cs="Arial"/>
                <w:sz w:val="18"/>
                <w:szCs w:val="18"/>
              </w:rPr>
              <w:t xml:space="preserve"> Jeffrey </w:t>
            </w:r>
            <w:proofErr w:type="spellStart"/>
            <w:r w:rsidRPr="000B3CA3">
              <w:rPr>
                <w:rFonts w:cs="Arial"/>
                <w:sz w:val="18"/>
                <w:szCs w:val="18"/>
              </w:rPr>
              <w:t>Moffet</w:t>
            </w:r>
            <w:proofErr w:type="spellEnd"/>
            <w:r w:rsidRPr="000B3CA3">
              <w:rPr>
                <w:rFonts w:cs="Arial"/>
                <w:sz w:val="18"/>
                <w:szCs w:val="18"/>
              </w:rPr>
              <w:t xml:space="preserve">, </w:t>
            </w:r>
            <w:proofErr w:type="spellStart"/>
            <w:r w:rsidRPr="000B3CA3">
              <w:rPr>
                <w:rFonts w:cs="Arial"/>
                <w:sz w:val="18"/>
                <w:szCs w:val="18"/>
              </w:rPr>
              <w:t>Mrs</w:t>
            </w:r>
            <w:proofErr w:type="spellEnd"/>
            <w:r w:rsidRPr="000B3CA3">
              <w:rPr>
                <w:rFonts w:cs="Arial"/>
                <w:sz w:val="18"/>
                <w:szCs w:val="18"/>
              </w:rPr>
              <w:t xml:space="preserve"> Kay </w:t>
            </w:r>
            <w:proofErr w:type="spellStart"/>
            <w:r w:rsidRPr="000B3CA3">
              <w:rPr>
                <w:rFonts w:cs="Arial"/>
                <w:sz w:val="18"/>
                <w:szCs w:val="18"/>
              </w:rPr>
              <w:t>Leatherland</w:t>
            </w:r>
            <w:proofErr w:type="spellEnd"/>
            <w:r w:rsidRPr="000B3CA3">
              <w:rPr>
                <w:rFonts w:cs="Arial"/>
                <w:sz w:val="18"/>
                <w:szCs w:val="18"/>
              </w:rPr>
              <w:t xml:space="preserve">, Professor Maree O’Keefe, Ms Narelle Mills, Dr Susan Young, Adjunct Professor Veronica Casey AM, Mr Martin Fletcher, Mr Chris Robertson, Ms Helen Townley, Ms Kerryn Rozenbergs, Ms Margaret Grant, </w:t>
            </w:r>
            <w:r w:rsidR="00232B7A" w:rsidRPr="000B3CA3">
              <w:rPr>
                <w:rFonts w:cs="Arial"/>
                <w:sz w:val="18"/>
                <w:szCs w:val="18"/>
              </w:rPr>
              <w:t>Mr Peter Knapp</w:t>
            </w:r>
          </w:p>
        </w:tc>
      </w:tr>
      <w:tr w:rsidR="003A1226" w:rsidRPr="000B3CA3" w14:paraId="299B0AAD" w14:textId="77777777" w:rsidTr="00F42097">
        <w:trPr>
          <w:trHeight w:val="1197"/>
        </w:trPr>
        <w:tc>
          <w:tcPr>
            <w:tcW w:w="2532" w:type="dxa"/>
            <w:tcBorders>
              <w:top w:val="single" w:sz="6" w:space="0" w:color="FFFFFF" w:themeColor="background1"/>
              <w:left w:val="inset" w:sz="6" w:space="0" w:color="auto"/>
              <w:bottom w:val="inset" w:sz="6" w:space="0" w:color="auto"/>
            </w:tcBorders>
            <w:shd w:val="clear" w:color="auto" w:fill="F2F2F2" w:themeFill="background1" w:themeFillShade="F2"/>
          </w:tcPr>
          <w:p w14:paraId="560DDC3D" w14:textId="5D828FA0" w:rsidR="001C1A57" w:rsidRPr="000B3CA3" w:rsidRDefault="00EF0229" w:rsidP="00BE1261">
            <w:pPr>
              <w:spacing w:before="200" w:line="240" w:lineRule="auto"/>
              <w:contextualSpacing/>
              <w:rPr>
                <w:rFonts w:cs="Arial"/>
                <w:sz w:val="18"/>
                <w:szCs w:val="18"/>
              </w:rPr>
            </w:pPr>
            <w:r w:rsidRPr="000B3CA3">
              <w:rPr>
                <w:rFonts w:cs="Arial"/>
                <w:sz w:val="18"/>
                <w:szCs w:val="18"/>
              </w:rPr>
              <w:t>1 June 2022</w:t>
            </w:r>
          </w:p>
        </w:tc>
        <w:tc>
          <w:tcPr>
            <w:tcW w:w="7391" w:type="dxa"/>
            <w:tcBorders>
              <w:top w:val="single" w:sz="6" w:space="0" w:color="FFFFFF" w:themeColor="background1"/>
              <w:bottom w:val="inset" w:sz="6" w:space="0" w:color="auto"/>
              <w:right w:val="inset" w:sz="6" w:space="0" w:color="auto"/>
            </w:tcBorders>
            <w:shd w:val="clear" w:color="auto" w:fill="F2F2F2" w:themeFill="background1" w:themeFillShade="F2"/>
          </w:tcPr>
          <w:p w14:paraId="6CC701C0" w14:textId="3EBD9C63" w:rsidR="006467AB" w:rsidRPr="000B3CA3" w:rsidRDefault="00F934FE" w:rsidP="00CC5BA4">
            <w:pPr>
              <w:spacing w:before="200" w:line="240" w:lineRule="auto"/>
              <w:contextualSpacing/>
              <w:rPr>
                <w:rFonts w:cs="Arial"/>
                <w:sz w:val="18"/>
                <w:szCs w:val="18"/>
              </w:rPr>
            </w:pPr>
            <w:r w:rsidRPr="000B3CA3">
              <w:rPr>
                <w:rFonts w:cs="Arial"/>
                <w:sz w:val="18"/>
                <w:szCs w:val="18"/>
              </w:rPr>
              <w:t xml:space="preserve">Professor Andrew Wilson, Ms Alison Barnes, Mr Brett Simmonds, Professor Brian Jolly, Dr Hamza Vayani, Dr Heather Buchan, Dr Helen Gniel, Emeritus Professor Ian Wronski AO, Mr Jeffrey Moffet, Professor Maree O’Keefe, Ms Narelle Mills, Adjunct Professor Veronica Casey AM, Mr Martin Fletcher, Mr Chris Robertson, Ms Helen Townley, Ms Margaret Grant, Ms Kerryn Rozenbergs, </w:t>
            </w:r>
            <w:r w:rsidR="009366CB" w:rsidRPr="000B3CA3">
              <w:rPr>
                <w:rFonts w:cs="Arial"/>
                <w:sz w:val="18"/>
                <w:szCs w:val="18"/>
              </w:rPr>
              <w:t>Mr Peter Knapp</w:t>
            </w:r>
          </w:p>
        </w:tc>
      </w:tr>
    </w:tbl>
    <w:p w14:paraId="3BF5664A" w14:textId="21850276" w:rsidR="00D721FE" w:rsidRPr="000B3CA3" w:rsidRDefault="009811D9" w:rsidP="0038564F">
      <w:pPr>
        <w:pStyle w:val="AHPRASubheading"/>
        <w:rPr>
          <w:lang w:val="en-US"/>
        </w:rPr>
      </w:pPr>
      <w:r w:rsidRPr="000B3CA3">
        <w:rPr>
          <w:lang w:val="en-US"/>
        </w:rPr>
        <w:t>Reporting</w:t>
      </w:r>
    </w:p>
    <w:p w14:paraId="5061FDBF" w14:textId="4C178E3E" w:rsidR="00CC37ED" w:rsidRPr="000B3CA3" w:rsidRDefault="00CC37ED" w:rsidP="00690D3E">
      <w:pPr>
        <w:pStyle w:val="AHPRAbody"/>
      </w:pPr>
      <w:r w:rsidRPr="000B3CA3">
        <w:t xml:space="preserve">The Committee </w:t>
      </w:r>
      <w:r w:rsidR="00272215" w:rsidRPr="000B3CA3">
        <w:t>submitted a record</w:t>
      </w:r>
      <w:r w:rsidRPr="000B3CA3">
        <w:t xml:space="preserve"> of each meeting</w:t>
      </w:r>
      <w:r w:rsidR="00326273" w:rsidRPr="000B3CA3">
        <w:t xml:space="preserve"> in 202</w:t>
      </w:r>
      <w:r w:rsidR="00732794" w:rsidRPr="000B3CA3">
        <w:t>1</w:t>
      </w:r>
      <w:r w:rsidR="00326273" w:rsidRPr="000B3CA3">
        <w:t>/2</w:t>
      </w:r>
      <w:r w:rsidR="00732794" w:rsidRPr="000B3CA3">
        <w:t>2</w:t>
      </w:r>
      <w:r w:rsidRPr="000B3CA3">
        <w:t xml:space="preserve"> </w:t>
      </w:r>
      <w:r w:rsidR="00272215" w:rsidRPr="000B3CA3">
        <w:t xml:space="preserve">to the next </w:t>
      </w:r>
      <w:r w:rsidR="005E6458">
        <w:t>Ahpra Board</w:t>
      </w:r>
      <w:r w:rsidR="00272215" w:rsidRPr="000B3CA3">
        <w:t xml:space="preserve"> meeting</w:t>
      </w:r>
      <w:r w:rsidR="00E51E6E" w:rsidRPr="000B3CA3">
        <w:t xml:space="preserve"> as well as to each of the nominating bodies. The Committee </w:t>
      </w:r>
      <w:r w:rsidR="00062295" w:rsidRPr="000B3CA3">
        <w:t xml:space="preserve">also published a </w:t>
      </w:r>
      <w:r w:rsidR="00E51E6E" w:rsidRPr="000B3CA3">
        <w:t>communiqué</w:t>
      </w:r>
      <w:r w:rsidR="00062295" w:rsidRPr="000B3CA3">
        <w:t xml:space="preserve"> on its webpage</w:t>
      </w:r>
      <w:r w:rsidR="00E51E6E" w:rsidRPr="000B3CA3">
        <w:t xml:space="preserve"> following each meeting. </w:t>
      </w:r>
    </w:p>
    <w:p w14:paraId="5A50728F" w14:textId="5710B0A0" w:rsidR="00580D71" w:rsidRPr="000B3CA3" w:rsidRDefault="00580D71" w:rsidP="0038564F">
      <w:pPr>
        <w:pStyle w:val="AHPRASubheading"/>
        <w:rPr>
          <w:rFonts w:cs="Arial"/>
          <w:szCs w:val="20"/>
        </w:rPr>
      </w:pPr>
      <w:r w:rsidRPr="000B3CA3">
        <w:rPr>
          <w:lang w:val="en-US"/>
        </w:rPr>
        <w:t xml:space="preserve">Committee activities </w:t>
      </w:r>
      <w:r w:rsidR="00C52C56">
        <w:rPr>
          <w:lang w:val="en-US"/>
        </w:rPr>
        <w:t>during 2021/22</w:t>
      </w:r>
    </w:p>
    <w:p w14:paraId="0805B5B9" w14:textId="5AB6C2BB" w:rsidR="00BC66D0" w:rsidRDefault="00BC66D0" w:rsidP="00B03768">
      <w:pPr>
        <w:pStyle w:val="AHPRABulletlevel1last"/>
        <w:numPr>
          <w:ilvl w:val="0"/>
          <w:numId w:val="0"/>
        </w:numPr>
        <w:spacing w:after="0"/>
      </w:pPr>
      <w:bookmarkStart w:id="1" w:name="_Hlk54772250"/>
      <w:r>
        <w:t>The Committee’s achievements d</w:t>
      </w:r>
      <w:r w:rsidR="00CF175E">
        <w:t>uring its first year of operation</w:t>
      </w:r>
      <w:r>
        <w:t xml:space="preserve"> are outlined in the table below. </w:t>
      </w:r>
    </w:p>
    <w:p w14:paraId="087E72CA" w14:textId="77777777" w:rsidR="00BC66D0" w:rsidRDefault="00BC66D0" w:rsidP="00B03768">
      <w:pPr>
        <w:pStyle w:val="AHPRABulletlevel1last"/>
        <w:numPr>
          <w:ilvl w:val="0"/>
          <w:numId w:val="0"/>
        </w:numPr>
        <w:spacing w:after="0"/>
      </w:pPr>
    </w:p>
    <w:tbl>
      <w:tblPr>
        <w:tblStyle w:val="TableGrid"/>
        <w:tblW w:w="9923" w:type="dxa"/>
        <w:tblInd w:w="108" w:type="dxa"/>
        <w:tblLook w:val="04A0" w:firstRow="1" w:lastRow="0" w:firstColumn="1" w:lastColumn="0" w:noHBand="0" w:noVBand="1"/>
      </w:tblPr>
      <w:tblGrid>
        <w:gridCol w:w="1839"/>
        <w:gridCol w:w="3100"/>
        <w:gridCol w:w="4984"/>
      </w:tblGrid>
      <w:tr w:rsidR="00BC66D0" w:rsidRPr="00BC66D0" w14:paraId="7C3E7994" w14:textId="77777777" w:rsidTr="003012F1">
        <w:trPr>
          <w:tblHeader/>
        </w:trPr>
        <w:tc>
          <w:tcPr>
            <w:tcW w:w="1839" w:type="dxa"/>
            <w:shd w:val="clear" w:color="auto" w:fill="007DC3"/>
          </w:tcPr>
          <w:p w14:paraId="578C4CF3" w14:textId="77777777" w:rsidR="00BC66D0" w:rsidRPr="003012F1" w:rsidRDefault="00BC66D0" w:rsidP="003012F1">
            <w:pPr>
              <w:spacing w:line="240" w:lineRule="auto"/>
              <w:rPr>
                <w:rFonts w:cs="Arial"/>
                <w:b/>
                <w:bCs/>
                <w:color w:val="FFFFFF" w:themeColor="background1"/>
                <w:sz w:val="18"/>
                <w:szCs w:val="18"/>
              </w:rPr>
            </w:pPr>
            <w:r w:rsidRPr="003012F1">
              <w:rPr>
                <w:rFonts w:cs="Arial"/>
                <w:b/>
                <w:bCs/>
                <w:color w:val="FFFFFF" w:themeColor="background1"/>
                <w:sz w:val="18"/>
                <w:szCs w:val="18"/>
              </w:rPr>
              <w:t>Areas of work</w:t>
            </w:r>
          </w:p>
        </w:tc>
        <w:tc>
          <w:tcPr>
            <w:tcW w:w="3100" w:type="dxa"/>
            <w:shd w:val="clear" w:color="auto" w:fill="007DC3"/>
          </w:tcPr>
          <w:p w14:paraId="3C70D879" w14:textId="77777777" w:rsidR="00BC66D0" w:rsidRPr="003012F1" w:rsidRDefault="00BC66D0" w:rsidP="00C516E5">
            <w:pPr>
              <w:rPr>
                <w:rFonts w:cs="Arial"/>
                <w:b/>
                <w:bCs/>
                <w:color w:val="FFFFFF" w:themeColor="background1"/>
                <w:sz w:val="18"/>
                <w:szCs w:val="18"/>
              </w:rPr>
            </w:pPr>
            <w:r w:rsidRPr="003012F1">
              <w:rPr>
                <w:rFonts w:cs="Arial"/>
                <w:b/>
                <w:bCs/>
                <w:color w:val="FFFFFF" w:themeColor="background1"/>
                <w:sz w:val="18"/>
                <w:szCs w:val="18"/>
              </w:rPr>
              <w:t>Deliverable</w:t>
            </w:r>
          </w:p>
        </w:tc>
        <w:tc>
          <w:tcPr>
            <w:tcW w:w="4984" w:type="dxa"/>
            <w:shd w:val="clear" w:color="auto" w:fill="007DC3"/>
          </w:tcPr>
          <w:p w14:paraId="502D7DC3" w14:textId="7C0C91AB" w:rsidR="00BC66D0" w:rsidRPr="003012F1" w:rsidRDefault="00BC66D0" w:rsidP="00C516E5">
            <w:pPr>
              <w:rPr>
                <w:rFonts w:cs="Arial"/>
                <w:b/>
                <w:bCs/>
                <w:color w:val="FFFFFF" w:themeColor="background1"/>
                <w:sz w:val="18"/>
                <w:szCs w:val="18"/>
              </w:rPr>
            </w:pPr>
            <w:r w:rsidRPr="008F61EE">
              <w:rPr>
                <w:rFonts w:cs="Arial"/>
                <w:b/>
                <w:bCs/>
                <w:color w:val="FFFFFF" w:themeColor="background1"/>
                <w:sz w:val="18"/>
                <w:szCs w:val="18"/>
              </w:rPr>
              <w:t xml:space="preserve">Achievements </w:t>
            </w:r>
            <w:r>
              <w:rPr>
                <w:rFonts w:cs="Arial"/>
                <w:b/>
                <w:bCs/>
                <w:color w:val="FFFFFF" w:themeColor="background1"/>
                <w:sz w:val="18"/>
                <w:szCs w:val="18"/>
              </w:rPr>
              <w:t xml:space="preserve">in </w:t>
            </w:r>
            <w:r w:rsidR="008F61EE">
              <w:rPr>
                <w:rFonts w:cs="Arial"/>
                <w:b/>
                <w:bCs/>
                <w:color w:val="FFFFFF" w:themeColor="background1"/>
                <w:sz w:val="18"/>
                <w:szCs w:val="18"/>
              </w:rPr>
              <w:t>2021-22</w:t>
            </w:r>
          </w:p>
        </w:tc>
      </w:tr>
      <w:tr w:rsidR="00BC66D0" w:rsidRPr="00BC66D0" w14:paraId="12CD26A7" w14:textId="77777777" w:rsidTr="003012F1">
        <w:tc>
          <w:tcPr>
            <w:tcW w:w="1839" w:type="dxa"/>
          </w:tcPr>
          <w:p w14:paraId="03CB1782" w14:textId="77777777" w:rsidR="00BC66D0" w:rsidRPr="003012F1" w:rsidRDefault="00BC66D0" w:rsidP="003012F1">
            <w:pPr>
              <w:spacing w:line="240" w:lineRule="auto"/>
              <w:rPr>
                <w:rFonts w:cs="Arial"/>
                <w:sz w:val="18"/>
                <w:szCs w:val="18"/>
              </w:rPr>
            </w:pPr>
            <w:r w:rsidRPr="003012F1">
              <w:rPr>
                <w:rFonts w:cs="Arial"/>
                <w:sz w:val="18"/>
                <w:szCs w:val="18"/>
              </w:rPr>
              <w:t>All</w:t>
            </w:r>
          </w:p>
        </w:tc>
        <w:tc>
          <w:tcPr>
            <w:tcW w:w="3100" w:type="dxa"/>
          </w:tcPr>
          <w:p w14:paraId="215189B4"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Glossary of terms across the spectrum of accreditation</w:t>
            </w:r>
          </w:p>
        </w:tc>
        <w:tc>
          <w:tcPr>
            <w:tcW w:w="4984" w:type="dxa"/>
          </w:tcPr>
          <w:p w14:paraId="559940C3" w14:textId="57D93259" w:rsidR="00BC66D0" w:rsidRPr="00BC66D0" w:rsidRDefault="00BC66D0" w:rsidP="003012F1">
            <w:pPr>
              <w:pStyle w:val="ListParagraph"/>
              <w:numPr>
                <w:ilvl w:val="0"/>
                <w:numId w:val="49"/>
              </w:numPr>
              <w:spacing w:line="240" w:lineRule="auto"/>
              <w:rPr>
                <w:rFonts w:cs="Arial"/>
                <w:sz w:val="18"/>
                <w:szCs w:val="18"/>
              </w:rPr>
            </w:pPr>
            <w:r>
              <w:rPr>
                <w:rFonts w:cs="Arial"/>
                <w:sz w:val="18"/>
                <w:szCs w:val="18"/>
              </w:rPr>
              <w:t xml:space="preserve">The Committee </w:t>
            </w:r>
            <w:r w:rsidRPr="00BC66D0">
              <w:rPr>
                <w:rFonts w:cs="Arial"/>
                <w:sz w:val="18"/>
                <w:szCs w:val="18"/>
              </w:rPr>
              <w:t>agreed that initial work should focus on the development of a glossary of agreed terms and definitions across the spectrum of accreditation, recognising the importance of shared language to progressing the committee’s whole-of-scheme and cross-profession advice in a range of areas.</w:t>
            </w:r>
          </w:p>
          <w:p w14:paraId="501C9010" w14:textId="77777777" w:rsidR="00BC66D0" w:rsidRPr="003012F1" w:rsidRDefault="00BC66D0" w:rsidP="00BC66D0">
            <w:pPr>
              <w:pStyle w:val="ListParagraph"/>
              <w:numPr>
                <w:ilvl w:val="0"/>
                <w:numId w:val="49"/>
              </w:numPr>
              <w:spacing w:line="240" w:lineRule="auto"/>
              <w:rPr>
                <w:rFonts w:cs="Arial"/>
                <w:sz w:val="18"/>
                <w:szCs w:val="18"/>
              </w:rPr>
            </w:pPr>
            <w:r w:rsidRPr="003012F1">
              <w:rPr>
                <w:rFonts w:cs="Arial"/>
                <w:sz w:val="18"/>
                <w:szCs w:val="18"/>
              </w:rPr>
              <w:t>Ahpra and the HPACF prepared a joint paper for the Committee’s consideration outlining a detailed project plan and preliminary list of terms to be included in the glossary.</w:t>
            </w:r>
          </w:p>
          <w:p w14:paraId="72CF8F33" w14:textId="77777777" w:rsidR="00BC66D0" w:rsidRPr="003012F1" w:rsidRDefault="00BC66D0" w:rsidP="00BC66D0">
            <w:pPr>
              <w:pStyle w:val="ListParagraph"/>
              <w:numPr>
                <w:ilvl w:val="0"/>
                <w:numId w:val="49"/>
              </w:numPr>
              <w:spacing w:line="240" w:lineRule="auto"/>
              <w:rPr>
                <w:rFonts w:cs="Arial"/>
                <w:sz w:val="18"/>
                <w:szCs w:val="18"/>
              </w:rPr>
            </w:pPr>
            <w:r w:rsidRPr="003012F1">
              <w:rPr>
                <w:rFonts w:cs="Arial"/>
                <w:sz w:val="18"/>
                <w:szCs w:val="18"/>
              </w:rPr>
              <w:t xml:space="preserve">The Committee established a joint HPACF-Ahpra Working Group comprising representatives from Ahpra and the HPACF Accreditation Managers Sub-Committee to progress work </w:t>
            </w:r>
            <w:r w:rsidRPr="003012F1">
              <w:rPr>
                <w:rFonts w:cs="Arial"/>
                <w:sz w:val="18"/>
                <w:szCs w:val="18"/>
                <w:lang w:eastAsia="en-AU"/>
              </w:rPr>
              <w:t xml:space="preserve">in line with the Committee’s agreed collaborative approach and methodology </w:t>
            </w:r>
          </w:p>
          <w:p w14:paraId="1FB58C1E" w14:textId="77777777" w:rsidR="00BC66D0" w:rsidRPr="003012F1" w:rsidRDefault="00BC66D0" w:rsidP="00BC66D0">
            <w:pPr>
              <w:pStyle w:val="ListParagraph"/>
              <w:numPr>
                <w:ilvl w:val="0"/>
                <w:numId w:val="49"/>
              </w:numPr>
              <w:spacing w:line="240" w:lineRule="auto"/>
              <w:rPr>
                <w:rFonts w:cs="Arial"/>
                <w:sz w:val="18"/>
                <w:szCs w:val="18"/>
              </w:rPr>
            </w:pPr>
            <w:r w:rsidRPr="003012F1">
              <w:rPr>
                <w:rFonts w:cs="Arial"/>
                <w:sz w:val="18"/>
                <w:szCs w:val="18"/>
              </w:rPr>
              <w:t xml:space="preserve">The Committee provided expert advice on and approved an initial list of proposed terms </w:t>
            </w:r>
            <w:r w:rsidRPr="003012F1">
              <w:rPr>
                <w:rFonts w:cs="Arial"/>
                <w:sz w:val="18"/>
                <w:szCs w:val="18"/>
                <w:lang w:eastAsia="en-AU"/>
              </w:rPr>
              <w:t xml:space="preserve">across the areas of work covered by the Committee’s initial work plan. This list formed the </w:t>
            </w:r>
            <w:r w:rsidRPr="003012F1">
              <w:rPr>
                <w:rFonts w:cs="Arial"/>
                <w:sz w:val="18"/>
                <w:szCs w:val="18"/>
              </w:rPr>
              <w:t>basis for an initial tranche of terms/meanings for inclusion in the glossary</w:t>
            </w:r>
          </w:p>
        </w:tc>
      </w:tr>
      <w:tr w:rsidR="00BC66D0" w:rsidRPr="00BC66D0" w14:paraId="226D71A5" w14:textId="77777777" w:rsidTr="003012F1">
        <w:tc>
          <w:tcPr>
            <w:tcW w:w="1839" w:type="dxa"/>
          </w:tcPr>
          <w:p w14:paraId="6350A0A5" w14:textId="77777777" w:rsidR="00BC66D0" w:rsidRPr="003012F1" w:rsidRDefault="00BC66D0" w:rsidP="003012F1">
            <w:pPr>
              <w:spacing w:line="240" w:lineRule="auto"/>
              <w:rPr>
                <w:rFonts w:cs="Arial"/>
                <w:sz w:val="18"/>
                <w:szCs w:val="18"/>
              </w:rPr>
            </w:pPr>
            <w:r w:rsidRPr="003012F1">
              <w:rPr>
                <w:rFonts w:cs="Arial"/>
                <w:sz w:val="18"/>
                <w:szCs w:val="18"/>
              </w:rPr>
              <w:t xml:space="preserve">Fostering good practice and </w:t>
            </w:r>
            <w:r w:rsidRPr="003012F1">
              <w:rPr>
                <w:rFonts w:cs="Arial"/>
                <w:sz w:val="18"/>
                <w:szCs w:val="18"/>
              </w:rPr>
              <w:lastRenderedPageBreak/>
              <w:t xml:space="preserve">enhancing efficiency in </w:t>
            </w:r>
            <w:r w:rsidRPr="003012F1">
              <w:rPr>
                <w:rFonts w:cs="Arial"/>
                <w:b/>
                <w:bCs/>
                <w:sz w:val="18"/>
                <w:szCs w:val="18"/>
              </w:rPr>
              <w:t>professional capabilities and in accreditation standards</w:t>
            </w:r>
            <w:r w:rsidRPr="003012F1">
              <w:rPr>
                <w:rFonts w:cs="Arial"/>
                <w:sz w:val="18"/>
                <w:szCs w:val="18"/>
              </w:rPr>
              <w:t xml:space="preserve"> </w:t>
            </w:r>
            <w:r w:rsidRPr="003012F1">
              <w:rPr>
                <w:rFonts w:cs="Arial"/>
                <w:b/>
                <w:bCs/>
                <w:sz w:val="18"/>
                <w:szCs w:val="18"/>
              </w:rPr>
              <w:t xml:space="preserve">and processes </w:t>
            </w:r>
            <w:r w:rsidRPr="003012F1">
              <w:rPr>
                <w:rFonts w:cs="Arial"/>
                <w:sz w:val="18"/>
                <w:szCs w:val="18"/>
              </w:rPr>
              <w:t>across National Scheme professions</w:t>
            </w:r>
          </w:p>
        </w:tc>
        <w:tc>
          <w:tcPr>
            <w:tcW w:w="3100" w:type="dxa"/>
          </w:tcPr>
          <w:p w14:paraId="272FBAD3"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lastRenderedPageBreak/>
              <w:t xml:space="preserve">Advice for National Scheme entities on fostering good </w:t>
            </w:r>
            <w:r w:rsidRPr="003012F1">
              <w:rPr>
                <w:rFonts w:cs="Arial"/>
                <w:sz w:val="18"/>
                <w:szCs w:val="18"/>
              </w:rPr>
              <w:lastRenderedPageBreak/>
              <w:t>practice and enhancing efficiency in the development of professional capabilities and in accreditation standards and processes</w:t>
            </w:r>
          </w:p>
        </w:tc>
        <w:tc>
          <w:tcPr>
            <w:tcW w:w="4984" w:type="dxa"/>
          </w:tcPr>
          <w:p w14:paraId="6D1F052B" w14:textId="77777777" w:rsidR="00BC66D0" w:rsidRPr="003012F1" w:rsidRDefault="00BC66D0" w:rsidP="00BC66D0">
            <w:pPr>
              <w:pStyle w:val="ListParagraph"/>
              <w:numPr>
                <w:ilvl w:val="0"/>
                <w:numId w:val="48"/>
              </w:numPr>
              <w:spacing w:line="240" w:lineRule="auto"/>
              <w:rPr>
                <w:rFonts w:cs="Arial"/>
                <w:sz w:val="18"/>
                <w:szCs w:val="18"/>
              </w:rPr>
            </w:pPr>
            <w:r w:rsidRPr="003012F1">
              <w:rPr>
                <w:rFonts w:cs="Arial"/>
                <w:sz w:val="18"/>
                <w:szCs w:val="18"/>
              </w:rPr>
              <w:lastRenderedPageBreak/>
              <w:t xml:space="preserve">The Committee reviewed initial work including mapping of existing commonalities in professional capabilities and </w:t>
            </w:r>
            <w:r w:rsidRPr="003012F1">
              <w:rPr>
                <w:rFonts w:cs="Arial"/>
                <w:sz w:val="18"/>
                <w:szCs w:val="18"/>
              </w:rPr>
              <w:lastRenderedPageBreak/>
              <w:t>accreditation standards and accreditation processes across regulated health professions</w:t>
            </w:r>
          </w:p>
          <w:p w14:paraId="5A163EA0" w14:textId="77777777" w:rsidR="00BC66D0" w:rsidRPr="003012F1" w:rsidRDefault="00BC66D0" w:rsidP="00C516E5">
            <w:pPr>
              <w:pStyle w:val="ListParagraph"/>
              <w:rPr>
                <w:rFonts w:cs="Arial"/>
                <w:sz w:val="18"/>
                <w:szCs w:val="18"/>
              </w:rPr>
            </w:pPr>
          </w:p>
        </w:tc>
      </w:tr>
      <w:tr w:rsidR="00BC66D0" w:rsidRPr="00BC66D0" w14:paraId="4BB6FAF4" w14:textId="77777777" w:rsidTr="003012F1">
        <w:tc>
          <w:tcPr>
            <w:tcW w:w="1839" w:type="dxa"/>
            <w:vMerge w:val="restart"/>
          </w:tcPr>
          <w:p w14:paraId="5BAD8189" w14:textId="77777777" w:rsidR="00BC66D0" w:rsidRPr="003012F1" w:rsidRDefault="00BC66D0" w:rsidP="003012F1">
            <w:pPr>
              <w:spacing w:line="240" w:lineRule="auto"/>
              <w:rPr>
                <w:rFonts w:cs="Arial"/>
                <w:sz w:val="18"/>
                <w:szCs w:val="18"/>
              </w:rPr>
            </w:pPr>
            <w:r w:rsidRPr="003012F1">
              <w:rPr>
                <w:rFonts w:cs="Arial"/>
                <w:sz w:val="18"/>
                <w:szCs w:val="18"/>
              </w:rPr>
              <w:lastRenderedPageBreak/>
              <w:t xml:space="preserve">Embedding </w:t>
            </w:r>
            <w:r w:rsidRPr="003012F1">
              <w:rPr>
                <w:rFonts w:cs="Arial"/>
                <w:b/>
                <w:bCs/>
                <w:sz w:val="18"/>
                <w:szCs w:val="18"/>
              </w:rPr>
              <w:t>interprofessional education and collaborative practice</w:t>
            </w:r>
            <w:r w:rsidRPr="003012F1">
              <w:rPr>
                <w:rFonts w:cs="Arial"/>
                <w:sz w:val="18"/>
                <w:szCs w:val="18"/>
              </w:rPr>
              <w:t xml:space="preserve"> in health practitioner education</w:t>
            </w:r>
          </w:p>
        </w:tc>
        <w:tc>
          <w:tcPr>
            <w:tcW w:w="3100" w:type="dxa"/>
          </w:tcPr>
          <w:p w14:paraId="2A4F4042"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A glossary of common terminology and language relevant to interprofessional education (IPE) and interprofessional collaborative practice (IPCP) for use in accreditation standards, professional capabilities/</w:t>
            </w:r>
            <w:proofErr w:type="gramStart"/>
            <w:r w:rsidRPr="003012F1">
              <w:rPr>
                <w:rFonts w:cs="Arial"/>
                <w:sz w:val="18"/>
                <w:szCs w:val="18"/>
              </w:rPr>
              <w:t>competencies</w:t>
            </w:r>
            <w:proofErr w:type="gramEnd"/>
            <w:r w:rsidRPr="003012F1">
              <w:rPr>
                <w:rFonts w:cs="Arial"/>
                <w:sz w:val="18"/>
                <w:szCs w:val="18"/>
              </w:rPr>
              <w:t xml:space="preserve"> and accreditation processes (to be commenced as part of Deliverable 1)</w:t>
            </w:r>
          </w:p>
        </w:tc>
        <w:tc>
          <w:tcPr>
            <w:tcW w:w="4984" w:type="dxa"/>
          </w:tcPr>
          <w:p w14:paraId="3D60F580" w14:textId="77777777" w:rsidR="00BC66D0" w:rsidRPr="003012F1" w:rsidRDefault="00BC66D0" w:rsidP="00C516E5">
            <w:pPr>
              <w:rPr>
                <w:rFonts w:cs="Arial"/>
                <w:sz w:val="18"/>
                <w:szCs w:val="18"/>
              </w:rPr>
            </w:pPr>
            <w:r w:rsidRPr="003012F1">
              <w:rPr>
                <w:rFonts w:cs="Arial"/>
                <w:sz w:val="18"/>
                <w:szCs w:val="18"/>
              </w:rPr>
              <w:t>Work on common language relevant to IPE and IPCP is being progressed as part of Deliverable 1.</w:t>
            </w:r>
          </w:p>
        </w:tc>
      </w:tr>
      <w:tr w:rsidR="00BC66D0" w:rsidRPr="00BC66D0" w14:paraId="7E9BB2F4" w14:textId="77777777" w:rsidTr="003012F1">
        <w:tc>
          <w:tcPr>
            <w:tcW w:w="1839" w:type="dxa"/>
            <w:vMerge/>
          </w:tcPr>
          <w:p w14:paraId="45C6391C" w14:textId="77777777" w:rsidR="00BC66D0" w:rsidRPr="003012F1" w:rsidRDefault="00BC66D0" w:rsidP="003012F1">
            <w:pPr>
              <w:spacing w:line="240" w:lineRule="auto"/>
              <w:rPr>
                <w:rFonts w:cs="Arial"/>
                <w:sz w:val="18"/>
                <w:szCs w:val="18"/>
              </w:rPr>
            </w:pPr>
          </w:p>
        </w:tc>
        <w:tc>
          <w:tcPr>
            <w:tcW w:w="3100" w:type="dxa"/>
          </w:tcPr>
          <w:p w14:paraId="6089B22C"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 xml:space="preserve">A National Scheme IPE and IPCP statement of intent with a commitment between the 15 national health practitioner boards (the National Boards), Accreditation Authorities, Ahpra and health and education sector leaders and organisations. The statement could encourage stakeholders across the health system to </w:t>
            </w:r>
            <w:proofErr w:type="gramStart"/>
            <w:r w:rsidRPr="003012F1">
              <w:rPr>
                <w:rFonts w:cs="Arial"/>
                <w:sz w:val="18"/>
                <w:szCs w:val="18"/>
              </w:rPr>
              <w:t>take action</w:t>
            </w:r>
            <w:proofErr w:type="gramEnd"/>
            <w:r w:rsidRPr="003012F1">
              <w:rPr>
                <w:rFonts w:cs="Arial"/>
                <w:sz w:val="18"/>
                <w:szCs w:val="18"/>
              </w:rPr>
              <w:t xml:space="preserve"> within their sphere of influence to further support and embed IPCP across the health system, in education, training and practice, focused </w:t>
            </w:r>
            <w:r w:rsidRPr="003012F1">
              <w:rPr>
                <w:rFonts w:cs="Arial"/>
                <w:sz w:val="18"/>
                <w:szCs w:val="18"/>
              </w:rPr>
              <w:lastRenderedPageBreak/>
              <w:t>on quality and safety of patient-centred care in Australia. In the future this could involve developing a National Scheme strategy on IPCP.</w:t>
            </w:r>
          </w:p>
        </w:tc>
        <w:tc>
          <w:tcPr>
            <w:tcW w:w="4984" w:type="dxa"/>
          </w:tcPr>
          <w:p w14:paraId="1D853B5F" w14:textId="77777777" w:rsidR="00BC66D0" w:rsidRPr="003012F1" w:rsidRDefault="00BC66D0" w:rsidP="00BC66D0">
            <w:pPr>
              <w:pStyle w:val="ListParagraph"/>
              <w:numPr>
                <w:ilvl w:val="0"/>
                <w:numId w:val="50"/>
              </w:numPr>
              <w:spacing w:line="240" w:lineRule="auto"/>
              <w:rPr>
                <w:rFonts w:cs="Arial"/>
                <w:sz w:val="18"/>
                <w:szCs w:val="18"/>
              </w:rPr>
            </w:pPr>
            <w:r w:rsidRPr="003012F1">
              <w:rPr>
                <w:rFonts w:cs="Arial"/>
                <w:sz w:val="18"/>
                <w:szCs w:val="18"/>
              </w:rPr>
              <w:lastRenderedPageBreak/>
              <w:t>The Committee has considered a ‘deep dive’ paper exploring issues relevant to development of the IPCP strategy statement of intent, including a range of practical challenges in further embedding IPE/IPCP in practice</w:t>
            </w:r>
          </w:p>
          <w:p w14:paraId="1B4368E1" w14:textId="77777777" w:rsidR="00BC66D0" w:rsidRPr="003012F1" w:rsidRDefault="00BC66D0" w:rsidP="00BC66D0">
            <w:pPr>
              <w:pStyle w:val="ListParagraph"/>
              <w:numPr>
                <w:ilvl w:val="0"/>
                <w:numId w:val="50"/>
              </w:numPr>
              <w:spacing w:line="240" w:lineRule="auto"/>
              <w:rPr>
                <w:rFonts w:cs="Arial"/>
                <w:sz w:val="18"/>
                <w:szCs w:val="18"/>
              </w:rPr>
            </w:pPr>
            <w:r w:rsidRPr="003012F1">
              <w:rPr>
                <w:rFonts w:cs="Arial"/>
                <w:sz w:val="18"/>
                <w:szCs w:val="18"/>
              </w:rPr>
              <w:t>The Committee provided expert advice on a possible framework for the IPCP strategy statement of intent</w:t>
            </w:r>
          </w:p>
          <w:p w14:paraId="041B5084" w14:textId="77777777" w:rsidR="00BC66D0" w:rsidRPr="003012F1" w:rsidRDefault="00BC66D0" w:rsidP="00BC66D0">
            <w:pPr>
              <w:pStyle w:val="ListParagraph"/>
              <w:numPr>
                <w:ilvl w:val="0"/>
                <w:numId w:val="50"/>
              </w:numPr>
              <w:spacing w:line="240" w:lineRule="auto"/>
              <w:rPr>
                <w:rFonts w:cs="Arial"/>
                <w:sz w:val="18"/>
                <w:szCs w:val="18"/>
              </w:rPr>
            </w:pPr>
            <w:r w:rsidRPr="003012F1">
              <w:rPr>
                <w:rFonts w:cs="Arial"/>
                <w:sz w:val="18"/>
                <w:szCs w:val="18"/>
              </w:rPr>
              <w:t>The Committee established an expert Working Group to provide subject matter advice to the Committee on this area of work, including drafts of the IPCP strategy statement of intent</w:t>
            </w:r>
          </w:p>
          <w:p w14:paraId="26EC8416" w14:textId="77777777" w:rsidR="00BC66D0" w:rsidRPr="003012F1" w:rsidRDefault="00BC66D0" w:rsidP="00BC66D0">
            <w:pPr>
              <w:pStyle w:val="ListParagraph"/>
              <w:numPr>
                <w:ilvl w:val="0"/>
                <w:numId w:val="50"/>
              </w:numPr>
              <w:spacing w:line="240" w:lineRule="auto"/>
              <w:rPr>
                <w:rFonts w:cs="Arial"/>
                <w:sz w:val="18"/>
                <w:szCs w:val="18"/>
              </w:rPr>
            </w:pPr>
            <w:r w:rsidRPr="003012F1">
              <w:rPr>
                <w:rFonts w:cs="Arial"/>
                <w:sz w:val="18"/>
                <w:szCs w:val="18"/>
              </w:rPr>
              <w:t xml:space="preserve">The expert Working Group, chaired by education and accreditation expert Professor Maree O’Keefe has met twice, in August and October 2022, to provide expert </w:t>
            </w:r>
            <w:r w:rsidRPr="003012F1">
              <w:rPr>
                <w:rFonts w:cs="Arial"/>
                <w:sz w:val="18"/>
                <w:szCs w:val="18"/>
              </w:rPr>
              <w:lastRenderedPageBreak/>
              <w:t>input to a draft proposed IPCP strategy statement of intent</w:t>
            </w:r>
          </w:p>
          <w:p w14:paraId="5A94194E" w14:textId="77777777" w:rsidR="00BC66D0" w:rsidRPr="003012F1" w:rsidRDefault="00BC66D0" w:rsidP="00C516E5">
            <w:pPr>
              <w:pStyle w:val="ListParagraph"/>
              <w:rPr>
                <w:rFonts w:cs="Arial"/>
                <w:sz w:val="18"/>
                <w:szCs w:val="18"/>
              </w:rPr>
            </w:pPr>
          </w:p>
        </w:tc>
      </w:tr>
      <w:tr w:rsidR="00BC66D0" w:rsidRPr="00BC66D0" w14:paraId="29FCBD1D" w14:textId="77777777" w:rsidTr="003012F1">
        <w:tc>
          <w:tcPr>
            <w:tcW w:w="1839" w:type="dxa"/>
            <w:vMerge w:val="restart"/>
          </w:tcPr>
          <w:p w14:paraId="362D30E1" w14:textId="77777777" w:rsidR="00BC66D0" w:rsidRPr="003012F1" w:rsidRDefault="00BC66D0" w:rsidP="003012F1">
            <w:pPr>
              <w:spacing w:line="240" w:lineRule="auto"/>
              <w:rPr>
                <w:rFonts w:cs="Arial"/>
                <w:sz w:val="18"/>
                <w:szCs w:val="18"/>
              </w:rPr>
            </w:pPr>
            <w:r w:rsidRPr="003012F1">
              <w:rPr>
                <w:rFonts w:cs="Arial"/>
                <w:b/>
                <w:bCs/>
                <w:sz w:val="18"/>
                <w:szCs w:val="18"/>
              </w:rPr>
              <w:lastRenderedPageBreak/>
              <w:t>Reducing duplication</w:t>
            </w:r>
            <w:r w:rsidRPr="003012F1">
              <w:rPr>
                <w:rFonts w:cs="Arial"/>
                <w:sz w:val="18"/>
                <w:szCs w:val="18"/>
              </w:rPr>
              <w:t xml:space="preserve"> and areas of overlap between accreditation authorities and education regulators</w:t>
            </w:r>
          </w:p>
        </w:tc>
        <w:tc>
          <w:tcPr>
            <w:tcW w:w="3100" w:type="dxa"/>
          </w:tcPr>
          <w:p w14:paraId="7EB8F37D"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A clear statement of roles and responsibilities for National Scheme entities, TEQSA and health services as they relate to accreditation.</w:t>
            </w:r>
          </w:p>
        </w:tc>
        <w:tc>
          <w:tcPr>
            <w:tcW w:w="4984" w:type="dxa"/>
            <w:shd w:val="clear" w:color="auto" w:fill="auto"/>
          </w:tcPr>
          <w:p w14:paraId="1861F4C1" w14:textId="77777777" w:rsidR="00BC66D0" w:rsidRPr="003012F1" w:rsidRDefault="00BC66D0" w:rsidP="00BC66D0">
            <w:pPr>
              <w:pStyle w:val="ListParagraph"/>
              <w:numPr>
                <w:ilvl w:val="0"/>
                <w:numId w:val="50"/>
              </w:numPr>
              <w:spacing w:line="240" w:lineRule="auto"/>
              <w:rPr>
                <w:rFonts w:cs="Arial"/>
                <w:sz w:val="18"/>
                <w:szCs w:val="18"/>
              </w:rPr>
            </w:pPr>
            <w:r w:rsidRPr="003012F1">
              <w:rPr>
                <w:rFonts w:cs="Arial"/>
                <w:sz w:val="18"/>
                <w:szCs w:val="18"/>
              </w:rPr>
              <w:t xml:space="preserve">The Committee has reviewed and provided advice on initial work and mapping of the roles of National Scheme entities, the Tertiary Education Quality and Standards Agency (TEQSA) and health services to enhance members’ understanding of their accreditation related roles and build an understanding of where the Committee could add most value, </w:t>
            </w:r>
            <w:proofErr w:type="spellStart"/>
            <w:proofErr w:type="gramStart"/>
            <w:r w:rsidRPr="003012F1">
              <w:rPr>
                <w:rFonts w:cs="Arial"/>
                <w:sz w:val="18"/>
                <w:szCs w:val="18"/>
              </w:rPr>
              <w:t>eg</w:t>
            </w:r>
            <w:proofErr w:type="spellEnd"/>
            <w:proofErr w:type="gramEnd"/>
            <w:r w:rsidRPr="003012F1">
              <w:rPr>
                <w:rFonts w:cs="Arial"/>
                <w:sz w:val="18"/>
                <w:szCs w:val="18"/>
              </w:rPr>
              <w:t xml:space="preserve"> by identifying areas of potential overlap and ways to clarify the respective regulatory roles of different bodies related to accreditation.</w:t>
            </w:r>
          </w:p>
          <w:p w14:paraId="00F74AC9" w14:textId="77777777" w:rsidR="00BC66D0" w:rsidRPr="003012F1" w:rsidRDefault="00BC66D0" w:rsidP="00BC66D0">
            <w:pPr>
              <w:pStyle w:val="ListParagraph"/>
              <w:numPr>
                <w:ilvl w:val="0"/>
                <w:numId w:val="50"/>
              </w:numPr>
              <w:spacing w:line="240" w:lineRule="auto"/>
              <w:rPr>
                <w:rFonts w:cs="Arial"/>
                <w:sz w:val="18"/>
                <w:szCs w:val="18"/>
              </w:rPr>
            </w:pPr>
            <w:r w:rsidRPr="003012F1">
              <w:rPr>
                <w:rFonts w:cs="Arial"/>
                <w:sz w:val="18"/>
                <w:szCs w:val="18"/>
              </w:rPr>
              <w:t>In October, representatives from Ahpra met with TEQSA to progress discussion of potential areas of overlap and explore possible approaches to further work on this area.</w:t>
            </w:r>
          </w:p>
        </w:tc>
      </w:tr>
      <w:tr w:rsidR="00BC66D0" w:rsidRPr="00BC66D0" w14:paraId="651A9118" w14:textId="77777777" w:rsidTr="003012F1">
        <w:tc>
          <w:tcPr>
            <w:tcW w:w="1839" w:type="dxa"/>
            <w:vMerge/>
          </w:tcPr>
          <w:p w14:paraId="5FEFCEF0" w14:textId="77777777" w:rsidR="00BC66D0" w:rsidRPr="003012F1" w:rsidRDefault="00BC66D0" w:rsidP="003012F1">
            <w:pPr>
              <w:spacing w:line="240" w:lineRule="auto"/>
              <w:rPr>
                <w:rFonts w:cs="Arial"/>
                <w:sz w:val="18"/>
                <w:szCs w:val="18"/>
              </w:rPr>
            </w:pPr>
          </w:p>
        </w:tc>
        <w:tc>
          <w:tcPr>
            <w:tcW w:w="3100" w:type="dxa"/>
          </w:tcPr>
          <w:p w14:paraId="0DE2A485"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A glossary of common terminology and shared language relevant to accreditation across National Scheme entities, TEQSA and health services (to be commenced as part of deliverable 1)</w:t>
            </w:r>
          </w:p>
        </w:tc>
        <w:tc>
          <w:tcPr>
            <w:tcW w:w="4984" w:type="dxa"/>
          </w:tcPr>
          <w:p w14:paraId="4ACE3D82" w14:textId="77777777" w:rsidR="00BC66D0" w:rsidRPr="003012F1" w:rsidRDefault="00BC66D0" w:rsidP="00C516E5">
            <w:pPr>
              <w:rPr>
                <w:rFonts w:cs="Arial"/>
                <w:sz w:val="18"/>
                <w:szCs w:val="18"/>
              </w:rPr>
            </w:pPr>
            <w:r w:rsidRPr="003012F1">
              <w:rPr>
                <w:rFonts w:cs="Arial"/>
                <w:sz w:val="18"/>
                <w:szCs w:val="18"/>
              </w:rPr>
              <w:t>Work on common language is being progressed as part of Deliverable 1.</w:t>
            </w:r>
          </w:p>
        </w:tc>
      </w:tr>
      <w:tr w:rsidR="00BC66D0" w:rsidRPr="00BC66D0" w14:paraId="3B45AF02" w14:textId="77777777" w:rsidTr="003012F1">
        <w:tc>
          <w:tcPr>
            <w:tcW w:w="1839" w:type="dxa"/>
          </w:tcPr>
          <w:p w14:paraId="473D4300" w14:textId="77777777" w:rsidR="00BC66D0" w:rsidRPr="003012F1" w:rsidRDefault="00BC66D0" w:rsidP="003012F1">
            <w:pPr>
              <w:spacing w:line="240" w:lineRule="auto"/>
              <w:rPr>
                <w:rFonts w:cs="Arial"/>
                <w:sz w:val="18"/>
                <w:szCs w:val="18"/>
              </w:rPr>
            </w:pPr>
            <w:r w:rsidRPr="003012F1">
              <w:rPr>
                <w:rFonts w:cs="Arial"/>
                <w:sz w:val="18"/>
                <w:szCs w:val="18"/>
              </w:rPr>
              <w:t xml:space="preserve">Better link service delivery needs and the education system by strengthening </w:t>
            </w:r>
            <w:r w:rsidRPr="003012F1">
              <w:rPr>
                <w:rFonts w:cs="Arial"/>
                <w:b/>
                <w:bCs/>
                <w:sz w:val="18"/>
                <w:szCs w:val="18"/>
              </w:rPr>
              <w:t>consumer involvement</w:t>
            </w:r>
            <w:r w:rsidRPr="003012F1">
              <w:rPr>
                <w:rFonts w:cs="Arial"/>
                <w:sz w:val="18"/>
                <w:szCs w:val="18"/>
              </w:rPr>
              <w:t xml:space="preserve"> in accreditation, including employers</w:t>
            </w:r>
          </w:p>
        </w:tc>
        <w:tc>
          <w:tcPr>
            <w:tcW w:w="3100" w:type="dxa"/>
          </w:tcPr>
          <w:p w14:paraId="14402574"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Advice for National Scheme accreditation bodies on good practice guidance for strengthening the involvement of consumers in accreditation.</w:t>
            </w:r>
          </w:p>
        </w:tc>
        <w:tc>
          <w:tcPr>
            <w:tcW w:w="4984" w:type="dxa"/>
          </w:tcPr>
          <w:p w14:paraId="7BE98D6E" w14:textId="77777777" w:rsidR="00BC66D0" w:rsidRPr="003012F1" w:rsidRDefault="00BC66D0" w:rsidP="00BC66D0">
            <w:pPr>
              <w:pStyle w:val="ListParagraph"/>
              <w:numPr>
                <w:ilvl w:val="0"/>
                <w:numId w:val="52"/>
              </w:numPr>
              <w:spacing w:line="240" w:lineRule="auto"/>
              <w:rPr>
                <w:rFonts w:cs="Arial"/>
                <w:sz w:val="18"/>
                <w:szCs w:val="18"/>
              </w:rPr>
            </w:pPr>
            <w:r w:rsidRPr="003012F1">
              <w:rPr>
                <w:rFonts w:cs="Arial"/>
                <w:sz w:val="18"/>
                <w:szCs w:val="18"/>
              </w:rPr>
              <w:t xml:space="preserve">The Committee reviewed and provided advice on initial work including mapping of the current involvement of consumers in accreditation across different regulated health professions </w:t>
            </w:r>
          </w:p>
          <w:p w14:paraId="49E3C14D" w14:textId="77777777" w:rsidR="00BC66D0" w:rsidRPr="003012F1" w:rsidRDefault="00BC66D0" w:rsidP="00C516E5">
            <w:pPr>
              <w:rPr>
                <w:rFonts w:cs="Arial"/>
                <w:sz w:val="18"/>
                <w:szCs w:val="18"/>
              </w:rPr>
            </w:pPr>
          </w:p>
          <w:p w14:paraId="417B890E" w14:textId="77777777" w:rsidR="00BC66D0" w:rsidRPr="003012F1" w:rsidRDefault="00BC66D0" w:rsidP="00C516E5">
            <w:pPr>
              <w:rPr>
                <w:rFonts w:cs="Arial"/>
                <w:sz w:val="18"/>
                <w:szCs w:val="18"/>
              </w:rPr>
            </w:pPr>
          </w:p>
        </w:tc>
      </w:tr>
      <w:tr w:rsidR="00BC66D0" w:rsidRPr="00BC66D0" w14:paraId="5515E133" w14:textId="77777777" w:rsidTr="003012F1">
        <w:tc>
          <w:tcPr>
            <w:tcW w:w="1839" w:type="dxa"/>
            <w:vMerge w:val="restart"/>
          </w:tcPr>
          <w:p w14:paraId="7B57C028" w14:textId="77777777" w:rsidR="00BC66D0" w:rsidRPr="003012F1" w:rsidRDefault="00BC66D0" w:rsidP="003012F1">
            <w:pPr>
              <w:spacing w:line="240" w:lineRule="auto"/>
              <w:rPr>
                <w:rFonts w:cs="Arial"/>
                <w:sz w:val="18"/>
                <w:szCs w:val="18"/>
              </w:rPr>
            </w:pPr>
            <w:r w:rsidRPr="003012F1">
              <w:rPr>
                <w:rFonts w:cs="Arial"/>
                <w:sz w:val="18"/>
                <w:szCs w:val="18"/>
              </w:rPr>
              <w:lastRenderedPageBreak/>
              <w:t xml:space="preserve">Enable education to respond to changes in community need, healthcare models and innovations in health practice by maintaining the focus on </w:t>
            </w:r>
            <w:r w:rsidRPr="003012F1">
              <w:rPr>
                <w:rFonts w:cs="Arial"/>
                <w:b/>
                <w:bCs/>
                <w:sz w:val="18"/>
                <w:szCs w:val="18"/>
              </w:rPr>
              <w:t>outcome-based approaches</w:t>
            </w:r>
            <w:r w:rsidRPr="003012F1">
              <w:rPr>
                <w:rFonts w:cs="Arial"/>
                <w:sz w:val="18"/>
                <w:szCs w:val="18"/>
              </w:rPr>
              <w:t xml:space="preserve"> in accreditation</w:t>
            </w:r>
          </w:p>
        </w:tc>
        <w:tc>
          <w:tcPr>
            <w:tcW w:w="3100" w:type="dxa"/>
          </w:tcPr>
          <w:p w14:paraId="7073B5F7"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 xml:space="preserve">Advice for National Scheme accreditation entities on good practice in the use of </w:t>
            </w:r>
            <w:r w:rsidRPr="003012F1">
              <w:rPr>
                <w:rFonts w:cs="Arial"/>
                <w:b/>
                <w:sz w:val="18"/>
                <w:szCs w:val="18"/>
              </w:rPr>
              <w:t>outcome-based approaches</w:t>
            </w:r>
            <w:r w:rsidRPr="003012F1">
              <w:rPr>
                <w:rFonts w:cs="Arial"/>
                <w:sz w:val="18"/>
                <w:szCs w:val="18"/>
              </w:rPr>
              <w:t xml:space="preserve"> to accreditation.</w:t>
            </w:r>
          </w:p>
        </w:tc>
        <w:tc>
          <w:tcPr>
            <w:tcW w:w="4984" w:type="dxa"/>
          </w:tcPr>
          <w:p w14:paraId="2218B340" w14:textId="77777777" w:rsidR="00BC66D0" w:rsidRPr="003012F1" w:rsidRDefault="00BC66D0" w:rsidP="00BC66D0">
            <w:pPr>
              <w:pStyle w:val="ListParagraph"/>
              <w:numPr>
                <w:ilvl w:val="0"/>
                <w:numId w:val="51"/>
              </w:numPr>
              <w:spacing w:line="240" w:lineRule="auto"/>
              <w:rPr>
                <w:rFonts w:cs="Arial"/>
                <w:sz w:val="18"/>
                <w:szCs w:val="18"/>
              </w:rPr>
            </w:pPr>
            <w:r w:rsidRPr="003012F1">
              <w:rPr>
                <w:rFonts w:cs="Arial"/>
                <w:sz w:val="18"/>
                <w:szCs w:val="18"/>
              </w:rPr>
              <w:t>The Committee reviewed and provided advice on initial work mapping current approaches to outcome-based approaches in accreditation across National Scheme professions</w:t>
            </w:r>
          </w:p>
          <w:p w14:paraId="28A17518" w14:textId="77777777" w:rsidR="00BC66D0" w:rsidRPr="003012F1" w:rsidRDefault="00BC66D0" w:rsidP="00C516E5">
            <w:pPr>
              <w:pStyle w:val="ListParagraph"/>
              <w:rPr>
                <w:rFonts w:cs="Arial"/>
                <w:sz w:val="18"/>
                <w:szCs w:val="18"/>
                <w:highlight w:val="yellow"/>
              </w:rPr>
            </w:pPr>
          </w:p>
        </w:tc>
      </w:tr>
      <w:tr w:rsidR="00BC66D0" w:rsidRPr="00BC66D0" w14:paraId="357E1E1B" w14:textId="77777777" w:rsidTr="003012F1">
        <w:tc>
          <w:tcPr>
            <w:tcW w:w="1839" w:type="dxa"/>
            <w:vMerge/>
          </w:tcPr>
          <w:p w14:paraId="436D464E" w14:textId="77777777" w:rsidR="00BC66D0" w:rsidRPr="003012F1" w:rsidRDefault="00BC66D0" w:rsidP="003012F1">
            <w:pPr>
              <w:spacing w:line="240" w:lineRule="auto"/>
              <w:rPr>
                <w:rFonts w:cs="Arial"/>
                <w:sz w:val="18"/>
                <w:szCs w:val="18"/>
              </w:rPr>
            </w:pPr>
          </w:p>
        </w:tc>
        <w:tc>
          <w:tcPr>
            <w:tcW w:w="3100" w:type="dxa"/>
          </w:tcPr>
          <w:p w14:paraId="522F03F0"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 xml:space="preserve">Advice for National Scheme accreditation entities to support good practice in embedding diverse </w:t>
            </w:r>
            <w:r w:rsidRPr="003012F1">
              <w:rPr>
                <w:rFonts w:cs="Arial"/>
                <w:b/>
                <w:sz w:val="18"/>
                <w:szCs w:val="18"/>
              </w:rPr>
              <w:t>clinical placements</w:t>
            </w:r>
            <w:r w:rsidRPr="003012F1">
              <w:rPr>
                <w:rFonts w:cs="Arial"/>
                <w:sz w:val="18"/>
                <w:szCs w:val="18"/>
              </w:rPr>
              <w:t xml:space="preserve"> </w:t>
            </w:r>
            <w:r w:rsidRPr="003012F1">
              <w:rPr>
                <w:rFonts w:cs="Arial"/>
                <w:b/>
                <w:sz w:val="18"/>
                <w:szCs w:val="18"/>
              </w:rPr>
              <w:t>and evidence-based technological advances</w:t>
            </w:r>
            <w:r w:rsidRPr="003012F1">
              <w:rPr>
                <w:rFonts w:cs="Arial"/>
                <w:sz w:val="18"/>
                <w:szCs w:val="18"/>
              </w:rPr>
              <w:t xml:space="preserve"> in health practitioner education.</w:t>
            </w:r>
          </w:p>
        </w:tc>
        <w:tc>
          <w:tcPr>
            <w:tcW w:w="4984" w:type="dxa"/>
          </w:tcPr>
          <w:p w14:paraId="70B6F3B6" w14:textId="77777777" w:rsidR="00BC66D0" w:rsidRPr="003012F1" w:rsidRDefault="00BC66D0" w:rsidP="00BC66D0">
            <w:pPr>
              <w:pStyle w:val="ListParagraph"/>
              <w:numPr>
                <w:ilvl w:val="0"/>
                <w:numId w:val="53"/>
              </w:numPr>
              <w:spacing w:line="240" w:lineRule="auto"/>
              <w:rPr>
                <w:rFonts w:cs="Arial"/>
                <w:sz w:val="18"/>
                <w:szCs w:val="18"/>
              </w:rPr>
            </w:pPr>
            <w:r w:rsidRPr="003012F1">
              <w:rPr>
                <w:rFonts w:cs="Arial"/>
                <w:sz w:val="18"/>
                <w:szCs w:val="18"/>
              </w:rPr>
              <w:t>The Committee reviewed and provided input to early work including initial mapping of current approaches to clinical placements and evidence-based technological advances across National Scheme professions</w:t>
            </w:r>
          </w:p>
          <w:p w14:paraId="35B0920A" w14:textId="77777777" w:rsidR="00BC66D0" w:rsidRPr="003012F1" w:rsidRDefault="00BC66D0" w:rsidP="00BC66D0">
            <w:pPr>
              <w:pStyle w:val="ListParagraph"/>
              <w:numPr>
                <w:ilvl w:val="0"/>
                <w:numId w:val="53"/>
              </w:numPr>
              <w:spacing w:line="240" w:lineRule="auto"/>
              <w:rPr>
                <w:rFonts w:cs="Arial"/>
                <w:sz w:val="18"/>
                <w:szCs w:val="18"/>
              </w:rPr>
            </w:pPr>
            <w:r w:rsidRPr="003012F1">
              <w:rPr>
                <w:rFonts w:cs="Arial"/>
                <w:sz w:val="18"/>
                <w:szCs w:val="18"/>
              </w:rPr>
              <w:t>The Committee requested a ‘deep dive’ paper into issues related to diverse clinical placements and evidence-based technological advances at this meeting to support discussion and inform the Committee’s more detailed work</w:t>
            </w:r>
          </w:p>
          <w:p w14:paraId="51DF6C76" w14:textId="77777777" w:rsidR="00BC66D0" w:rsidRPr="003012F1" w:rsidRDefault="00BC66D0" w:rsidP="00BC66D0">
            <w:pPr>
              <w:pStyle w:val="ListParagraph"/>
              <w:numPr>
                <w:ilvl w:val="0"/>
                <w:numId w:val="53"/>
              </w:numPr>
              <w:spacing w:line="240" w:lineRule="auto"/>
              <w:rPr>
                <w:rFonts w:cs="Arial"/>
                <w:sz w:val="18"/>
                <w:szCs w:val="18"/>
              </w:rPr>
            </w:pPr>
            <w:r w:rsidRPr="003012F1">
              <w:rPr>
                <w:rFonts w:cs="Arial"/>
                <w:sz w:val="18"/>
                <w:szCs w:val="18"/>
              </w:rPr>
              <w:t>Agreed to consider possible terms and meanings relevant to this area of work as part of Deliverable 1</w:t>
            </w:r>
          </w:p>
          <w:p w14:paraId="0350DB1D" w14:textId="77777777" w:rsidR="00BC66D0" w:rsidRPr="003012F1" w:rsidRDefault="00BC66D0" w:rsidP="00C516E5">
            <w:pPr>
              <w:rPr>
                <w:rFonts w:cs="Arial"/>
                <w:sz w:val="18"/>
                <w:szCs w:val="18"/>
              </w:rPr>
            </w:pPr>
            <w:r w:rsidRPr="003012F1">
              <w:rPr>
                <w:rFonts w:cs="Arial"/>
                <w:sz w:val="18"/>
                <w:szCs w:val="18"/>
              </w:rPr>
              <w:t xml:space="preserve">Subject to discussion at the November meeting, it is anticipated that by 30 November 2022 the Committee will have: </w:t>
            </w:r>
          </w:p>
          <w:p w14:paraId="4FF29EC2" w14:textId="77777777" w:rsidR="00BC66D0" w:rsidRPr="003012F1" w:rsidRDefault="00BC66D0" w:rsidP="00BC66D0">
            <w:pPr>
              <w:pStyle w:val="ListParagraph"/>
              <w:numPr>
                <w:ilvl w:val="0"/>
                <w:numId w:val="53"/>
              </w:numPr>
              <w:spacing w:line="240" w:lineRule="auto"/>
              <w:rPr>
                <w:rFonts w:cs="Arial"/>
                <w:sz w:val="18"/>
                <w:szCs w:val="18"/>
              </w:rPr>
            </w:pPr>
            <w:r w:rsidRPr="003012F1">
              <w:rPr>
                <w:rFonts w:cs="Arial"/>
                <w:sz w:val="18"/>
                <w:szCs w:val="18"/>
              </w:rPr>
              <w:t xml:space="preserve">Considered two deep dive papers: </w:t>
            </w:r>
          </w:p>
          <w:p w14:paraId="29C14D4D" w14:textId="77777777" w:rsidR="00BC66D0" w:rsidRPr="003012F1" w:rsidRDefault="00BC66D0" w:rsidP="00BC66D0">
            <w:pPr>
              <w:pStyle w:val="ListParagraph"/>
              <w:numPr>
                <w:ilvl w:val="1"/>
                <w:numId w:val="53"/>
              </w:numPr>
              <w:spacing w:line="240" w:lineRule="auto"/>
              <w:ind w:left="1026" w:hanging="284"/>
              <w:rPr>
                <w:rFonts w:cs="Arial"/>
                <w:sz w:val="18"/>
                <w:szCs w:val="18"/>
              </w:rPr>
            </w:pPr>
            <w:r w:rsidRPr="003012F1">
              <w:rPr>
                <w:rFonts w:cs="Arial"/>
                <w:sz w:val="18"/>
                <w:szCs w:val="18"/>
              </w:rPr>
              <w:t>a high level ‘deep dive’ paper into issues related to diverse clinical placements and evidence-based technological advances and pedagogical innovations in the delivery of health practitioner education (August 2022) and</w:t>
            </w:r>
          </w:p>
          <w:p w14:paraId="77BF3EC3" w14:textId="77777777" w:rsidR="00BC66D0" w:rsidRPr="003012F1" w:rsidRDefault="00BC66D0" w:rsidP="00BC66D0">
            <w:pPr>
              <w:pStyle w:val="ListParagraph"/>
              <w:numPr>
                <w:ilvl w:val="1"/>
                <w:numId w:val="53"/>
              </w:numPr>
              <w:spacing w:line="240" w:lineRule="auto"/>
              <w:ind w:left="1026" w:hanging="284"/>
              <w:rPr>
                <w:rFonts w:cs="Arial"/>
                <w:sz w:val="18"/>
                <w:szCs w:val="18"/>
              </w:rPr>
            </w:pPr>
            <w:r w:rsidRPr="003012F1">
              <w:rPr>
                <w:rFonts w:cs="Arial"/>
                <w:sz w:val="18"/>
                <w:szCs w:val="18"/>
              </w:rPr>
              <w:t>more detailed work to identify recent innovations in, and good practice national/international approaches to embedding clinical placements and evidence-based technological advances in health practitioner education.</w:t>
            </w:r>
          </w:p>
          <w:p w14:paraId="7ED7BD17" w14:textId="77777777" w:rsidR="00BC66D0" w:rsidRPr="003012F1" w:rsidRDefault="00BC66D0" w:rsidP="00BC66D0">
            <w:pPr>
              <w:pStyle w:val="ListParagraph"/>
              <w:numPr>
                <w:ilvl w:val="0"/>
                <w:numId w:val="53"/>
              </w:numPr>
              <w:spacing w:line="240" w:lineRule="auto"/>
              <w:rPr>
                <w:rFonts w:cs="Arial"/>
                <w:sz w:val="18"/>
                <w:szCs w:val="18"/>
              </w:rPr>
            </w:pPr>
            <w:r w:rsidRPr="003012F1">
              <w:rPr>
                <w:rFonts w:cs="Arial"/>
                <w:sz w:val="18"/>
                <w:szCs w:val="18"/>
              </w:rPr>
              <w:t>Endorsed a roadmap for further work to be undertaken in 2023.</w:t>
            </w:r>
          </w:p>
        </w:tc>
      </w:tr>
      <w:tr w:rsidR="00BC66D0" w:rsidRPr="00BC66D0" w14:paraId="0268025F" w14:textId="77777777" w:rsidTr="003012F1">
        <w:trPr>
          <w:trHeight w:val="2524"/>
        </w:trPr>
        <w:tc>
          <w:tcPr>
            <w:tcW w:w="1839" w:type="dxa"/>
          </w:tcPr>
          <w:p w14:paraId="4255CA4D" w14:textId="77777777" w:rsidR="00BC66D0" w:rsidRPr="003012F1" w:rsidRDefault="00BC66D0" w:rsidP="003012F1">
            <w:pPr>
              <w:spacing w:line="240" w:lineRule="auto"/>
              <w:rPr>
                <w:rFonts w:cs="Arial"/>
                <w:sz w:val="18"/>
                <w:szCs w:val="18"/>
              </w:rPr>
            </w:pPr>
            <w:r w:rsidRPr="003012F1">
              <w:rPr>
                <w:rFonts w:cs="Arial"/>
                <w:sz w:val="18"/>
                <w:szCs w:val="18"/>
              </w:rPr>
              <w:t xml:space="preserve">Enhancing the transparency, reporting and comparability of </w:t>
            </w:r>
            <w:r w:rsidRPr="003012F1">
              <w:rPr>
                <w:rFonts w:cs="Arial"/>
                <w:b/>
                <w:bCs/>
                <w:sz w:val="18"/>
                <w:szCs w:val="18"/>
              </w:rPr>
              <w:t>accreditation funding and costs</w:t>
            </w:r>
          </w:p>
        </w:tc>
        <w:tc>
          <w:tcPr>
            <w:tcW w:w="3100" w:type="dxa"/>
          </w:tcPr>
          <w:p w14:paraId="703EB34D"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 xml:space="preserve">Advice to Ahpra to inform further development of the funding and fee principles in accreditation agreements and terms of reference, founded on principles of transparency, accountability, </w:t>
            </w:r>
            <w:proofErr w:type="gramStart"/>
            <w:r w:rsidRPr="003012F1">
              <w:rPr>
                <w:rFonts w:cs="Arial"/>
                <w:sz w:val="18"/>
                <w:szCs w:val="18"/>
              </w:rPr>
              <w:t>efficiency</w:t>
            </w:r>
            <w:proofErr w:type="gramEnd"/>
            <w:r w:rsidRPr="003012F1">
              <w:rPr>
                <w:rFonts w:cs="Arial"/>
                <w:sz w:val="18"/>
                <w:szCs w:val="18"/>
              </w:rPr>
              <w:t xml:space="preserve"> and effectiveness.</w:t>
            </w:r>
          </w:p>
        </w:tc>
        <w:tc>
          <w:tcPr>
            <w:tcW w:w="4984" w:type="dxa"/>
          </w:tcPr>
          <w:p w14:paraId="30718E2E" w14:textId="77777777" w:rsidR="00BC66D0" w:rsidRPr="003012F1" w:rsidRDefault="00BC66D0" w:rsidP="00BC66D0">
            <w:pPr>
              <w:pStyle w:val="ListParagraph"/>
              <w:numPr>
                <w:ilvl w:val="0"/>
                <w:numId w:val="53"/>
              </w:numPr>
              <w:spacing w:line="240" w:lineRule="auto"/>
              <w:ind w:left="453" w:hanging="425"/>
              <w:rPr>
                <w:rFonts w:cs="Arial"/>
                <w:sz w:val="18"/>
                <w:szCs w:val="18"/>
              </w:rPr>
            </w:pPr>
            <w:r w:rsidRPr="003012F1">
              <w:rPr>
                <w:rFonts w:cs="Arial"/>
                <w:sz w:val="18"/>
                <w:szCs w:val="18"/>
              </w:rPr>
              <w:t>The Committee has monitored progress of an Ahpra-led project to engage a subject matter expert to:</w:t>
            </w:r>
          </w:p>
          <w:p w14:paraId="0F684245" w14:textId="77777777" w:rsidR="00BC66D0" w:rsidRPr="003012F1" w:rsidRDefault="00BC66D0" w:rsidP="00BC66D0">
            <w:pPr>
              <w:pStyle w:val="ListParagraph"/>
              <w:numPr>
                <w:ilvl w:val="1"/>
                <w:numId w:val="53"/>
              </w:numPr>
              <w:spacing w:line="240" w:lineRule="auto"/>
              <w:ind w:left="1026" w:hanging="284"/>
              <w:rPr>
                <w:rFonts w:cs="Arial"/>
                <w:sz w:val="18"/>
                <w:szCs w:val="18"/>
              </w:rPr>
            </w:pPr>
            <w:r w:rsidRPr="003012F1">
              <w:rPr>
                <w:rFonts w:cs="Arial"/>
                <w:sz w:val="18"/>
                <w:szCs w:val="18"/>
              </w:rPr>
              <w:t>progress work to enhance clarity and comparability about accreditation function income and expense information being reported by Accreditation Authorities to National Boards and Ahpra, and</w:t>
            </w:r>
          </w:p>
          <w:p w14:paraId="2DC31674" w14:textId="77777777" w:rsidR="00BC66D0" w:rsidRPr="003012F1" w:rsidRDefault="00BC66D0" w:rsidP="003012F1">
            <w:pPr>
              <w:pStyle w:val="ListParagraph"/>
              <w:numPr>
                <w:ilvl w:val="1"/>
                <w:numId w:val="53"/>
              </w:numPr>
              <w:spacing w:after="0" w:line="240" w:lineRule="auto"/>
              <w:ind w:left="1027" w:hanging="284"/>
              <w:rPr>
                <w:rFonts w:cs="Arial"/>
                <w:sz w:val="18"/>
                <w:szCs w:val="18"/>
              </w:rPr>
            </w:pPr>
            <w:r w:rsidRPr="003012F1">
              <w:rPr>
                <w:rFonts w:cs="Arial"/>
                <w:sz w:val="18"/>
                <w:szCs w:val="18"/>
              </w:rPr>
              <w:t xml:space="preserve">inform further development of the funding principles and fee setting principles. </w:t>
            </w:r>
          </w:p>
          <w:p w14:paraId="30411B43" w14:textId="77777777" w:rsidR="00BC66D0" w:rsidRPr="003012F1" w:rsidRDefault="00BC66D0" w:rsidP="00BC66D0">
            <w:pPr>
              <w:pStyle w:val="AHPRABulletlevel1"/>
              <w:numPr>
                <w:ilvl w:val="0"/>
                <w:numId w:val="10"/>
              </w:numPr>
              <w:ind w:left="369" w:hanging="369"/>
              <w:rPr>
                <w:rFonts w:cs="Arial"/>
                <w:sz w:val="18"/>
                <w:szCs w:val="18"/>
              </w:rPr>
            </w:pPr>
            <w:r w:rsidRPr="003012F1">
              <w:rPr>
                <w:rFonts w:cs="Arial"/>
                <w:sz w:val="18"/>
                <w:szCs w:val="18"/>
              </w:rPr>
              <w:t>Following a procurement process, Ahpra has engaged BDO Australia to undertake the project. We anticipate the project will be completed by mid-2023.</w:t>
            </w:r>
          </w:p>
          <w:p w14:paraId="4CBF98E1" w14:textId="77777777" w:rsidR="00BC66D0" w:rsidRPr="003012F1" w:rsidRDefault="00BC66D0" w:rsidP="00BC66D0">
            <w:pPr>
              <w:pStyle w:val="AHPRABulletlevel1"/>
              <w:numPr>
                <w:ilvl w:val="0"/>
                <w:numId w:val="10"/>
              </w:numPr>
              <w:ind w:left="369" w:hanging="369"/>
              <w:rPr>
                <w:rFonts w:cs="Arial"/>
                <w:sz w:val="18"/>
                <w:szCs w:val="18"/>
              </w:rPr>
            </w:pPr>
            <w:r w:rsidRPr="003012F1">
              <w:rPr>
                <w:rFonts w:cs="Arial"/>
                <w:sz w:val="18"/>
                <w:szCs w:val="18"/>
              </w:rPr>
              <w:t>In the interest of facilitating the best outcomes from the project and to enhance transparency and engagement, Ahpra and BDO Australia have agreed to establish a stakeholder reference group for the project. The stakeholder reference group membership is the same as the procurement panel. It will include a National Board Chair, accreditation council representative, accreditation committee representative and Ahpra representatives from its finance team and regulatory governance team.</w:t>
            </w:r>
          </w:p>
          <w:p w14:paraId="6D58CAC6" w14:textId="77777777" w:rsidR="00BC66D0" w:rsidRPr="003012F1" w:rsidRDefault="00BC66D0" w:rsidP="00BC66D0">
            <w:pPr>
              <w:pStyle w:val="AHPRABulletlevel1"/>
              <w:numPr>
                <w:ilvl w:val="0"/>
                <w:numId w:val="10"/>
              </w:numPr>
              <w:ind w:left="369" w:hanging="369"/>
              <w:rPr>
                <w:rFonts w:cs="Arial"/>
                <w:sz w:val="18"/>
                <w:szCs w:val="18"/>
              </w:rPr>
            </w:pPr>
            <w:r w:rsidRPr="003012F1">
              <w:rPr>
                <w:rFonts w:cs="Arial"/>
                <w:sz w:val="18"/>
                <w:szCs w:val="18"/>
              </w:rPr>
              <w:lastRenderedPageBreak/>
              <w:t xml:space="preserve">The reference group will receive monthly project updates and attend a monthly meeting where BDO will present on progress of the work and next steps. The reference group will have an opportunity to clarify updates and next steps at these meetings. </w:t>
            </w:r>
          </w:p>
        </w:tc>
      </w:tr>
      <w:tr w:rsidR="00BC66D0" w:rsidRPr="00BC66D0" w14:paraId="73A16A18" w14:textId="77777777" w:rsidTr="003012F1">
        <w:tc>
          <w:tcPr>
            <w:tcW w:w="1839" w:type="dxa"/>
          </w:tcPr>
          <w:p w14:paraId="6B2FB47A" w14:textId="77777777" w:rsidR="00BC66D0" w:rsidRPr="003012F1" w:rsidRDefault="00BC66D0" w:rsidP="003012F1">
            <w:pPr>
              <w:spacing w:line="240" w:lineRule="auto"/>
              <w:rPr>
                <w:rFonts w:cs="Arial"/>
                <w:sz w:val="18"/>
                <w:szCs w:val="18"/>
              </w:rPr>
            </w:pPr>
            <w:r w:rsidRPr="003012F1">
              <w:rPr>
                <w:rFonts w:cs="Arial"/>
                <w:sz w:val="18"/>
                <w:szCs w:val="18"/>
              </w:rPr>
              <w:lastRenderedPageBreak/>
              <w:t xml:space="preserve">Enhancing the transparency of </w:t>
            </w:r>
            <w:r w:rsidRPr="003012F1">
              <w:rPr>
                <w:rFonts w:cs="Arial"/>
                <w:b/>
                <w:bCs/>
                <w:sz w:val="18"/>
                <w:szCs w:val="18"/>
              </w:rPr>
              <w:t>accreditation assessment and monitoring</w:t>
            </w:r>
            <w:r w:rsidRPr="003012F1">
              <w:rPr>
                <w:rFonts w:cs="Arial"/>
                <w:sz w:val="18"/>
                <w:szCs w:val="18"/>
              </w:rPr>
              <w:t xml:space="preserve"> activities</w:t>
            </w:r>
          </w:p>
        </w:tc>
        <w:tc>
          <w:tcPr>
            <w:tcW w:w="3100" w:type="dxa"/>
          </w:tcPr>
          <w:p w14:paraId="202B8E7B"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Advice to National Scheme bodies on the publication of accreditation assessment decisions and monitoring reports.</w:t>
            </w:r>
          </w:p>
        </w:tc>
        <w:tc>
          <w:tcPr>
            <w:tcW w:w="4984" w:type="dxa"/>
          </w:tcPr>
          <w:p w14:paraId="4205CD4A" w14:textId="77777777" w:rsidR="00BC66D0" w:rsidRPr="003012F1" w:rsidRDefault="00BC66D0" w:rsidP="00C516E5">
            <w:pPr>
              <w:rPr>
                <w:rFonts w:cs="Arial"/>
                <w:sz w:val="18"/>
                <w:szCs w:val="18"/>
              </w:rPr>
            </w:pPr>
            <w:r w:rsidRPr="003012F1">
              <w:rPr>
                <w:rFonts w:cs="Arial"/>
                <w:sz w:val="18"/>
                <w:szCs w:val="18"/>
              </w:rPr>
              <w:t>n/a</w:t>
            </w:r>
          </w:p>
        </w:tc>
      </w:tr>
      <w:tr w:rsidR="00BC66D0" w:rsidRPr="00BC66D0" w14:paraId="73AFAC9E" w14:textId="77777777" w:rsidTr="003012F1">
        <w:tc>
          <w:tcPr>
            <w:tcW w:w="1839" w:type="dxa"/>
          </w:tcPr>
          <w:p w14:paraId="12700F3C" w14:textId="77777777" w:rsidR="00BC66D0" w:rsidRPr="003012F1" w:rsidRDefault="00BC66D0" w:rsidP="003012F1">
            <w:pPr>
              <w:spacing w:line="240" w:lineRule="auto"/>
              <w:rPr>
                <w:rFonts w:cs="Arial"/>
                <w:sz w:val="18"/>
                <w:szCs w:val="18"/>
              </w:rPr>
            </w:pPr>
            <w:r w:rsidRPr="003012F1">
              <w:rPr>
                <w:rFonts w:cs="Arial"/>
                <w:sz w:val="18"/>
                <w:szCs w:val="18"/>
              </w:rPr>
              <w:t xml:space="preserve">Outcomes of any reviews of accreditation issues by the </w:t>
            </w:r>
            <w:r w:rsidRPr="003012F1">
              <w:rPr>
                <w:rFonts w:cs="Arial"/>
                <w:b/>
                <w:bCs/>
                <w:sz w:val="18"/>
                <w:szCs w:val="18"/>
              </w:rPr>
              <w:t>National Health Practitioner Ombudsman and Privacy Commissioner (NHPOPC)</w:t>
            </w:r>
            <w:r w:rsidRPr="003012F1">
              <w:rPr>
                <w:rFonts w:cs="Arial"/>
                <w:sz w:val="18"/>
                <w:szCs w:val="18"/>
              </w:rPr>
              <w:t>, where appropriate</w:t>
            </w:r>
          </w:p>
        </w:tc>
        <w:tc>
          <w:tcPr>
            <w:tcW w:w="3100" w:type="dxa"/>
          </w:tcPr>
          <w:p w14:paraId="700535A7" w14:textId="77777777" w:rsidR="00BC66D0" w:rsidRPr="003012F1" w:rsidRDefault="00BC66D0" w:rsidP="00BC66D0">
            <w:pPr>
              <w:pStyle w:val="ListParagraph"/>
              <w:numPr>
                <w:ilvl w:val="0"/>
                <w:numId w:val="47"/>
              </w:numPr>
              <w:spacing w:line="240" w:lineRule="auto"/>
              <w:rPr>
                <w:rFonts w:cs="Arial"/>
                <w:sz w:val="18"/>
                <w:szCs w:val="18"/>
              </w:rPr>
            </w:pPr>
            <w:r w:rsidRPr="003012F1">
              <w:rPr>
                <w:rFonts w:cs="Arial"/>
                <w:sz w:val="18"/>
                <w:szCs w:val="18"/>
              </w:rPr>
              <w:t>Review the outcomes of the NHPOPC’s Independent review of the procedural aspects of accreditation processes.</w:t>
            </w:r>
          </w:p>
        </w:tc>
        <w:tc>
          <w:tcPr>
            <w:tcW w:w="4984" w:type="dxa"/>
          </w:tcPr>
          <w:p w14:paraId="12E8451A" w14:textId="77777777" w:rsidR="00BC66D0" w:rsidRPr="003012F1" w:rsidRDefault="00BC66D0" w:rsidP="00C516E5">
            <w:pPr>
              <w:rPr>
                <w:rFonts w:cs="Arial"/>
                <w:sz w:val="18"/>
                <w:szCs w:val="18"/>
              </w:rPr>
            </w:pPr>
            <w:r w:rsidRPr="003012F1">
              <w:rPr>
                <w:rFonts w:cs="Arial"/>
                <w:sz w:val="18"/>
                <w:szCs w:val="18"/>
              </w:rPr>
              <w:t>n/a</w:t>
            </w:r>
          </w:p>
        </w:tc>
      </w:tr>
    </w:tbl>
    <w:p w14:paraId="70D72364" w14:textId="77777777" w:rsidR="00BC66D0" w:rsidRDefault="00BC66D0" w:rsidP="00B03768">
      <w:pPr>
        <w:pStyle w:val="AHPRABulletlevel1last"/>
        <w:numPr>
          <w:ilvl w:val="0"/>
          <w:numId w:val="0"/>
        </w:numPr>
        <w:spacing w:after="0"/>
      </w:pPr>
    </w:p>
    <w:p w14:paraId="26382AF1" w14:textId="77777777" w:rsidR="00580D71" w:rsidRPr="000B3CA3" w:rsidRDefault="00580D71" w:rsidP="00CC37ED">
      <w:pPr>
        <w:pStyle w:val="NoSpacing"/>
        <w:spacing w:before="200" w:after="200"/>
        <w:contextualSpacing/>
        <w:rPr>
          <w:rFonts w:ascii="Arial" w:eastAsia="Cambria" w:hAnsi="Arial"/>
          <w:b/>
          <w:color w:val="007DC3"/>
          <w:sz w:val="20"/>
          <w:szCs w:val="24"/>
          <w:lang w:val="en-US"/>
        </w:rPr>
      </w:pPr>
      <w:r w:rsidRPr="000B3CA3">
        <w:rPr>
          <w:rFonts w:ascii="Arial" w:eastAsia="Cambria" w:hAnsi="Arial"/>
          <w:b/>
          <w:color w:val="007DC3"/>
          <w:sz w:val="20"/>
          <w:szCs w:val="24"/>
          <w:lang w:val="en-US"/>
        </w:rPr>
        <w:t xml:space="preserve">Significant </w:t>
      </w:r>
      <w:r w:rsidR="00CC37ED" w:rsidRPr="000B3CA3">
        <w:rPr>
          <w:rFonts w:ascii="Arial" w:eastAsia="Cambria" w:hAnsi="Arial"/>
          <w:b/>
          <w:color w:val="007DC3"/>
          <w:sz w:val="20"/>
          <w:szCs w:val="24"/>
          <w:lang w:val="en-US"/>
        </w:rPr>
        <w:t>i</w:t>
      </w:r>
      <w:r w:rsidRPr="000B3CA3">
        <w:rPr>
          <w:rFonts w:ascii="Arial" w:eastAsia="Cambria" w:hAnsi="Arial"/>
          <w:b/>
          <w:color w:val="007DC3"/>
          <w:sz w:val="20"/>
          <w:szCs w:val="24"/>
          <w:lang w:val="en-US"/>
        </w:rPr>
        <w:t>ssues</w:t>
      </w:r>
    </w:p>
    <w:p w14:paraId="0C00BBA8" w14:textId="41CA76F5" w:rsidR="0096246B" w:rsidRPr="000B3CA3" w:rsidRDefault="00B636C7" w:rsidP="0096246B">
      <w:pPr>
        <w:pStyle w:val="AHPRABulletlevel1"/>
      </w:pPr>
      <w:r w:rsidRPr="000B3CA3">
        <w:t>There were no significant issues considered during the 20</w:t>
      </w:r>
      <w:r w:rsidR="00F140D3" w:rsidRPr="000B3CA3">
        <w:t>2</w:t>
      </w:r>
      <w:r w:rsidR="00E346C6" w:rsidRPr="000B3CA3">
        <w:t>1</w:t>
      </w:r>
      <w:r w:rsidRPr="000B3CA3">
        <w:t>/</w:t>
      </w:r>
      <w:r w:rsidR="00690D3E" w:rsidRPr="000B3CA3">
        <w:t>2</w:t>
      </w:r>
      <w:r w:rsidR="00E346C6" w:rsidRPr="000B3CA3">
        <w:t>2</w:t>
      </w:r>
      <w:r w:rsidRPr="000B3CA3">
        <w:t xml:space="preserve"> reporting period which could not be handled through routine Committee procedures</w:t>
      </w:r>
      <w:r w:rsidR="00A26A5B">
        <w:t>.</w:t>
      </w:r>
    </w:p>
    <w:p w14:paraId="66504A4E" w14:textId="77777777" w:rsidR="00580D71" w:rsidRPr="000B3CA3" w:rsidRDefault="00580D71" w:rsidP="001F3644">
      <w:pPr>
        <w:pStyle w:val="AHPRASubheading"/>
        <w:rPr>
          <w:lang w:val="en-US"/>
        </w:rPr>
      </w:pPr>
      <w:r w:rsidRPr="000B3CA3">
        <w:rPr>
          <w:lang w:val="en-US"/>
        </w:rPr>
        <w:lastRenderedPageBreak/>
        <w:t xml:space="preserve">Looking </w:t>
      </w:r>
      <w:r w:rsidR="00CC37ED" w:rsidRPr="000B3CA3">
        <w:rPr>
          <w:lang w:val="en-US"/>
        </w:rPr>
        <w:t>a</w:t>
      </w:r>
      <w:r w:rsidRPr="000B3CA3">
        <w:rPr>
          <w:lang w:val="en-US"/>
        </w:rPr>
        <w:t>head</w:t>
      </w:r>
    </w:p>
    <w:p w14:paraId="3E64F130" w14:textId="77777777" w:rsidR="00F87CB5" w:rsidRPr="000B3CA3" w:rsidRDefault="00897696" w:rsidP="008E526B">
      <w:pPr>
        <w:pStyle w:val="AHPRAbody"/>
      </w:pPr>
      <w:r w:rsidRPr="000B3CA3">
        <w:t>The Committee ha</w:t>
      </w:r>
      <w:r w:rsidR="00480583" w:rsidRPr="000B3CA3">
        <w:t xml:space="preserve">s </w:t>
      </w:r>
      <w:bookmarkEnd w:id="1"/>
      <w:r w:rsidR="008E526B" w:rsidRPr="000B3CA3">
        <w:t xml:space="preserve">planned to conduct a refresh of its workplan at its November 2022 meeting. </w:t>
      </w:r>
      <w:r w:rsidR="00F87CB5" w:rsidRPr="000B3CA3">
        <w:t>Proposed focus of work in 2023 includes:</w:t>
      </w:r>
    </w:p>
    <w:p w14:paraId="7BA60666" w14:textId="030D815C" w:rsidR="00CD28D5" w:rsidRPr="000B3CA3" w:rsidRDefault="00A26A5B" w:rsidP="00F87CB5">
      <w:pPr>
        <w:pStyle w:val="AHPRABulletlevel1"/>
      </w:pPr>
      <w:r>
        <w:t>p</w:t>
      </w:r>
      <w:r w:rsidR="00DC3131" w:rsidRPr="000B3CA3">
        <w:t>ublishing the initial consolidated glossary of terms across the spectrum of accreditation</w:t>
      </w:r>
    </w:p>
    <w:p w14:paraId="4AE2B7E3" w14:textId="7F21BD52" w:rsidR="00DC3131" w:rsidRPr="000B3CA3" w:rsidRDefault="00A26A5B" w:rsidP="00F87CB5">
      <w:pPr>
        <w:pStyle w:val="AHPRABulletlevel1"/>
      </w:pPr>
      <w:r>
        <w:t>p</w:t>
      </w:r>
      <w:r w:rsidR="00DC3131" w:rsidRPr="000B3CA3">
        <w:t>ublishing the IPCP statement of intent and progressing work on the National Scheme IPCP strategy</w:t>
      </w:r>
    </w:p>
    <w:p w14:paraId="47348D7B" w14:textId="704D56E2" w:rsidR="00DC3131" w:rsidRPr="000B3CA3" w:rsidRDefault="00A26A5B" w:rsidP="00F87CB5">
      <w:pPr>
        <w:pStyle w:val="AHPRABulletlevel1"/>
      </w:pPr>
      <w:r>
        <w:t>p</w:t>
      </w:r>
      <w:r w:rsidR="00DC3131" w:rsidRPr="000B3CA3">
        <w:t xml:space="preserve">ublishing advice on </w:t>
      </w:r>
      <w:r w:rsidR="00CD08FC" w:rsidRPr="000B3CA3">
        <w:t xml:space="preserve">good practice contemporary approaches to clinical education and the use of evidence-based technological advances </w:t>
      </w:r>
      <w:r w:rsidR="00283616" w:rsidRPr="000B3CA3">
        <w:t>in health practitioner education</w:t>
      </w:r>
    </w:p>
    <w:p w14:paraId="2DE552C3" w14:textId="5577F8BE" w:rsidR="00283616" w:rsidRPr="000B3CA3" w:rsidRDefault="00A26A5B" w:rsidP="00283616">
      <w:pPr>
        <w:pStyle w:val="AHPRABulletlevel1"/>
      </w:pPr>
      <w:r>
        <w:t>p</w:t>
      </w:r>
      <w:r w:rsidR="00283616" w:rsidRPr="000B3CA3">
        <w:t>rogressing work on accreditation costs and funding principles.</w:t>
      </w:r>
    </w:p>
    <w:p w14:paraId="0E78E445" w14:textId="4ED9DB2B" w:rsidR="00283616" w:rsidRPr="000B3CA3" w:rsidRDefault="00283616" w:rsidP="00283616">
      <w:pPr>
        <w:pStyle w:val="AHPRABulletlevel1"/>
        <w:numPr>
          <w:ilvl w:val="0"/>
          <w:numId w:val="0"/>
        </w:numPr>
      </w:pPr>
    </w:p>
    <w:p w14:paraId="16B9F1FE" w14:textId="5C136BF3" w:rsidR="00283616" w:rsidRPr="005A2072" w:rsidRDefault="00283616" w:rsidP="00283616">
      <w:pPr>
        <w:pStyle w:val="AHPRABulletlevel1"/>
        <w:numPr>
          <w:ilvl w:val="0"/>
          <w:numId w:val="0"/>
        </w:numPr>
      </w:pPr>
      <w:r w:rsidRPr="000B3CA3">
        <w:t xml:space="preserve">Once agreed, the Committee will publish its refreshed workplan on its </w:t>
      </w:r>
      <w:hyperlink r:id="rId12" w:history="1">
        <w:r w:rsidRPr="000B3CA3">
          <w:rPr>
            <w:rStyle w:val="Hyperlink"/>
          </w:rPr>
          <w:t>webpage</w:t>
        </w:r>
      </w:hyperlink>
      <w:r w:rsidRPr="000B3CA3">
        <w:t>.</w:t>
      </w:r>
      <w:r>
        <w:t xml:space="preserve"> </w:t>
      </w:r>
    </w:p>
    <w:sectPr w:rsidR="00283616" w:rsidRPr="005A2072" w:rsidSect="004A1A27">
      <w:footerReference w:type="default" r:id="rId13"/>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631D" w14:textId="77777777" w:rsidR="00A226A7" w:rsidRDefault="00A226A7">
      <w:pPr>
        <w:spacing w:after="0" w:line="240" w:lineRule="auto"/>
      </w:pPr>
      <w:r>
        <w:separator/>
      </w:r>
    </w:p>
  </w:endnote>
  <w:endnote w:type="continuationSeparator" w:id="0">
    <w:p w14:paraId="6686C796" w14:textId="77777777" w:rsidR="00A226A7" w:rsidRDefault="00A226A7">
      <w:pPr>
        <w:spacing w:after="0" w:line="240" w:lineRule="auto"/>
      </w:pPr>
      <w:r>
        <w:continuationSeparator/>
      </w:r>
    </w:p>
  </w:endnote>
  <w:endnote w:type="continuationNotice" w:id="1">
    <w:p w14:paraId="3077824B" w14:textId="77777777" w:rsidR="00A226A7" w:rsidRDefault="00A22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ヒラギノ角ゴ Pro W3">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CD42" w14:textId="3D4947EA" w:rsidR="001F3644" w:rsidRPr="00EC5F6C" w:rsidRDefault="00C97B3F" w:rsidP="00522DAE">
    <w:pPr>
      <w:pStyle w:val="Footer"/>
      <w:tabs>
        <w:tab w:val="clear" w:pos="4320"/>
        <w:tab w:val="clear" w:pos="8640"/>
        <w:tab w:val="right" w:pos="9072"/>
      </w:tabs>
      <w:spacing w:before="240" w:after="0" w:line="240" w:lineRule="auto"/>
      <w:rPr>
        <w:sz w:val="18"/>
        <w:szCs w:val="18"/>
      </w:rPr>
    </w:pPr>
    <w:r>
      <w:rPr>
        <w:sz w:val="18"/>
        <w:szCs w:val="18"/>
      </w:rPr>
      <w:t>A</w:t>
    </w:r>
    <w:r w:rsidR="0008036E">
      <w:rPr>
        <w:sz w:val="18"/>
        <w:szCs w:val="18"/>
      </w:rPr>
      <w:t>ccreditation Committee</w:t>
    </w:r>
    <w:r w:rsidR="00DD2604" w:rsidRPr="00EC5F6C">
      <w:rPr>
        <w:sz w:val="18"/>
        <w:szCs w:val="18"/>
      </w:rPr>
      <w:t xml:space="preserve"> 202</w:t>
    </w:r>
    <w:r w:rsidR="006363DF">
      <w:rPr>
        <w:sz w:val="18"/>
        <w:szCs w:val="18"/>
      </w:rPr>
      <w:t>1</w:t>
    </w:r>
    <w:r w:rsidR="00DD2604" w:rsidRPr="00EC5F6C">
      <w:rPr>
        <w:sz w:val="18"/>
        <w:szCs w:val="18"/>
      </w:rPr>
      <w:t>/2</w:t>
    </w:r>
    <w:r w:rsidR="006363DF">
      <w:rPr>
        <w:sz w:val="18"/>
        <w:szCs w:val="18"/>
      </w:rPr>
      <w:t>2</w:t>
    </w:r>
    <w:r w:rsidR="008B6E95" w:rsidRPr="00EC5F6C">
      <w:rPr>
        <w:sz w:val="18"/>
        <w:szCs w:val="18"/>
      </w:rPr>
      <w:t xml:space="preserve"> </w:t>
    </w:r>
    <w:r w:rsidR="007E5E46" w:rsidRPr="00EC5F6C">
      <w:rPr>
        <w:sz w:val="18"/>
        <w:szCs w:val="18"/>
      </w:rPr>
      <w:t>A</w:t>
    </w:r>
    <w:r w:rsidR="008B6E95" w:rsidRPr="00EC5F6C">
      <w:rPr>
        <w:sz w:val="18"/>
        <w:szCs w:val="18"/>
      </w:rPr>
      <w:t xml:space="preserve">nnual </w:t>
    </w:r>
    <w:r w:rsidR="007E5E46" w:rsidRPr="00EC5F6C">
      <w:rPr>
        <w:sz w:val="18"/>
        <w:szCs w:val="18"/>
      </w:rPr>
      <w:t>R</w:t>
    </w:r>
    <w:r w:rsidR="008B6E95" w:rsidRPr="00EC5F6C">
      <w:rPr>
        <w:sz w:val="18"/>
        <w:szCs w:val="18"/>
      </w:rPr>
      <w:t>eport</w:t>
    </w:r>
  </w:p>
  <w:p w14:paraId="6A4B4281" w14:textId="77777777" w:rsidR="008B6E95" w:rsidRPr="00EC5F6C" w:rsidRDefault="008B6E95" w:rsidP="001F3644">
    <w:pPr>
      <w:pStyle w:val="Footer"/>
      <w:tabs>
        <w:tab w:val="clear" w:pos="4320"/>
        <w:tab w:val="clear" w:pos="8640"/>
        <w:tab w:val="right" w:pos="9072"/>
      </w:tabs>
      <w:spacing w:before="240" w:after="0" w:line="240" w:lineRule="auto"/>
      <w:jc w:val="right"/>
      <w:rPr>
        <w:sz w:val="18"/>
        <w:szCs w:val="18"/>
      </w:rPr>
    </w:pPr>
    <w:r w:rsidRPr="00EC5F6C">
      <w:rPr>
        <w:sz w:val="18"/>
        <w:szCs w:val="18"/>
      </w:rPr>
      <w:t xml:space="preserve">Page </w:t>
    </w:r>
    <w:r w:rsidR="003258F6" w:rsidRPr="00EC5F6C">
      <w:rPr>
        <w:b/>
        <w:sz w:val="18"/>
        <w:szCs w:val="18"/>
      </w:rPr>
      <w:fldChar w:fldCharType="begin"/>
    </w:r>
    <w:r w:rsidRPr="00EC5F6C">
      <w:rPr>
        <w:b/>
        <w:sz w:val="18"/>
        <w:szCs w:val="18"/>
      </w:rPr>
      <w:instrText xml:space="preserve"> PAGE  \* Arabic  \* MERGEFORMAT </w:instrText>
    </w:r>
    <w:r w:rsidR="003258F6" w:rsidRPr="00EC5F6C">
      <w:rPr>
        <w:b/>
        <w:sz w:val="18"/>
        <w:szCs w:val="18"/>
      </w:rPr>
      <w:fldChar w:fldCharType="separate"/>
    </w:r>
    <w:r w:rsidR="00BB54B7" w:rsidRPr="00EC5F6C">
      <w:rPr>
        <w:b/>
        <w:noProof/>
        <w:sz w:val="18"/>
        <w:szCs w:val="18"/>
      </w:rPr>
      <w:t>3</w:t>
    </w:r>
    <w:r w:rsidR="003258F6" w:rsidRPr="00EC5F6C">
      <w:rPr>
        <w:b/>
        <w:sz w:val="18"/>
        <w:szCs w:val="18"/>
      </w:rPr>
      <w:fldChar w:fldCharType="end"/>
    </w:r>
    <w:r w:rsidRPr="00EC5F6C">
      <w:rPr>
        <w:sz w:val="18"/>
        <w:szCs w:val="18"/>
      </w:rPr>
      <w:t xml:space="preserve"> of </w:t>
    </w:r>
    <w:r w:rsidR="00865D18" w:rsidRPr="00EC5F6C">
      <w:rPr>
        <w:sz w:val="18"/>
        <w:szCs w:val="18"/>
      </w:rPr>
      <w:fldChar w:fldCharType="begin"/>
    </w:r>
    <w:r w:rsidR="00865D18" w:rsidRPr="00EC5F6C">
      <w:rPr>
        <w:sz w:val="18"/>
        <w:szCs w:val="18"/>
      </w:rPr>
      <w:instrText xml:space="preserve"> NUMPAGES  \* Arabic  \* MERGEFORMAT </w:instrText>
    </w:r>
    <w:r w:rsidR="00865D18" w:rsidRPr="00EC5F6C">
      <w:rPr>
        <w:sz w:val="18"/>
        <w:szCs w:val="18"/>
      </w:rPr>
      <w:fldChar w:fldCharType="separate"/>
    </w:r>
    <w:r w:rsidR="00BB54B7" w:rsidRPr="00EC5F6C">
      <w:rPr>
        <w:b/>
        <w:noProof/>
        <w:sz w:val="18"/>
        <w:szCs w:val="18"/>
      </w:rPr>
      <w:t>4</w:t>
    </w:r>
    <w:r w:rsidR="00865D18" w:rsidRPr="00EC5F6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69D2" w14:textId="77777777" w:rsidR="00A226A7" w:rsidRDefault="00A226A7">
      <w:pPr>
        <w:spacing w:after="0" w:line="240" w:lineRule="auto"/>
      </w:pPr>
      <w:r>
        <w:separator/>
      </w:r>
    </w:p>
  </w:footnote>
  <w:footnote w:type="continuationSeparator" w:id="0">
    <w:p w14:paraId="5FFC4935" w14:textId="77777777" w:rsidR="00A226A7" w:rsidRDefault="00A226A7">
      <w:pPr>
        <w:spacing w:after="0" w:line="240" w:lineRule="auto"/>
      </w:pPr>
      <w:r>
        <w:continuationSeparator/>
      </w:r>
    </w:p>
  </w:footnote>
  <w:footnote w:type="continuationNotice" w:id="1">
    <w:p w14:paraId="21AB6D00" w14:textId="77777777" w:rsidR="00A226A7" w:rsidRDefault="00A226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3E4454"/>
    <w:lvl w:ilvl="0">
      <w:start w:val="1"/>
      <w:numFmt w:val="decimal"/>
      <w:lvlText w:val="%1."/>
      <w:lvlJc w:val="left"/>
      <w:pPr>
        <w:tabs>
          <w:tab w:val="num" w:pos="360"/>
        </w:tabs>
        <w:ind w:left="360" w:hanging="360"/>
      </w:pPr>
    </w:lvl>
  </w:abstractNum>
  <w:abstractNum w:abstractNumId="1" w15:restartNumberingAfterBreak="0">
    <w:nsid w:val="04805639"/>
    <w:multiLevelType w:val="hybridMultilevel"/>
    <w:tmpl w:val="206413CC"/>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lvl w:ilvl="0">
      <w:start w:val="1"/>
      <w:numFmt w:val="decimal"/>
      <w:lvlText w:val="%1."/>
      <w:lvlJc w:val="left"/>
      <w:pPr>
        <w:ind w:left="369" w:hanging="369"/>
      </w:pPr>
      <w:rPr>
        <w:rFonts w:ascii="Arial" w:hAnsi="Arial" w:cs="Times New Roman" w:hint="default"/>
        <w:b/>
        <w:color w:val="007DC3"/>
        <w:sz w:val="20"/>
      </w:rPr>
    </w:lvl>
    <w:lvl w:ilvl="1">
      <w:start w:val="1"/>
      <w:numFmt w:val="decimal"/>
      <w:lvlText w:val="%1.%2"/>
      <w:lvlJc w:val="left"/>
      <w:pPr>
        <w:ind w:left="369" w:hanging="369"/>
      </w:pPr>
      <w:rPr>
        <w:rFonts w:ascii="Arial" w:hAnsi="Arial" w:cs="Times New Roman" w:hint="default"/>
        <w:b/>
        <w:i w:val="0"/>
        <w:color w:val="auto"/>
        <w:sz w:val="20"/>
      </w:rPr>
    </w:lvl>
    <w:lvl w:ilvl="2">
      <w:start w:val="1"/>
      <w:numFmt w:val="decimal"/>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cs="Times New Roman" w:hint="default"/>
        <w:b/>
        <w:color w:val="007DC3"/>
        <w:sz w:val="20"/>
      </w:rPr>
    </w:lvl>
    <w:lvl w:ilvl="1">
      <w:start w:val="1"/>
      <w:numFmt w:val="decimal"/>
      <w:pStyle w:val="AHPRANumberedsubheadinglevel2"/>
      <w:lvlText w:val="%1.%2"/>
      <w:lvlJc w:val="left"/>
      <w:pPr>
        <w:ind w:left="369" w:hanging="369"/>
      </w:pPr>
      <w:rPr>
        <w:rFonts w:ascii="Arial" w:hAnsi="Arial" w:cs="Times New Roman" w:hint="default"/>
        <w:b/>
        <w:i w:val="0"/>
        <w:color w:val="auto"/>
        <w:sz w:val="20"/>
      </w:rPr>
    </w:lvl>
    <w:lvl w:ilvl="2">
      <w:start w:val="1"/>
      <w:numFmt w:val="decimal"/>
      <w:pStyle w:val="AHPRANumberedsubheadinglevel3"/>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6" w15:restartNumberingAfterBreak="0">
    <w:nsid w:val="0E1A3A3B"/>
    <w:multiLevelType w:val="hybridMultilevel"/>
    <w:tmpl w:val="309E7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B6969"/>
    <w:multiLevelType w:val="hybridMultilevel"/>
    <w:tmpl w:val="65A0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179E0"/>
    <w:multiLevelType w:val="hybridMultilevel"/>
    <w:tmpl w:val="95D0C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pStyle w:val="AHPRAitemlevel4"/>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0"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1" w15:restartNumberingAfterBreak="0">
    <w:nsid w:val="27843C63"/>
    <w:multiLevelType w:val="hybridMultilevel"/>
    <w:tmpl w:val="22C8A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A5F1B"/>
    <w:multiLevelType w:val="multilevel"/>
    <w:tmpl w:val="0409001D"/>
    <w:styleLink w:val="Style2"/>
    <w:lvl w:ilvl="0">
      <w:start w:val="1"/>
      <w:numFmt w:val="bullet"/>
      <w:lvlText w:val=""/>
      <w:lvlJc w:val="left"/>
      <w:pPr>
        <w:tabs>
          <w:tab w:val="num" w:pos="360"/>
        </w:tabs>
        <w:ind w:left="1800" w:hanging="360"/>
      </w:pPr>
      <w:rPr>
        <w:rFonts w:ascii="Wingdings" w:hAnsi="Wingdings" w:hint="default"/>
        <w:sz w:val="24"/>
      </w:rPr>
    </w:lvl>
    <w:lvl w:ilvl="1">
      <w:start w:val="1"/>
      <w:numFmt w:val="bullet"/>
      <w:lvlText w:val=""/>
      <w:lvlJc w:val="left"/>
      <w:pPr>
        <w:tabs>
          <w:tab w:val="num" w:pos="720"/>
        </w:tabs>
        <w:ind w:left="2520" w:hanging="360"/>
      </w:pPr>
      <w:rPr>
        <w:rFonts w:ascii="Wingdings" w:hAnsi="Wingdings"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C6B0FB4"/>
    <w:multiLevelType w:val="hybridMultilevel"/>
    <w:tmpl w:val="51048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BB09B1"/>
    <w:multiLevelType w:val="hybridMultilevel"/>
    <w:tmpl w:val="352433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D545F8"/>
    <w:multiLevelType w:val="hybridMultilevel"/>
    <w:tmpl w:val="22EC1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E3491"/>
    <w:multiLevelType w:val="hybridMultilevel"/>
    <w:tmpl w:val="1190414E"/>
    <w:lvl w:ilvl="0" w:tplc="0C09000F">
      <w:start w:val="1"/>
      <w:numFmt w:val="decimal"/>
      <w:lvlText w:val="%1."/>
      <w:lvlJc w:val="left"/>
      <w:pPr>
        <w:ind w:left="360" w:hanging="360"/>
      </w:pPr>
    </w:lvl>
    <w:lvl w:ilvl="1" w:tplc="A0D0F3D4">
      <w:numFmt w:val="bullet"/>
      <w:lvlText w:val="•"/>
      <w:lvlJc w:val="left"/>
      <w:pPr>
        <w:ind w:left="1080" w:hanging="360"/>
      </w:pPr>
      <w:rPr>
        <w:rFonts w:ascii="Arial" w:eastAsia="Cambria"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724267"/>
    <w:multiLevelType w:val="hybridMultilevel"/>
    <w:tmpl w:val="54DCF1D8"/>
    <w:lvl w:ilvl="0" w:tplc="0C090001">
      <w:start w:val="1"/>
      <w:numFmt w:val="bullet"/>
      <w:lvlText w:val=""/>
      <w:lvlJc w:val="left"/>
      <w:pPr>
        <w:ind w:left="360" w:hanging="360"/>
      </w:pPr>
      <w:rPr>
        <w:rFonts w:ascii="Symbol" w:hAnsi="Symbol" w:hint="default"/>
        <w:b w:val="0"/>
        <w:i w:val="0"/>
      </w:rPr>
    </w:lvl>
    <w:lvl w:ilvl="1" w:tplc="422E38E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E5595"/>
    <w:multiLevelType w:val="hybridMultilevel"/>
    <w:tmpl w:val="FFBEC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6F1CA1"/>
    <w:multiLevelType w:val="multilevel"/>
    <w:tmpl w:val="0409001D"/>
    <w:styleLink w:val="Style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791645"/>
    <w:multiLevelType w:val="hybridMultilevel"/>
    <w:tmpl w:val="F432BD4A"/>
    <w:lvl w:ilvl="0" w:tplc="0C090001">
      <w:start w:val="1"/>
      <w:numFmt w:val="bullet"/>
      <w:lvlText w:val=""/>
      <w:lvlJc w:val="left"/>
      <w:pPr>
        <w:ind w:left="360" w:hanging="360"/>
      </w:pPr>
      <w:rPr>
        <w:rFonts w:ascii="Symbol" w:hAnsi="Symbol" w:hint="default"/>
      </w:rPr>
    </w:lvl>
    <w:lvl w:ilvl="1" w:tplc="24AE765E">
      <w:start w:val="1"/>
      <w:numFmt w:val="bullet"/>
      <w:lvlText w:val="‒"/>
      <w:lvlJc w:val="left"/>
      <w:pPr>
        <w:ind w:left="1080" w:hanging="360"/>
      </w:pPr>
      <w:rPr>
        <w:rFonts w:ascii="Arial" w:hAnsi="Arial" w:hint="default"/>
      </w:rPr>
    </w:lvl>
    <w:lvl w:ilvl="2" w:tplc="756E9E84">
      <w:numFmt w:val="bullet"/>
      <w:lvlText w:val="–"/>
      <w:lvlJc w:val="left"/>
      <w:pPr>
        <w:ind w:left="1800" w:hanging="360"/>
      </w:pPr>
      <w:rPr>
        <w:rFonts w:ascii="Arial" w:eastAsia="Cambr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7A5FBE"/>
    <w:multiLevelType w:val="hybridMultilevel"/>
    <w:tmpl w:val="4CFCD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9F2ACF"/>
    <w:multiLevelType w:val="multilevel"/>
    <w:tmpl w:val="5DC0FF84"/>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337E96"/>
    <w:multiLevelType w:val="hybridMultilevel"/>
    <w:tmpl w:val="EAA8E7E4"/>
    <w:lvl w:ilvl="0" w:tplc="0C090001">
      <w:start w:val="1"/>
      <w:numFmt w:val="bullet"/>
      <w:lvlText w:val=""/>
      <w:lvlJc w:val="left"/>
      <w:pPr>
        <w:ind w:left="36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16052"/>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7"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num w:numId="1">
    <w:abstractNumId w:val="20"/>
  </w:num>
  <w:num w:numId="2">
    <w:abstractNumId w:val="12"/>
  </w:num>
  <w:num w:numId="3">
    <w:abstractNumId w:val="25"/>
  </w:num>
  <w:num w:numId="4">
    <w:abstractNumId w:val="11"/>
  </w:num>
  <w:num w:numId="5">
    <w:abstractNumId w:val="18"/>
  </w:num>
  <w:num w:numId="6">
    <w:abstractNumId w:val="7"/>
  </w:num>
  <w:num w:numId="7">
    <w:abstractNumId w:val="1"/>
  </w:num>
  <w:num w:numId="8">
    <w:abstractNumId w:val="23"/>
    <w:lvlOverride w:ilvl="0">
      <w:lvl w:ilvl="0">
        <w:numFmt w:val="decimal"/>
        <w:pStyle w:val="AHPRAnumberedsubheadinglevel10"/>
        <w:lvlText w:val=""/>
        <w:lvlJc w:val="left"/>
      </w:lvl>
    </w:lvlOverride>
    <w:lvlOverride w:ilvl="1">
      <w:lvl w:ilvl="1">
        <w:start w:val="1"/>
        <w:numFmt w:val="decimal"/>
        <w:pStyle w:val="AHPRAnumberedbulletpoint"/>
        <w:lvlText w:val="%1.%2"/>
        <w:lvlJc w:val="left"/>
        <w:pPr>
          <w:ind w:left="851" w:hanging="567"/>
        </w:pPr>
        <w:rPr>
          <w:rFonts w:ascii="Arial" w:hAnsi="Arial" w:hint="default"/>
          <w:b/>
          <w:i w:val="0"/>
          <w:color w:val="auto"/>
          <w:sz w:val="20"/>
        </w:rPr>
      </w:lvl>
    </w:lvlOverride>
  </w:num>
  <w:num w:numId="9">
    <w:abstractNumId w:val="23"/>
  </w:num>
  <w:num w:numId="10">
    <w:abstractNumId w:val="1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567"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0">
    <w:abstractNumId w:val="16"/>
  </w:num>
  <w:num w:numId="21">
    <w:abstractNumId w:val="0"/>
  </w:num>
  <w:num w:numId="22">
    <w:abstractNumId w:val="27"/>
  </w:num>
  <w:num w:numId="23">
    <w:abstractNumId w:val="27"/>
  </w:num>
  <w:num w:numId="24">
    <w:abstractNumId w:val="24"/>
  </w:num>
  <w:num w:numId="25">
    <w:abstractNumId w:val="24"/>
  </w:num>
  <w:num w:numId="26">
    <w:abstractNumId w:val="2"/>
  </w:num>
  <w:num w:numId="27">
    <w:abstractNumId w:val="9"/>
  </w:num>
  <w:num w:numId="28">
    <w:abstractNumId w:val="10"/>
  </w:num>
  <w:num w:numId="29">
    <w:abstractNumId w:val="28"/>
  </w:num>
  <w:num w:numId="30">
    <w:abstractNumId w:val="28"/>
  </w:num>
  <w:num w:numId="31">
    <w:abstractNumId w:val="28"/>
  </w:num>
  <w:num w:numId="32">
    <w:abstractNumId w:val="16"/>
  </w:num>
  <w:num w:numId="33">
    <w:abstractNumId w:val="2"/>
  </w:num>
  <w:num w:numId="34">
    <w:abstractNumId w:val="2"/>
  </w:num>
  <w:num w:numId="35">
    <w:abstractNumId w:val="2"/>
  </w:num>
  <w:num w:numId="36">
    <w:abstractNumId w:val="10"/>
  </w:num>
  <w:num w:numId="37">
    <w:abstractNumId w:val="10"/>
  </w:num>
  <w:num w:numId="38">
    <w:abstractNumId w:val="10"/>
  </w:num>
  <w:num w:numId="39">
    <w:abstractNumId w:val="4"/>
    <w:lvlOverride w:ilvl="0">
      <w:lvl w:ilvl="0">
        <w:start w:val="1"/>
        <w:numFmt w:val="decimal"/>
        <w:lvlText w:val="%1."/>
        <w:lvlJc w:val="left"/>
        <w:pPr>
          <w:ind w:left="369" w:hanging="369"/>
        </w:pPr>
        <w:rPr>
          <w:rFonts w:ascii="Arial" w:hAnsi="Arial" w:hint="default"/>
          <w:b/>
          <w:color w:val="007DC3"/>
          <w:sz w:val="20"/>
        </w:rPr>
      </w:lvl>
    </w:lvlOverride>
    <w:lvlOverride w:ilvl="1">
      <w:lvl w:ilvl="1">
        <w:start w:val="1"/>
        <w:numFmt w:val="decimal"/>
        <w:lvlText w:val="%1.%2"/>
        <w:lvlJc w:val="left"/>
        <w:pPr>
          <w:ind w:left="369" w:hanging="369"/>
        </w:pPr>
        <w:rPr>
          <w:rFonts w:ascii="Arial" w:hAnsi="Arial" w:hint="default"/>
          <w:b/>
          <w:i w:val="0"/>
          <w:color w:val="auto"/>
          <w:sz w:val="20"/>
        </w:rPr>
      </w:lvl>
    </w:lvlOverride>
    <w:lvlOverride w:ilvl="2">
      <w:lvl w:ilvl="2">
        <w:start w:val="1"/>
        <w:numFmt w:val="decimal"/>
        <w:lvlText w:val="%1.%2.%3"/>
        <w:lvlJc w:val="left"/>
        <w:pPr>
          <w:ind w:left="369" w:hanging="369"/>
        </w:pPr>
        <w:rPr>
          <w:rFonts w:ascii="Arial" w:hAnsi="Arial" w:hint="default"/>
          <w:i w:val="0"/>
          <w:color w:val="007DC3"/>
          <w:sz w:val="20"/>
        </w:rPr>
      </w:lvl>
    </w:lvlOverride>
    <w:lvlOverride w:ilvl="3">
      <w:lvl w:ilvl="3">
        <w:start w:val="1"/>
        <w:numFmt w:val="none"/>
        <w:lvlText w:val=""/>
        <w:lvlJc w:val="left"/>
        <w:pPr>
          <w:ind w:left="369" w:hanging="369"/>
        </w:pPr>
        <w:rPr>
          <w:rFonts w:ascii="Arial" w:hAnsi="Arial" w:hint="default"/>
          <w:b w:val="0"/>
          <w:i w:val="0"/>
          <w:color w:val="auto"/>
          <w:sz w:val="20"/>
        </w:rPr>
      </w:lvl>
    </w:lvlOverride>
    <w:lvlOverride w:ilvl="4">
      <w:lvl w:ilvl="4">
        <w:start w:val="1"/>
        <w:numFmt w:val="none"/>
        <w:lvlText w:val=""/>
        <w:lvlJc w:val="left"/>
        <w:pPr>
          <w:ind w:left="369" w:hanging="369"/>
        </w:pPr>
        <w:rPr>
          <w:rFonts w:ascii="Arial" w:hAnsi="Arial" w:hint="default"/>
          <w:b w:val="0"/>
          <w:i w:val="0"/>
          <w:color w:val="007DC3"/>
          <w:sz w:val="20"/>
        </w:rPr>
      </w:lvl>
    </w:lvlOverride>
    <w:lvlOverride w:ilvl="5">
      <w:lvl w:ilvl="5">
        <w:start w:val="1"/>
        <w:numFmt w:val="none"/>
        <w:lvlText w:val=""/>
        <w:lvlJc w:val="left"/>
        <w:pPr>
          <w:ind w:left="369" w:hanging="369"/>
        </w:pPr>
        <w:rPr>
          <w:rFonts w:hint="default"/>
          <w:color w:val="auto"/>
        </w:rPr>
      </w:lvl>
    </w:lvlOverride>
    <w:lvlOverride w:ilvl="6">
      <w:lvl w:ilvl="6">
        <w:start w:val="1"/>
        <w:numFmt w:val="none"/>
        <w:lvlText w:val=""/>
        <w:lvlJc w:val="left"/>
        <w:pPr>
          <w:ind w:left="369" w:hanging="369"/>
        </w:pPr>
        <w:rPr>
          <w:rFonts w:ascii="Arial" w:hAnsi="Arial" w:hint="default"/>
          <w:b w:val="0"/>
          <w:i w:val="0"/>
          <w:sz w:val="20"/>
        </w:rPr>
      </w:lvl>
    </w:lvlOverride>
    <w:lvlOverride w:ilvl="7">
      <w:lvl w:ilvl="7">
        <w:start w:val="1"/>
        <w:numFmt w:val="none"/>
        <w:lvlText w:val=""/>
        <w:lvlJc w:val="left"/>
        <w:pPr>
          <w:ind w:left="4600" w:hanging="360"/>
        </w:pPr>
        <w:rPr>
          <w:rFonts w:hint="default"/>
        </w:rPr>
      </w:lvl>
    </w:lvlOverride>
    <w:lvlOverride w:ilvl="8">
      <w:lvl w:ilvl="8">
        <w:start w:val="1"/>
        <w:numFmt w:val="none"/>
        <w:lvlText w:val=""/>
        <w:lvlJc w:val="left"/>
        <w:pPr>
          <w:ind w:left="4960" w:hanging="360"/>
        </w:pPr>
        <w:rPr>
          <w:rFonts w:hint="default"/>
        </w:rPr>
      </w:lvl>
    </w:lvlOverride>
  </w:num>
  <w:num w:numId="40">
    <w:abstractNumId w:val="16"/>
    <w:lvlOverride w:ilvl="0">
      <w:startOverride w:val="1"/>
    </w:lvlOverride>
  </w:num>
  <w:num w:numId="41">
    <w:abstractNumId w:val="4"/>
    <w:lvlOverride w:ilvl="0">
      <w:lvl w:ilvl="0">
        <w:numFmt w:val="decimal"/>
        <w:lvlText w:val=""/>
        <w:lvlJc w:val="left"/>
      </w:lvl>
    </w:lvlOverride>
    <w:lvlOverride w:ilvl="1">
      <w:lvl w:ilvl="1">
        <w:start w:val="1"/>
        <w:numFmt w:val="decimal"/>
        <w:lvlText w:val="%1.%2"/>
        <w:lvlJc w:val="left"/>
        <w:pPr>
          <w:ind w:left="369" w:hanging="369"/>
        </w:pPr>
        <w:rPr>
          <w:rFonts w:ascii="Arial" w:hAnsi="Arial" w:hint="default"/>
          <w:b w:val="0"/>
          <w:i w:val="0"/>
          <w:color w:val="auto"/>
          <w:sz w:val="20"/>
        </w:rPr>
      </w:lvl>
    </w:lvlOverride>
  </w:num>
  <w:num w:numId="42">
    <w:abstractNumId w:val="16"/>
  </w:num>
  <w:num w:numId="43">
    <w:abstractNumId w:val="8"/>
  </w:num>
  <w:num w:numId="44">
    <w:abstractNumId w:val="16"/>
  </w:num>
  <w:num w:numId="45">
    <w:abstractNumId w:val="16"/>
  </w:num>
  <w:num w:numId="46">
    <w:abstractNumId w:val="6"/>
  </w:num>
  <w:num w:numId="47">
    <w:abstractNumId w:val="17"/>
  </w:num>
  <w:num w:numId="48">
    <w:abstractNumId w:val="22"/>
  </w:num>
  <w:num w:numId="49">
    <w:abstractNumId w:val="13"/>
  </w:num>
  <w:num w:numId="50">
    <w:abstractNumId w:val="14"/>
  </w:num>
  <w:num w:numId="51">
    <w:abstractNumId w:val="15"/>
  </w:num>
  <w:num w:numId="52">
    <w:abstractNumId w:val="19"/>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93A22"/>
    <w:rsid w:val="00001BBF"/>
    <w:rsid w:val="000060E0"/>
    <w:rsid w:val="0000668C"/>
    <w:rsid w:val="00006A71"/>
    <w:rsid w:val="000121A2"/>
    <w:rsid w:val="0001480B"/>
    <w:rsid w:val="00016069"/>
    <w:rsid w:val="00016577"/>
    <w:rsid w:val="0002145E"/>
    <w:rsid w:val="000245D1"/>
    <w:rsid w:val="00033A66"/>
    <w:rsid w:val="00040F1E"/>
    <w:rsid w:val="00044AF2"/>
    <w:rsid w:val="00051CFC"/>
    <w:rsid w:val="000522A2"/>
    <w:rsid w:val="0005233C"/>
    <w:rsid w:val="00053240"/>
    <w:rsid w:val="0005460F"/>
    <w:rsid w:val="00061F8E"/>
    <w:rsid w:val="00062295"/>
    <w:rsid w:val="00064B57"/>
    <w:rsid w:val="0006630F"/>
    <w:rsid w:val="0007398F"/>
    <w:rsid w:val="0007577C"/>
    <w:rsid w:val="00075FC3"/>
    <w:rsid w:val="0008036E"/>
    <w:rsid w:val="000819EA"/>
    <w:rsid w:val="000848EF"/>
    <w:rsid w:val="0008520A"/>
    <w:rsid w:val="00091B9E"/>
    <w:rsid w:val="00093B8D"/>
    <w:rsid w:val="0009411E"/>
    <w:rsid w:val="000A2C60"/>
    <w:rsid w:val="000A6E92"/>
    <w:rsid w:val="000B3CA3"/>
    <w:rsid w:val="000B59C3"/>
    <w:rsid w:val="000C061E"/>
    <w:rsid w:val="000C0D13"/>
    <w:rsid w:val="000C251C"/>
    <w:rsid w:val="000C28D3"/>
    <w:rsid w:val="000C34BC"/>
    <w:rsid w:val="000C3718"/>
    <w:rsid w:val="000C5AED"/>
    <w:rsid w:val="000D0FF6"/>
    <w:rsid w:val="000D4B27"/>
    <w:rsid w:val="000E5E89"/>
    <w:rsid w:val="000F1254"/>
    <w:rsid w:val="000F41BE"/>
    <w:rsid w:val="000F6FF6"/>
    <w:rsid w:val="00100287"/>
    <w:rsid w:val="00100509"/>
    <w:rsid w:val="0010638C"/>
    <w:rsid w:val="001103B4"/>
    <w:rsid w:val="00110D20"/>
    <w:rsid w:val="0011265A"/>
    <w:rsid w:val="00112BF7"/>
    <w:rsid w:val="001175C0"/>
    <w:rsid w:val="001206FC"/>
    <w:rsid w:val="001220F4"/>
    <w:rsid w:val="00130C0A"/>
    <w:rsid w:val="00131C15"/>
    <w:rsid w:val="0013300D"/>
    <w:rsid w:val="001373E1"/>
    <w:rsid w:val="00137519"/>
    <w:rsid w:val="00141935"/>
    <w:rsid w:val="001419DB"/>
    <w:rsid w:val="00141E5D"/>
    <w:rsid w:val="00146553"/>
    <w:rsid w:val="0016001D"/>
    <w:rsid w:val="001652E4"/>
    <w:rsid w:val="001701B3"/>
    <w:rsid w:val="0017386F"/>
    <w:rsid w:val="00175288"/>
    <w:rsid w:val="00176B16"/>
    <w:rsid w:val="00177D50"/>
    <w:rsid w:val="00192D0B"/>
    <w:rsid w:val="001A0FE3"/>
    <w:rsid w:val="001A3378"/>
    <w:rsid w:val="001A6930"/>
    <w:rsid w:val="001B0138"/>
    <w:rsid w:val="001B316F"/>
    <w:rsid w:val="001B6636"/>
    <w:rsid w:val="001C10FE"/>
    <w:rsid w:val="001C1A57"/>
    <w:rsid w:val="001C1C61"/>
    <w:rsid w:val="001C2E01"/>
    <w:rsid w:val="001C4769"/>
    <w:rsid w:val="001C4ABA"/>
    <w:rsid w:val="001C5790"/>
    <w:rsid w:val="001D321C"/>
    <w:rsid w:val="001D65A6"/>
    <w:rsid w:val="001E756A"/>
    <w:rsid w:val="001F2193"/>
    <w:rsid w:val="001F341F"/>
    <w:rsid w:val="001F3644"/>
    <w:rsid w:val="001F77D9"/>
    <w:rsid w:val="00201B58"/>
    <w:rsid w:val="00202B26"/>
    <w:rsid w:val="00205FEF"/>
    <w:rsid w:val="002100C4"/>
    <w:rsid w:val="002103F9"/>
    <w:rsid w:val="002109D9"/>
    <w:rsid w:val="00212DAE"/>
    <w:rsid w:val="002146B3"/>
    <w:rsid w:val="00214B82"/>
    <w:rsid w:val="00222648"/>
    <w:rsid w:val="00230D16"/>
    <w:rsid w:val="0023228D"/>
    <w:rsid w:val="00232A42"/>
    <w:rsid w:val="00232B7A"/>
    <w:rsid w:val="0023317C"/>
    <w:rsid w:val="00233A6F"/>
    <w:rsid w:val="002356C3"/>
    <w:rsid w:val="00235F81"/>
    <w:rsid w:val="00237532"/>
    <w:rsid w:val="0024028B"/>
    <w:rsid w:val="002416AB"/>
    <w:rsid w:val="00250798"/>
    <w:rsid w:val="0025174E"/>
    <w:rsid w:val="00252336"/>
    <w:rsid w:val="00264591"/>
    <w:rsid w:val="00271791"/>
    <w:rsid w:val="00272215"/>
    <w:rsid w:val="00274AE0"/>
    <w:rsid w:val="00283616"/>
    <w:rsid w:val="002A1ECA"/>
    <w:rsid w:val="002A32AF"/>
    <w:rsid w:val="002A4338"/>
    <w:rsid w:val="002C1A80"/>
    <w:rsid w:val="002C1BEE"/>
    <w:rsid w:val="002C7CB1"/>
    <w:rsid w:val="002C7E65"/>
    <w:rsid w:val="002D030A"/>
    <w:rsid w:val="002D2930"/>
    <w:rsid w:val="002D6DCB"/>
    <w:rsid w:val="002E0176"/>
    <w:rsid w:val="002E0C4F"/>
    <w:rsid w:val="002E653D"/>
    <w:rsid w:val="002F4D74"/>
    <w:rsid w:val="002F6428"/>
    <w:rsid w:val="002F780A"/>
    <w:rsid w:val="003012F1"/>
    <w:rsid w:val="00304939"/>
    <w:rsid w:val="00304F81"/>
    <w:rsid w:val="003052E1"/>
    <w:rsid w:val="00307DDE"/>
    <w:rsid w:val="003100A7"/>
    <w:rsid w:val="003101FD"/>
    <w:rsid w:val="00311286"/>
    <w:rsid w:val="00311ADA"/>
    <w:rsid w:val="0031602E"/>
    <w:rsid w:val="003219E8"/>
    <w:rsid w:val="00323FE2"/>
    <w:rsid w:val="0032519C"/>
    <w:rsid w:val="00325208"/>
    <w:rsid w:val="003258F6"/>
    <w:rsid w:val="00326273"/>
    <w:rsid w:val="00327799"/>
    <w:rsid w:val="0033116E"/>
    <w:rsid w:val="0033131A"/>
    <w:rsid w:val="003316F8"/>
    <w:rsid w:val="00340626"/>
    <w:rsid w:val="00342539"/>
    <w:rsid w:val="00343364"/>
    <w:rsid w:val="0034417B"/>
    <w:rsid w:val="00345100"/>
    <w:rsid w:val="00345A57"/>
    <w:rsid w:val="00347088"/>
    <w:rsid w:val="003514CC"/>
    <w:rsid w:val="00353AF1"/>
    <w:rsid w:val="003627BC"/>
    <w:rsid w:val="00364453"/>
    <w:rsid w:val="00365B11"/>
    <w:rsid w:val="00371A19"/>
    <w:rsid w:val="0037200A"/>
    <w:rsid w:val="0037484C"/>
    <w:rsid w:val="00374AC0"/>
    <w:rsid w:val="00376D3E"/>
    <w:rsid w:val="003805B9"/>
    <w:rsid w:val="00380963"/>
    <w:rsid w:val="00384DEF"/>
    <w:rsid w:val="0038564F"/>
    <w:rsid w:val="00385DA2"/>
    <w:rsid w:val="00386D6B"/>
    <w:rsid w:val="003904DD"/>
    <w:rsid w:val="00391628"/>
    <w:rsid w:val="00393D83"/>
    <w:rsid w:val="00394417"/>
    <w:rsid w:val="003A028D"/>
    <w:rsid w:val="003A1226"/>
    <w:rsid w:val="003A5232"/>
    <w:rsid w:val="003B4712"/>
    <w:rsid w:val="003B5B90"/>
    <w:rsid w:val="003B7035"/>
    <w:rsid w:val="003B7A3B"/>
    <w:rsid w:val="003C04BF"/>
    <w:rsid w:val="003C1FBB"/>
    <w:rsid w:val="003C55AF"/>
    <w:rsid w:val="003D275C"/>
    <w:rsid w:val="003D5095"/>
    <w:rsid w:val="003E1B93"/>
    <w:rsid w:val="003F62EC"/>
    <w:rsid w:val="003F72E6"/>
    <w:rsid w:val="00404037"/>
    <w:rsid w:val="004173C2"/>
    <w:rsid w:val="0041775A"/>
    <w:rsid w:val="00417F04"/>
    <w:rsid w:val="00421A82"/>
    <w:rsid w:val="00425D5B"/>
    <w:rsid w:val="004263AF"/>
    <w:rsid w:val="00430C61"/>
    <w:rsid w:val="00437FEE"/>
    <w:rsid w:val="00440B19"/>
    <w:rsid w:val="0044562D"/>
    <w:rsid w:val="00445B9C"/>
    <w:rsid w:val="0044763C"/>
    <w:rsid w:val="004501BB"/>
    <w:rsid w:val="004555E5"/>
    <w:rsid w:val="00456CEE"/>
    <w:rsid w:val="004577C1"/>
    <w:rsid w:val="00460E20"/>
    <w:rsid w:val="00460E48"/>
    <w:rsid w:val="00461DAA"/>
    <w:rsid w:val="00462918"/>
    <w:rsid w:val="00463142"/>
    <w:rsid w:val="004636FE"/>
    <w:rsid w:val="004659AD"/>
    <w:rsid w:val="004663FB"/>
    <w:rsid w:val="004673D9"/>
    <w:rsid w:val="00480583"/>
    <w:rsid w:val="004805D1"/>
    <w:rsid w:val="00487ABB"/>
    <w:rsid w:val="0049049C"/>
    <w:rsid w:val="004912DF"/>
    <w:rsid w:val="004933A6"/>
    <w:rsid w:val="004934C0"/>
    <w:rsid w:val="004A1A27"/>
    <w:rsid w:val="004A2618"/>
    <w:rsid w:val="004A575D"/>
    <w:rsid w:val="004A597F"/>
    <w:rsid w:val="004A5F96"/>
    <w:rsid w:val="004A6645"/>
    <w:rsid w:val="004B09C7"/>
    <w:rsid w:val="004B29C1"/>
    <w:rsid w:val="004B2F01"/>
    <w:rsid w:val="004B4FFC"/>
    <w:rsid w:val="004C6A62"/>
    <w:rsid w:val="004C717C"/>
    <w:rsid w:val="004D1499"/>
    <w:rsid w:val="004D16CA"/>
    <w:rsid w:val="004D1D5A"/>
    <w:rsid w:val="004D521A"/>
    <w:rsid w:val="004E1D41"/>
    <w:rsid w:val="004E497D"/>
    <w:rsid w:val="004E7261"/>
    <w:rsid w:val="004E7AED"/>
    <w:rsid w:val="004E7FF4"/>
    <w:rsid w:val="004F3274"/>
    <w:rsid w:val="004F45F3"/>
    <w:rsid w:val="004F5C42"/>
    <w:rsid w:val="00501E7B"/>
    <w:rsid w:val="00506030"/>
    <w:rsid w:val="00510F96"/>
    <w:rsid w:val="00512741"/>
    <w:rsid w:val="00512FF1"/>
    <w:rsid w:val="00522B37"/>
    <w:rsid w:val="00522DAE"/>
    <w:rsid w:val="005242D1"/>
    <w:rsid w:val="00525303"/>
    <w:rsid w:val="00531805"/>
    <w:rsid w:val="00534D21"/>
    <w:rsid w:val="005375CE"/>
    <w:rsid w:val="00543947"/>
    <w:rsid w:val="005524C0"/>
    <w:rsid w:val="00553E9B"/>
    <w:rsid w:val="005553D8"/>
    <w:rsid w:val="00556419"/>
    <w:rsid w:val="00557AF7"/>
    <w:rsid w:val="00557B1D"/>
    <w:rsid w:val="005643C2"/>
    <w:rsid w:val="00565561"/>
    <w:rsid w:val="00573CBF"/>
    <w:rsid w:val="00577BEE"/>
    <w:rsid w:val="00580D71"/>
    <w:rsid w:val="00584FBE"/>
    <w:rsid w:val="005868F6"/>
    <w:rsid w:val="005873FE"/>
    <w:rsid w:val="005915B7"/>
    <w:rsid w:val="005936E3"/>
    <w:rsid w:val="00594A62"/>
    <w:rsid w:val="00596605"/>
    <w:rsid w:val="00596652"/>
    <w:rsid w:val="00597B69"/>
    <w:rsid w:val="00597C14"/>
    <w:rsid w:val="005A2072"/>
    <w:rsid w:val="005A49A9"/>
    <w:rsid w:val="005A6974"/>
    <w:rsid w:val="005A7883"/>
    <w:rsid w:val="005B3857"/>
    <w:rsid w:val="005B3997"/>
    <w:rsid w:val="005B52E5"/>
    <w:rsid w:val="005B567C"/>
    <w:rsid w:val="005C2030"/>
    <w:rsid w:val="005C3BE0"/>
    <w:rsid w:val="005C417A"/>
    <w:rsid w:val="005D4ABA"/>
    <w:rsid w:val="005D51E4"/>
    <w:rsid w:val="005D5EDB"/>
    <w:rsid w:val="005D5F57"/>
    <w:rsid w:val="005E3717"/>
    <w:rsid w:val="005E5334"/>
    <w:rsid w:val="005E6458"/>
    <w:rsid w:val="005E7528"/>
    <w:rsid w:val="005F38C3"/>
    <w:rsid w:val="00600726"/>
    <w:rsid w:val="00601736"/>
    <w:rsid w:val="00601AB7"/>
    <w:rsid w:val="00602289"/>
    <w:rsid w:val="00603B6E"/>
    <w:rsid w:val="00611025"/>
    <w:rsid w:val="006135B3"/>
    <w:rsid w:val="006251D8"/>
    <w:rsid w:val="00627096"/>
    <w:rsid w:val="00627B10"/>
    <w:rsid w:val="00630116"/>
    <w:rsid w:val="0063027C"/>
    <w:rsid w:val="00635C72"/>
    <w:rsid w:val="006363DF"/>
    <w:rsid w:val="00642733"/>
    <w:rsid w:val="00642ABD"/>
    <w:rsid w:val="006452FC"/>
    <w:rsid w:val="006467AB"/>
    <w:rsid w:val="00646809"/>
    <w:rsid w:val="006468AC"/>
    <w:rsid w:val="00647CC8"/>
    <w:rsid w:val="00654BFC"/>
    <w:rsid w:val="00662B38"/>
    <w:rsid w:val="00663925"/>
    <w:rsid w:val="0066560A"/>
    <w:rsid w:val="006659A8"/>
    <w:rsid w:val="00675A31"/>
    <w:rsid w:val="0068086C"/>
    <w:rsid w:val="00685FAE"/>
    <w:rsid w:val="00690D3E"/>
    <w:rsid w:val="00691280"/>
    <w:rsid w:val="00691DE2"/>
    <w:rsid w:val="00694235"/>
    <w:rsid w:val="0069674C"/>
    <w:rsid w:val="006A0299"/>
    <w:rsid w:val="006A3AE9"/>
    <w:rsid w:val="006A5ED5"/>
    <w:rsid w:val="006C1A39"/>
    <w:rsid w:val="006C4B27"/>
    <w:rsid w:val="006C6B11"/>
    <w:rsid w:val="006C7C84"/>
    <w:rsid w:val="006D5CE7"/>
    <w:rsid w:val="006D5F1E"/>
    <w:rsid w:val="006D65A1"/>
    <w:rsid w:val="006F1C30"/>
    <w:rsid w:val="006F1F49"/>
    <w:rsid w:val="006F4FC9"/>
    <w:rsid w:val="00701710"/>
    <w:rsid w:val="00701773"/>
    <w:rsid w:val="00704A3D"/>
    <w:rsid w:val="00707D03"/>
    <w:rsid w:val="007100E8"/>
    <w:rsid w:val="007130AD"/>
    <w:rsid w:val="007153F4"/>
    <w:rsid w:val="007156CD"/>
    <w:rsid w:val="00717FB2"/>
    <w:rsid w:val="00721C9F"/>
    <w:rsid w:val="0073030D"/>
    <w:rsid w:val="00730814"/>
    <w:rsid w:val="00732794"/>
    <w:rsid w:val="00741BA7"/>
    <w:rsid w:val="00747E72"/>
    <w:rsid w:val="00751C0B"/>
    <w:rsid w:val="00753B94"/>
    <w:rsid w:val="00753BF5"/>
    <w:rsid w:val="00753DD6"/>
    <w:rsid w:val="00755E73"/>
    <w:rsid w:val="007561AF"/>
    <w:rsid w:val="00757324"/>
    <w:rsid w:val="0075790C"/>
    <w:rsid w:val="0076228B"/>
    <w:rsid w:val="0076265B"/>
    <w:rsid w:val="00763BDC"/>
    <w:rsid w:val="00764706"/>
    <w:rsid w:val="0078318E"/>
    <w:rsid w:val="00784FA1"/>
    <w:rsid w:val="00785A1F"/>
    <w:rsid w:val="00786AC1"/>
    <w:rsid w:val="00787A01"/>
    <w:rsid w:val="0079033C"/>
    <w:rsid w:val="007908EF"/>
    <w:rsid w:val="00792E79"/>
    <w:rsid w:val="007936DC"/>
    <w:rsid w:val="00794A35"/>
    <w:rsid w:val="00795AE5"/>
    <w:rsid w:val="007962DB"/>
    <w:rsid w:val="007A356B"/>
    <w:rsid w:val="007B3537"/>
    <w:rsid w:val="007B4EAF"/>
    <w:rsid w:val="007B7C19"/>
    <w:rsid w:val="007B7D98"/>
    <w:rsid w:val="007C1ACC"/>
    <w:rsid w:val="007C1E80"/>
    <w:rsid w:val="007C5260"/>
    <w:rsid w:val="007C5BCB"/>
    <w:rsid w:val="007C6F55"/>
    <w:rsid w:val="007C749E"/>
    <w:rsid w:val="007D1287"/>
    <w:rsid w:val="007D22CF"/>
    <w:rsid w:val="007D4BF0"/>
    <w:rsid w:val="007D79F2"/>
    <w:rsid w:val="007E45E8"/>
    <w:rsid w:val="007E5E46"/>
    <w:rsid w:val="007E6147"/>
    <w:rsid w:val="007E69B1"/>
    <w:rsid w:val="007E7F93"/>
    <w:rsid w:val="007F3E4B"/>
    <w:rsid w:val="007F68D5"/>
    <w:rsid w:val="00802FEC"/>
    <w:rsid w:val="00804C44"/>
    <w:rsid w:val="00810B39"/>
    <w:rsid w:val="00810B73"/>
    <w:rsid w:val="00811FFF"/>
    <w:rsid w:val="00813073"/>
    <w:rsid w:val="00814FFE"/>
    <w:rsid w:val="00817EDD"/>
    <w:rsid w:val="00822B54"/>
    <w:rsid w:val="00824F82"/>
    <w:rsid w:val="008322C0"/>
    <w:rsid w:val="00832B90"/>
    <w:rsid w:val="00833184"/>
    <w:rsid w:val="00837163"/>
    <w:rsid w:val="00843E24"/>
    <w:rsid w:val="00846FD0"/>
    <w:rsid w:val="00851BC9"/>
    <w:rsid w:val="008533D2"/>
    <w:rsid w:val="008534D9"/>
    <w:rsid w:val="0085371A"/>
    <w:rsid w:val="00854864"/>
    <w:rsid w:val="008574E9"/>
    <w:rsid w:val="00865D18"/>
    <w:rsid w:val="00867DDF"/>
    <w:rsid w:val="008704CE"/>
    <w:rsid w:val="00877B36"/>
    <w:rsid w:val="00880DCA"/>
    <w:rsid w:val="00881D91"/>
    <w:rsid w:val="00884A99"/>
    <w:rsid w:val="00887697"/>
    <w:rsid w:val="008975A8"/>
    <w:rsid w:val="00897696"/>
    <w:rsid w:val="008A3FEA"/>
    <w:rsid w:val="008A6F19"/>
    <w:rsid w:val="008B1C6C"/>
    <w:rsid w:val="008B2CCD"/>
    <w:rsid w:val="008B6E95"/>
    <w:rsid w:val="008C11CD"/>
    <w:rsid w:val="008C3916"/>
    <w:rsid w:val="008D011D"/>
    <w:rsid w:val="008D130B"/>
    <w:rsid w:val="008D2858"/>
    <w:rsid w:val="008D3DC1"/>
    <w:rsid w:val="008D3F1D"/>
    <w:rsid w:val="008E05CC"/>
    <w:rsid w:val="008E526B"/>
    <w:rsid w:val="008E57AE"/>
    <w:rsid w:val="008F26AE"/>
    <w:rsid w:val="008F39BA"/>
    <w:rsid w:val="008F437A"/>
    <w:rsid w:val="008F61EE"/>
    <w:rsid w:val="008F7D04"/>
    <w:rsid w:val="00902779"/>
    <w:rsid w:val="00911A7C"/>
    <w:rsid w:val="00911AB3"/>
    <w:rsid w:val="009167DB"/>
    <w:rsid w:val="009212CF"/>
    <w:rsid w:val="00925CA4"/>
    <w:rsid w:val="00926E89"/>
    <w:rsid w:val="00930129"/>
    <w:rsid w:val="009307B3"/>
    <w:rsid w:val="0093201E"/>
    <w:rsid w:val="009327AC"/>
    <w:rsid w:val="009359E8"/>
    <w:rsid w:val="009366CB"/>
    <w:rsid w:val="00941AEF"/>
    <w:rsid w:val="0094206C"/>
    <w:rsid w:val="00944363"/>
    <w:rsid w:val="009455D5"/>
    <w:rsid w:val="00946B5A"/>
    <w:rsid w:val="00947436"/>
    <w:rsid w:val="00951715"/>
    <w:rsid w:val="00952BFD"/>
    <w:rsid w:val="00952E55"/>
    <w:rsid w:val="00957261"/>
    <w:rsid w:val="009616BB"/>
    <w:rsid w:val="0096246B"/>
    <w:rsid w:val="009625A0"/>
    <w:rsid w:val="009627CE"/>
    <w:rsid w:val="00964EC7"/>
    <w:rsid w:val="009655D6"/>
    <w:rsid w:val="00967227"/>
    <w:rsid w:val="00974200"/>
    <w:rsid w:val="00977FF4"/>
    <w:rsid w:val="009811D9"/>
    <w:rsid w:val="00986D5B"/>
    <w:rsid w:val="00990CDE"/>
    <w:rsid w:val="00991EEB"/>
    <w:rsid w:val="00994DB9"/>
    <w:rsid w:val="009969BE"/>
    <w:rsid w:val="00997B27"/>
    <w:rsid w:val="009A4E50"/>
    <w:rsid w:val="009B0DD8"/>
    <w:rsid w:val="009B169E"/>
    <w:rsid w:val="009B60D2"/>
    <w:rsid w:val="009C19C8"/>
    <w:rsid w:val="009C2E43"/>
    <w:rsid w:val="009C3812"/>
    <w:rsid w:val="009C559C"/>
    <w:rsid w:val="009C7B48"/>
    <w:rsid w:val="009C7D41"/>
    <w:rsid w:val="009D0987"/>
    <w:rsid w:val="009D477B"/>
    <w:rsid w:val="009D6955"/>
    <w:rsid w:val="009D7921"/>
    <w:rsid w:val="009E39AB"/>
    <w:rsid w:val="009E3B64"/>
    <w:rsid w:val="009F1B83"/>
    <w:rsid w:val="009F34D0"/>
    <w:rsid w:val="009F70FE"/>
    <w:rsid w:val="00A01D9C"/>
    <w:rsid w:val="00A03E20"/>
    <w:rsid w:val="00A0549F"/>
    <w:rsid w:val="00A05578"/>
    <w:rsid w:val="00A07A0E"/>
    <w:rsid w:val="00A07A51"/>
    <w:rsid w:val="00A1681C"/>
    <w:rsid w:val="00A213D5"/>
    <w:rsid w:val="00A226A7"/>
    <w:rsid w:val="00A26A5B"/>
    <w:rsid w:val="00A303FE"/>
    <w:rsid w:val="00A303FF"/>
    <w:rsid w:val="00A30D2D"/>
    <w:rsid w:val="00A30DE8"/>
    <w:rsid w:val="00A31942"/>
    <w:rsid w:val="00A34402"/>
    <w:rsid w:val="00A37AAF"/>
    <w:rsid w:val="00A41C72"/>
    <w:rsid w:val="00A42906"/>
    <w:rsid w:val="00A52B80"/>
    <w:rsid w:val="00A5569F"/>
    <w:rsid w:val="00A613BC"/>
    <w:rsid w:val="00A61D48"/>
    <w:rsid w:val="00A64E63"/>
    <w:rsid w:val="00A64ECE"/>
    <w:rsid w:val="00A7077C"/>
    <w:rsid w:val="00A713E5"/>
    <w:rsid w:val="00A730A9"/>
    <w:rsid w:val="00A76BF1"/>
    <w:rsid w:val="00A81E78"/>
    <w:rsid w:val="00A856A3"/>
    <w:rsid w:val="00A9174C"/>
    <w:rsid w:val="00A93CBF"/>
    <w:rsid w:val="00A978B3"/>
    <w:rsid w:val="00AA06DD"/>
    <w:rsid w:val="00AA0C6F"/>
    <w:rsid w:val="00AA1FC7"/>
    <w:rsid w:val="00AA3397"/>
    <w:rsid w:val="00AA7BB3"/>
    <w:rsid w:val="00AB18A2"/>
    <w:rsid w:val="00AB43DA"/>
    <w:rsid w:val="00AB6869"/>
    <w:rsid w:val="00AB6C40"/>
    <w:rsid w:val="00AC0483"/>
    <w:rsid w:val="00AC075C"/>
    <w:rsid w:val="00AC760B"/>
    <w:rsid w:val="00AC7FD6"/>
    <w:rsid w:val="00AD0383"/>
    <w:rsid w:val="00AD03A8"/>
    <w:rsid w:val="00AD5E2E"/>
    <w:rsid w:val="00AD637A"/>
    <w:rsid w:val="00AD7C65"/>
    <w:rsid w:val="00AE0351"/>
    <w:rsid w:val="00AE06E7"/>
    <w:rsid w:val="00AE320D"/>
    <w:rsid w:val="00AE36B3"/>
    <w:rsid w:val="00AF013D"/>
    <w:rsid w:val="00AF2EC0"/>
    <w:rsid w:val="00AF3E2C"/>
    <w:rsid w:val="00AF432D"/>
    <w:rsid w:val="00B02D3D"/>
    <w:rsid w:val="00B0330F"/>
    <w:rsid w:val="00B03768"/>
    <w:rsid w:val="00B03B8F"/>
    <w:rsid w:val="00B04FD0"/>
    <w:rsid w:val="00B06925"/>
    <w:rsid w:val="00B06A29"/>
    <w:rsid w:val="00B104C5"/>
    <w:rsid w:val="00B15748"/>
    <w:rsid w:val="00B158F5"/>
    <w:rsid w:val="00B201D6"/>
    <w:rsid w:val="00B24268"/>
    <w:rsid w:val="00B30B1E"/>
    <w:rsid w:val="00B37CF9"/>
    <w:rsid w:val="00B40FF2"/>
    <w:rsid w:val="00B41C44"/>
    <w:rsid w:val="00B524DD"/>
    <w:rsid w:val="00B52F81"/>
    <w:rsid w:val="00B6102D"/>
    <w:rsid w:val="00B62EFB"/>
    <w:rsid w:val="00B636C7"/>
    <w:rsid w:val="00B63814"/>
    <w:rsid w:val="00B649DF"/>
    <w:rsid w:val="00B720DF"/>
    <w:rsid w:val="00B77D75"/>
    <w:rsid w:val="00B8108F"/>
    <w:rsid w:val="00B817F6"/>
    <w:rsid w:val="00B83C0D"/>
    <w:rsid w:val="00B84AD0"/>
    <w:rsid w:val="00B85A43"/>
    <w:rsid w:val="00B90438"/>
    <w:rsid w:val="00B93A22"/>
    <w:rsid w:val="00B950FE"/>
    <w:rsid w:val="00B95C37"/>
    <w:rsid w:val="00B969D7"/>
    <w:rsid w:val="00BA3CAD"/>
    <w:rsid w:val="00BA7852"/>
    <w:rsid w:val="00BB39A9"/>
    <w:rsid w:val="00BB4C11"/>
    <w:rsid w:val="00BB54B7"/>
    <w:rsid w:val="00BB5774"/>
    <w:rsid w:val="00BB5848"/>
    <w:rsid w:val="00BB5D13"/>
    <w:rsid w:val="00BC114E"/>
    <w:rsid w:val="00BC297D"/>
    <w:rsid w:val="00BC3C75"/>
    <w:rsid w:val="00BC66D0"/>
    <w:rsid w:val="00BC7A54"/>
    <w:rsid w:val="00BC7E24"/>
    <w:rsid w:val="00BD0507"/>
    <w:rsid w:val="00BD11E4"/>
    <w:rsid w:val="00BD2657"/>
    <w:rsid w:val="00BE1261"/>
    <w:rsid w:val="00BE1AD0"/>
    <w:rsid w:val="00BE1B67"/>
    <w:rsid w:val="00BE1DEC"/>
    <w:rsid w:val="00BE2978"/>
    <w:rsid w:val="00BF2DB2"/>
    <w:rsid w:val="00BF3E31"/>
    <w:rsid w:val="00BF40A3"/>
    <w:rsid w:val="00C00160"/>
    <w:rsid w:val="00C017CE"/>
    <w:rsid w:val="00C12A78"/>
    <w:rsid w:val="00C162D7"/>
    <w:rsid w:val="00C17A99"/>
    <w:rsid w:val="00C17E6B"/>
    <w:rsid w:val="00C219DE"/>
    <w:rsid w:val="00C24652"/>
    <w:rsid w:val="00C24914"/>
    <w:rsid w:val="00C261AB"/>
    <w:rsid w:val="00C27177"/>
    <w:rsid w:val="00C31E72"/>
    <w:rsid w:val="00C40FB3"/>
    <w:rsid w:val="00C41B36"/>
    <w:rsid w:val="00C455E7"/>
    <w:rsid w:val="00C52A08"/>
    <w:rsid w:val="00C52C56"/>
    <w:rsid w:val="00C600A2"/>
    <w:rsid w:val="00C60325"/>
    <w:rsid w:val="00C615C1"/>
    <w:rsid w:val="00C666E5"/>
    <w:rsid w:val="00C67AA0"/>
    <w:rsid w:val="00C72F9E"/>
    <w:rsid w:val="00C81772"/>
    <w:rsid w:val="00C87037"/>
    <w:rsid w:val="00C870AC"/>
    <w:rsid w:val="00C9129A"/>
    <w:rsid w:val="00C93DBB"/>
    <w:rsid w:val="00C9754F"/>
    <w:rsid w:val="00C97B3F"/>
    <w:rsid w:val="00C97C16"/>
    <w:rsid w:val="00CA039E"/>
    <w:rsid w:val="00CA1D09"/>
    <w:rsid w:val="00CA4771"/>
    <w:rsid w:val="00CA796D"/>
    <w:rsid w:val="00CC0F48"/>
    <w:rsid w:val="00CC1E5F"/>
    <w:rsid w:val="00CC37ED"/>
    <w:rsid w:val="00CC3DB5"/>
    <w:rsid w:val="00CC3E26"/>
    <w:rsid w:val="00CC5BA4"/>
    <w:rsid w:val="00CC768B"/>
    <w:rsid w:val="00CC7C3D"/>
    <w:rsid w:val="00CC7EF7"/>
    <w:rsid w:val="00CD08FC"/>
    <w:rsid w:val="00CD28D5"/>
    <w:rsid w:val="00CE16AC"/>
    <w:rsid w:val="00CE36D0"/>
    <w:rsid w:val="00CE3AC2"/>
    <w:rsid w:val="00CE6BCB"/>
    <w:rsid w:val="00CF004E"/>
    <w:rsid w:val="00CF0C1B"/>
    <w:rsid w:val="00CF175E"/>
    <w:rsid w:val="00CF267C"/>
    <w:rsid w:val="00CF2E9E"/>
    <w:rsid w:val="00D0067D"/>
    <w:rsid w:val="00D05192"/>
    <w:rsid w:val="00D07C1F"/>
    <w:rsid w:val="00D1066A"/>
    <w:rsid w:val="00D12200"/>
    <w:rsid w:val="00D17FAA"/>
    <w:rsid w:val="00D20E8A"/>
    <w:rsid w:val="00D21F52"/>
    <w:rsid w:val="00D23A7C"/>
    <w:rsid w:val="00D24058"/>
    <w:rsid w:val="00D305B6"/>
    <w:rsid w:val="00D3741B"/>
    <w:rsid w:val="00D402A6"/>
    <w:rsid w:val="00D45466"/>
    <w:rsid w:val="00D504E6"/>
    <w:rsid w:val="00D5217E"/>
    <w:rsid w:val="00D526E9"/>
    <w:rsid w:val="00D53E72"/>
    <w:rsid w:val="00D5665D"/>
    <w:rsid w:val="00D61EBC"/>
    <w:rsid w:val="00D7050A"/>
    <w:rsid w:val="00D721FE"/>
    <w:rsid w:val="00D743B6"/>
    <w:rsid w:val="00D76AA1"/>
    <w:rsid w:val="00D773FA"/>
    <w:rsid w:val="00D80D5D"/>
    <w:rsid w:val="00D8157F"/>
    <w:rsid w:val="00D828F9"/>
    <w:rsid w:val="00D83DD9"/>
    <w:rsid w:val="00D847AB"/>
    <w:rsid w:val="00D854BD"/>
    <w:rsid w:val="00D903DA"/>
    <w:rsid w:val="00D906A4"/>
    <w:rsid w:val="00D91C7A"/>
    <w:rsid w:val="00D933CF"/>
    <w:rsid w:val="00D95E65"/>
    <w:rsid w:val="00D961EF"/>
    <w:rsid w:val="00D971F6"/>
    <w:rsid w:val="00DA0CEA"/>
    <w:rsid w:val="00DA497A"/>
    <w:rsid w:val="00DA6D50"/>
    <w:rsid w:val="00DB2EF0"/>
    <w:rsid w:val="00DB3007"/>
    <w:rsid w:val="00DB31D5"/>
    <w:rsid w:val="00DC013A"/>
    <w:rsid w:val="00DC0907"/>
    <w:rsid w:val="00DC26C8"/>
    <w:rsid w:val="00DC2B47"/>
    <w:rsid w:val="00DC2CAA"/>
    <w:rsid w:val="00DC3131"/>
    <w:rsid w:val="00DC58EA"/>
    <w:rsid w:val="00DD2604"/>
    <w:rsid w:val="00DD26B5"/>
    <w:rsid w:val="00DD278E"/>
    <w:rsid w:val="00DD606C"/>
    <w:rsid w:val="00DE116C"/>
    <w:rsid w:val="00DE5881"/>
    <w:rsid w:val="00DE7769"/>
    <w:rsid w:val="00DF1BB9"/>
    <w:rsid w:val="00DF24F6"/>
    <w:rsid w:val="00DF3D67"/>
    <w:rsid w:val="00DF614D"/>
    <w:rsid w:val="00E05810"/>
    <w:rsid w:val="00E13C46"/>
    <w:rsid w:val="00E20231"/>
    <w:rsid w:val="00E264DE"/>
    <w:rsid w:val="00E33952"/>
    <w:rsid w:val="00E33E48"/>
    <w:rsid w:val="00E346C6"/>
    <w:rsid w:val="00E35681"/>
    <w:rsid w:val="00E365A4"/>
    <w:rsid w:val="00E43403"/>
    <w:rsid w:val="00E45263"/>
    <w:rsid w:val="00E452CB"/>
    <w:rsid w:val="00E51E6E"/>
    <w:rsid w:val="00E5408B"/>
    <w:rsid w:val="00E60C77"/>
    <w:rsid w:val="00E6150A"/>
    <w:rsid w:val="00E61BAF"/>
    <w:rsid w:val="00E61F90"/>
    <w:rsid w:val="00E7493E"/>
    <w:rsid w:val="00E76CE5"/>
    <w:rsid w:val="00E76DB1"/>
    <w:rsid w:val="00E81E20"/>
    <w:rsid w:val="00E83D18"/>
    <w:rsid w:val="00E843A1"/>
    <w:rsid w:val="00E84C73"/>
    <w:rsid w:val="00E8567F"/>
    <w:rsid w:val="00E862B6"/>
    <w:rsid w:val="00E86C01"/>
    <w:rsid w:val="00E930F3"/>
    <w:rsid w:val="00E94479"/>
    <w:rsid w:val="00E95262"/>
    <w:rsid w:val="00E958F3"/>
    <w:rsid w:val="00E963AC"/>
    <w:rsid w:val="00EA13F9"/>
    <w:rsid w:val="00EA2E77"/>
    <w:rsid w:val="00EA5ACF"/>
    <w:rsid w:val="00EA77C6"/>
    <w:rsid w:val="00EB011F"/>
    <w:rsid w:val="00EB1C61"/>
    <w:rsid w:val="00EB355D"/>
    <w:rsid w:val="00EB673F"/>
    <w:rsid w:val="00EC067B"/>
    <w:rsid w:val="00EC0B30"/>
    <w:rsid w:val="00EC5F6C"/>
    <w:rsid w:val="00EC6591"/>
    <w:rsid w:val="00EC6D42"/>
    <w:rsid w:val="00ED208A"/>
    <w:rsid w:val="00ED288E"/>
    <w:rsid w:val="00ED5444"/>
    <w:rsid w:val="00ED6969"/>
    <w:rsid w:val="00EE6DE3"/>
    <w:rsid w:val="00EF0229"/>
    <w:rsid w:val="00EF1F95"/>
    <w:rsid w:val="00EF2E21"/>
    <w:rsid w:val="00F00519"/>
    <w:rsid w:val="00F00993"/>
    <w:rsid w:val="00F01A99"/>
    <w:rsid w:val="00F01E6C"/>
    <w:rsid w:val="00F03BD8"/>
    <w:rsid w:val="00F04957"/>
    <w:rsid w:val="00F04FD4"/>
    <w:rsid w:val="00F078B6"/>
    <w:rsid w:val="00F140D3"/>
    <w:rsid w:val="00F14963"/>
    <w:rsid w:val="00F149BF"/>
    <w:rsid w:val="00F173AA"/>
    <w:rsid w:val="00F21518"/>
    <w:rsid w:val="00F2171D"/>
    <w:rsid w:val="00F22C4F"/>
    <w:rsid w:val="00F23FFD"/>
    <w:rsid w:val="00F24C5A"/>
    <w:rsid w:val="00F260DE"/>
    <w:rsid w:val="00F26F64"/>
    <w:rsid w:val="00F27EC2"/>
    <w:rsid w:val="00F33DE2"/>
    <w:rsid w:val="00F3678C"/>
    <w:rsid w:val="00F40A12"/>
    <w:rsid w:val="00F42097"/>
    <w:rsid w:val="00F44366"/>
    <w:rsid w:val="00F51985"/>
    <w:rsid w:val="00F539D8"/>
    <w:rsid w:val="00F54754"/>
    <w:rsid w:val="00F60DD0"/>
    <w:rsid w:val="00F637E6"/>
    <w:rsid w:val="00F63C6B"/>
    <w:rsid w:val="00F6529D"/>
    <w:rsid w:val="00F67E42"/>
    <w:rsid w:val="00F75580"/>
    <w:rsid w:val="00F76858"/>
    <w:rsid w:val="00F7773B"/>
    <w:rsid w:val="00F81C3D"/>
    <w:rsid w:val="00F83288"/>
    <w:rsid w:val="00F86415"/>
    <w:rsid w:val="00F87CB5"/>
    <w:rsid w:val="00F92C9B"/>
    <w:rsid w:val="00F934FE"/>
    <w:rsid w:val="00F9662B"/>
    <w:rsid w:val="00FA2378"/>
    <w:rsid w:val="00FA6A41"/>
    <w:rsid w:val="00FA6B07"/>
    <w:rsid w:val="00FA781C"/>
    <w:rsid w:val="00FB089E"/>
    <w:rsid w:val="00FB2F33"/>
    <w:rsid w:val="00FB35D3"/>
    <w:rsid w:val="00FB4C2E"/>
    <w:rsid w:val="00FB518F"/>
    <w:rsid w:val="00FB68C8"/>
    <w:rsid w:val="00FC24F5"/>
    <w:rsid w:val="00FD08BB"/>
    <w:rsid w:val="00FD2AF4"/>
    <w:rsid w:val="00FD360C"/>
    <w:rsid w:val="00FD4396"/>
    <w:rsid w:val="00FE07EE"/>
    <w:rsid w:val="00FE0B62"/>
    <w:rsid w:val="00FE2B2D"/>
    <w:rsid w:val="00FF1A56"/>
    <w:rsid w:val="00FF4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_x0000_s2050"/>
      </o:rules>
    </o:shapelayout>
  </w:shapeDefaults>
  <w:doNotEmbedSmartTags/>
  <w:decimalSymbol w:val="."/>
  <w:listSeparator w:val=","/>
  <w14:docId w14:val="4023EFC6"/>
  <w15:docId w15:val="{90F98F6B-D22E-4A9F-B2D9-3F758C60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55D"/>
    <w:pPr>
      <w:spacing w:after="200" w:line="276" w:lineRule="auto"/>
    </w:pPr>
    <w:rPr>
      <w:rFonts w:ascii="Arial" w:hAnsi="Arial"/>
      <w:szCs w:val="22"/>
      <w:lang w:eastAsia="en-US"/>
    </w:rPr>
  </w:style>
  <w:style w:type="paragraph" w:styleId="Heading1">
    <w:name w:val="heading 1"/>
    <w:basedOn w:val="Normal"/>
    <w:next w:val="Normal"/>
    <w:link w:val="Heading1Char"/>
    <w:qFormat/>
    <w:rsid w:val="00580D71"/>
    <w:pPr>
      <w:keepNext/>
      <w:spacing w:before="240" w:after="60" w:line="240" w:lineRule="auto"/>
      <w:ind w:left="360"/>
      <w:jc w:val="both"/>
      <w:outlineLvl w:val="0"/>
    </w:pPr>
    <w:rPr>
      <w:rFonts w:eastAsiaTheme="minorEastAsia"/>
      <w:b/>
      <w:kern w:val="32"/>
      <w:sz w:val="20"/>
      <w:szCs w:val="32"/>
    </w:rPr>
  </w:style>
  <w:style w:type="paragraph" w:styleId="Heading2">
    <w:name w:val="heading 2"/>
    <w:basedOn w:val="Normal"/>
    <w:next w:val="Normal"/>
    <w:link w:val="Heading2Char"/>
    <w:qFormat/>
    <w:rsid w:val="00580D71"/>
    <w:pPr>
      <w:keepNext/>
      <w:spacing w:before="240" w:after="60" w:line="240" w:lineRule="auto"/>
      <w:ind w:left="360"/>
      <w:jc w:val="both"/>
      <w:outlineLvl w:val="1"/>
    </w:pPr>
    <w:rPr>
      <w:rFonts w:eastAsiaTheme="minorEastAsia"/>
      <w:b/>
      <w:sz w:val="22"/>
      <w:szCs w:val="28"/>
    </w:rPr>
  </w:style>
  <w:style w:type="paragraph" w:styleId="Heading3">
    <w:name w:val="heading 3"/>
    <w:basedOn w:val="Normal"/>
    <w:next w:val="Normal"/>
    <w:link w:val="Heading3Char"/>
    <w:qFormat/>
    <w:rsid w:val="00580D71"/>
    <w:pPr>
      <w:keepNext/>
      <w:spacing w:before="240" w:after="60" w:line="240" w:lineRule="auto"/>
      <w:ind w:left="360"/>
      <w:jc w:val="both"/>
      <w:outlineLvl w:val="2"/>
    </w:pPr>
    <w:rPr>
      <w:rFonts w:eastAsiaTheme="minorEastAsia"/>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22"/>
    <w:rPr>
      <w:sz w:val="22"/>
      <w:szCs w:val="22"/>
      <w:lang w:eastAsia="en-US"/>
    </w:rPr>
  </w:style>
  <w:style w:type="paragraph" w:styleId="ListParagraph">
    <w:name w:val="List Paragraph"/>
    <w:basedOn w:val="Normal"/>
    <w:uiPriority w:val="34"/>
    <w:qFormat/>
    <w:rsid w:val="008F26AE"/>
    <w:pPr>
      <w:ind w:left="720"/>
      <w:contextualSpacing/>
    </w:pPr>
  </w:style>
  <w:style w:type="paragraph" w:styleId="Footer">
    <w:name w:val="footer"/>
    <w:basedOn w:val="Normal"/>
    <w:link w:val="FooterChar"/>
    <w:uiPriority w:val="99"/>
    <w:rsid w:val="00A213D5"/>
    <w:pPr>
      <w:tabs>
        <w:tab w:val="center" w:pos="4320"/>
        <w:tab w:val="right" w:pos="8640"/>
      </w:tabs>
    </w:pPr>
  </w:style>
  <w:style w:type="character" w:customStyle="1" w:styleId="FooterChar">
    <w:name w:val="Footer Char"/>
    <w:basedOn w:val="DefaultParagraphFont"/>
    <w:link w:val="Footer"/>
    <w:uiPriority w:val="99"/>
    <w:rsid w:val="00B16D10"/>
    <w:rPr>
      <w:lang w:eastAsia="en-US"/>
    </w:rPr>
  </w:style>
  <w:style w:type="character" w:styleId="PageNumber">
    <w:name w:val="page number"/>
    <w:basedOn w:val="DefaultParagraphFont"/>
    <w:uiPriority w:val="99"/>
    <w:rsid w:val="00A213D5"/>
    <w:rPr>
      <w:rFonts w:cs="Times New Roman"/>
    </w:rPr>
  </w:style>
  <w:style w:type="paragraph" w:styleId="BalloonText">
    <w:name w:val="Balloon Text"/>
    <w:basedOn w:val="Normal"/>
    <w:link w:val="BalloonTextChar"/>
    <w:uiPriority w:val="99"/>
    <w:semiHidden/>
    <w:unhideWhenUsed/>
    <w:rsid w:val="004C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62"/>
    <w:rPr>
      <w:rFonts w:ascii="Tahoma" w:hAnsi="Tahoma" w:cs="Tahoma"/>
      <w:sz w:val="16"/>
      <w:szCs w:val="16"/>
      <w:lang w:eastAsia="en-US"/>
    </w:rPr>
  </w:style>
  <w:style w:type="paragraph" w:styleId="Header">
    <w:name w:val="header"/>
    <w:basedOn w:val="Normal"/>
    <w:link w:val="HeaderChar"/>
    <w:uiPriority w:val="99"/>
    <w:unhideWhenUsed/>
    <w:rsid w:val="00214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B3"/>
    <w:rPr>
      <w:lang w:eastAsia="en-US"/>
    </w:rPr>
  </w:style>
  <w:style w:type="character" w:styleId="CommentReference">
    <w:name w:val="annotation reference"/>
    <w:basedOn w:val="DefaultParagraphFont"/>
    <w:uiPriority w:val="99"/>
    <w:semiHidden/>
    <w:unhideWhenUsed/>
    <w:rsid w:val="00A303FE"/>
    <w:rPr>
      <w:sz w:val="16"/>
      <w:szCs w:val="16"/>
    </w:rPr>
  </w:style>
  <w:style w:type="paragraph" w:styleId="CommentText">
    <w:name w:val="annotation text"/>
    <w:basedOn w:val="Normal"/>
    <w:link w:val="CommentTextChar"/>
    <w:uiPriority w:val="99"/>
    <w:unhideWhenUsed/>
    <w:rsid w:val="00A303FE"/>
    <w:pPr>
      <w:spacing w:line="240" w:lineRule="auto"/>
    </w:pPr>
    <w:rPr>
      <w:szCs w:val="20"/>
    </w:rPr>
  </w:style>
  <w:style w:type="character" w:customStyle="1" w:styleId="CommentTextChar">
    <w:name w:val="Comment Text Char"/>
    <w:basedOn w:val="DefaultParagraphFont"/>
    <w:link w:val="CommentText"/>
    <w:uiPriority w:val="99"/>
    <w:rsid w:val="00A303FE"/>
    <w:rPr>
      <w:sz w:val="20"/>
      <w:szCs w:val="20"/>
      <w:lang w:eastAsia="en-US"/>
    </w:rPr>
  </w:style>
  <w:style w:type="paragraph" w:styleId="CommentSubject">
    <w:name w:val="annotation subject"/>
    <w:basedOn w:val="CommentText"/>
    <w:next w:val="CommentText"/>
    <w:link w:val="CommentSubjectChar"/>
    <w:uiPriority w:val="99"/>
    <w:semiHidden/>
    <w:unhideWhenUsed/>
    <w:rsid w:val="00A303FE"/>
    <w:rPr>
      <w:b/>
      <w:bCs/>
    </w:rPr>
  </w:style>
  <w:style w:type="character" w:customStyle="1" w:styleId="CommentSubjectChar">
    <w:name w:val="Comment Subject Char"/>
    <w:basedOn w:val="CommentTextChar"/>
    <w:link w:val="CommentSubject"/>
    <w:uiPriority w:val="99"/>
    <w:semiHidden/>
    <w:rsid w:val="00A303FE"/>
    <w:rPr>
      <w:b/>
      <w:bCs/>
      <w:sz w:val="20"/>
      <w:szCs w:val="20"/>
      <w:lang w:eastAsia="en-US"/>
    </w:rPr>
  </w:style>
  <w:style w:type="paragraph" w:customStyle="1" w:styleId="Text">
    <w:name w:val="Text"/>
    <w:basedOn w:val="Normal"/>
    <w:rsid w:val="0033116E"/>
    <w:pPr>
      <w:spacing w:after="120" w:line="240" w:lineRule="auto"/>
      <w:ind w:left="540"/>
    </w:pPr>
    <w:rPr>
      <w:rFonts w:eastAsia="Times New Roman" w:cs="Arial"/>
      <w:szCs w:val="20"/>
      <w:lang w:eastAsia="en-AU"/>
    </w:rPr>
  </w:style>
  <w:style w:type="paragraph" w:styleId="BodyText">
    <w:name w:val="Body Text"/>
    <w:basedOn w:val="Normal"/>
    <w:link w:val="BodyTextChar"/>
    <w:qFormat/>
    <w:rsid w:val="00663925"/>
    <w:pPr>
      <w:spacing w:before="240" w:after="0" w:line="300" w:lineRule="atLeast"/>
    </w:pPr>
    <w:rPr>
      <w:rFonts w:eastAsia="Times New Roman"/>
      <w:sz w:val="22"/>
    </w:rPr>
  </w:style>
  <w:style w:type="character" w:customStyle="1" w:styleId="BodyTextChar">
    <w:name w:val="Body Text Char"/>
    <w:basedOn w:val="DefaultParagraphFont"/>
    <w:link w:val="BodyText"/>
    <w:rsid w:val="00663925"/>
    <w:rPr>
      <w:rFonts w:ascii="Arial" w:eastAsia="Times New Roman" w:hAnsi="Arial"/>
      <w:sz w:val="22"/>
      <w:szCs w:val="22"/>
    </w:rPr>
  </w:style>
  <w:style w:type="character" w:customStyle="1" w:styleId="Heading1Char">
    <w:name w:val="Heading 1 Char"/>
    <w:basedOn w:val="DefaultParagraphFont"/>
    <w:link w:val="Heading1"/>
    <w:rsid w:val="00580D71"/>
    <w:rPr>
      <w:rFonts w:ascii="Arial" w:eastAsiaTheme="minorEastAsia" w:hAnsi="Arial"/>
      <w:b/>
      <w:kern w:val="32"/>
      <w:sz w:val="20"/>
      <w:szCs w:val="32"/>
      <w:lang w:eastAsia="en-US"/>
    </w:rPr>
  </w:style>
  <w:style w:type="character" w:customStyle="1" w:styleId="Heading2Char">
    <w:name w:val="Heading 2 Char"/>
    <w:basedOn w:val="DefaultParagraphFont"/>
    <w:link w:val="Heading2"/>
    <w:rsid w:val="00580D71"/>
    <w:rPr>
      <w:rFonts w:ascii="Arial" w:eastAsiaTheme="minorEastAsia" w:hAnsi="Arial"/>
      <w:b/>
      <w:sz w:val="22"/>
      <w:szCs w:val="28"/>
      <w:lang w:eastAsia="en-US"/>
    </w:rPr>
  </w:style>
  <w:style w:type="character" w:customStyle="1" w:styleId="Heading3Char">
    <w:name w:val="Heading 3 Char"/>
    <w:basedOn w:val="DefaultParagraphFont"/>
    <w:link w:val="Heading3"/>
    <w:rsid w:val="00580D71"/>
    <w:rPr>
      <w:rFonts w:ascii="Arial" w:eastAsiaTheme="minorEastAsia" w:hAnsi="Arial"/>
      <w:b/>
      <w:sz w:val="20"/>
      <w:szCs w:val="26"/>
      <w:lang w:eastAsia="en-US"/>
    </w:rPr>
  </w:style>
  <w:style w:type="numbering" w:customStyle="1" w:styleId="Style1">
    <w:name w:val="Style1"/>
    <w:basedOn w:val="NoList"/>
    <w:rsid w:val="00580D71"/>
    <w:pPr>
      <w:numPr>
        <w:numId w:val="1"/>
      </w:numPr>
    </w:pPr>
  </w:style>
  <w:style w:type="numbering" w:customStyle="1" w:styleId="Style2">
    <w:name w:val="Style2"/>
    <w:rsid w:val="00580D71"/>
    <w:pPr>
      <w:numPr>
        <w:numId w:val="2"/>
      </w:numPr>
    </w:pPr>
  </w:style>
  <w:style w:type="paragraph" w:styleId="PlainText">
    <w:name w:val="Plain Text"/>
    <w:basedOn w:val="Normal"/>
    <w:link w:val="PlainTextChar"/>
    <w:rsid w:val="00580D71"/>
    <w:pPr>
      <w:spacing w:after="0" w:line="240" w:lineRule="auto"/>
      <w:ind w:left="288"/>
      <w:jc w:val="both"/>
    </w:pPr>
    <w:rPr>
      <w:rFonts w:eastAsiaTheme="minorEastAsia"/>
      <w:sz w:val="20"/>
      <w:szCs w:val="24"/>
    </w:rPr>
  </w:style>
  <w:style w:type="character" w:customStyle="1" w:styleId="PlainTextChar">
    <w:name w:val="Plain Text Char"/>
    <w:basedOn w:val="DefaultParagraphFont"/>
    <w:link w:val="PlainText"/>
    <w:rsid w:val="00580D71"/>
    <w:rPr>
      <w:rFonts w:ascii="Arial" w:eastAsiaTheme="minorEastAsia" w:hAnsi="Arial"/>
      <w:sz w:val="20"/>
      <w:lang w:eastAsia="en-US"/>
    </w:rPr>
  </w:style>
  <w:style w:type="table" w:styleId="TableGrid">
    <w:name w:val="Table Grid"/>
    <w:basedOn w:val="TableNormal"/>
    <w:rsid w:val="00580D71"/>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580D71"/>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rsid w:val="00580D71"/>
    <w:pPr>
      <w:spacing w:beforeLines="1" w:afterLines="1" w:line="240" w:lineRule="auto"/>
    </w:pPr>
    <w:rPr>
      <w:rFonts w:ascii="Times" w:eastAsiaTheme="minorHAnsi" w:hAnsi="Times"/>
      <w:sz w:val="20"/>
      <w:szCs w:val="20"/>
      <w:lang w:val="en-GB"/>
    </w:rPr>
  </w:style>
  <w:style w:type="character" w:styleId="Hyperlink">
    <w:name w:val="Hyperlink"/>
    <w:basedOn w:val="DefaultParagraphFont"/>
    <w:rsid w:val="0013300D"/>
    <w:rPr>
      <w:color w:val="0000FF" w:themeColor="hyperlink"/>
      <w:u w:val="single"/>
    </w:rPr>
  </w:style>
  <w:style w:type="paragraph" w:styleId="Revision">
    <w:name w:val="Revision"/>
    <w:hidden/>
    <w:rsid w:val="00F92C9B"/>
    <w:rPr>
      <w:rFonts w:ascii="Arial" w:hAnsi="Arial"/>
      <w:szCs w:val="22"/>
      <w:lang w:eastAsia="en-US"/>
    </w:rPr>
  </w:style>
  <w:style w:type="paragraph" w:customStyle="1" w:styleId="Default">
    <w:name w:val="Default"/>
    <w:rsid w:val="00C67AA0"/>
    <w:pPr>
      <w:autoSpaceDE w:val="0"/>
      <w:autoSpaceDN w:val="0"/>
      <w:adjustRightInd w:val="0"/>
    </w:pPr>
    <w:rPr>
      <w:rFonts w:ascii="Arial" w:hAnsi="Arial" w:cs="Arial"/>
      <w:color w:val="000000"/>
    </w:rPr>
  </w:style>
  <w:style w:type="paragraph" w:customStyle="1" w:styleId="AHPRAbody">
    <w:name w:val="AHPRA body"/>
    <w:basedOn w:val="Normal"/>
    <w:link w:val="AHPRAbodyChar"/>
    <w:qFormat/>
    <w:rsid w:val="00ED6969"/>
    <w:pPr>
      <w:spacing w:line="240" w:lineRule="auto"/>
    </w:pPr>
    <w:rPr>
      <w:rFonts w:eastAsia="Cambria" w:cs="Arial"/>
      <w:sz w:val="20"/>
      <w:szCs w:val="24"/>
    </w:rPr>
  </w:style>
  <w:style w:type="character" w:customStyle="1" w:styleId="AHPRAbodyChar">
    <w:name w:val="AHPRA body Char"/>
    <w:basedOn w:val="DefaultParagraphFont"/>
    <w:link w:val="AHPRAbody"/>
    <w:rsid w:val="00ED6969"/>
    <w:rPr>
      <w:rFonts w:ascii="Arial" w:eastAsia="Cambria" w:hAnsi="Arial" w:cs="Arial"/>
      <w:sz w:val="20"/>
      <w:lang w:eastAsia="en-US"/>
    </w:rPr>
  </w:style>
  <w:style w:type="paragraph" w:customStyle="1" w:styleId="AHPRAnumberedsubheadinglevel10">
    <w:name w:val="AHPRA numbered subheading level 1"/>
    <w:basedOn w:val="Normal"/>
    <w:next w:val="AHPRAnumberedbulletpoint"/>
    <w:link w:val="AHPRAnumberedsubheadinglevel1Char"/>
    <w:rsid w:val="001B0138"/>
    <w:pPr>
      <w:numPr>
        <w:numId w:val="8"/>
      </w:numPr>
      <w:spacing w:before="200" w:line="240" w:lineRule="auto"/>
      <w:ind w:left="369" w:hanging="369"/>
    </w:pPr>
    <w:rPr>
      <w:rFonts w:eastAsia="Cambria"/>
      <w:b/>
      <w:color w:val="008EC4"/>
      <w:sz w:val="20"/>
      <w:szCs w:val="24"/>
      <w:lang w:val="en-US"/>
    </w:rPr>
  </w:style>
  <w:style w:type="paragraph" w:customStyle="1" w:styleId="AHPRAnumberedbulletpoint">
    <w:name w:val="AHPRA numbered bullet point"/>
    <w:basedOn w:val="AHPRAnumberedsubheadinglevel10"/>
    <w:link w:val="AHPRAnumberedbulletpointChar"/>
    <w:rsid w:val="001B0138"/>
    <w:pPr>
      <w:numPr>
        <w:ilvl w:val="1"/>
      </w:numPr>
    </w:pPr>
    <w:rPr>
      <w:b w:val="0"/>
      <w:color w:val="auto"/>
    </w:rPr>
  </w:style>
  <w:style w:type="numbering" w:customStyle="1" w:styleId="AHPRAlist">
    <w:name w:val="AHPRA list"/>
    <w:uiPriority w:val="99"/>
    <w:rsid w:val="001B0138"/>
    <w:pPr>
      <w:numPr>
        <w:numId w:val="9"/>
      </w:numPr>
    </w:pPr>
  </w:style>
  <w:style w:type="character" w:customStyle="1" w:styleId="AHPRAnumberedbulletpointChar">
    <w:name w:val="AHPRA numbered bullet point Char"/>
    <w:basedOn w:val="DefaultParagraphFont"/>
    <w:link w:val="AHPRAnumberedbulletpoint"/>
    <w:rsid w:val="001B0138"/>
    <w:rPr>
      <w:rFonts w:ascii="Arial" w:eastAsia="Cambria" w:hAnsi="Arial"/>
      <w:sz w:val="20"/>
      <w:lang w:val="en-US" w:eastAsia="en-US"/>
    </w:rPr>
  </w:style>
  <w:style w:type="paragraph" w:customStyle="1" w:styleId="AHPRABulletlevel1">
    <w:name w:val="AHPRA Bullet level 1"/>
    <w:basedOn w:val="Normal"/>
    <w:qFormat/>
    <w:rsid w:val="0038564F"/>
    <w:pPr>
      <w:numPr>
        <w:numId w:val="44"/>
      </w:numPr>
      <w:spacing w:after="0" w:line="240" w:lineRule="auto"/>
      <w:ind w:left="369" w:hanging="369"/>
    </w:pPr>
    <w:rPr>
      <w:rFonts w:eastAsia="Cambria"/>
      <w:sz w:val="20"/>
      <w:szCs w:val="24"/>
    </w:rPr>
  </w:style>
  <w:style w:type="paragraph" w:customStyle="1" w:styleId="AHPRANumberedsubheadinglevel1">
    <w:name w:val="AHPRA Numbered subheading level 1"/>
    <w:basedOn w:val="Normal"/>
    <w:next w:val="Normal"/>
    <w:rsid w:val="000D4B27"/>
    <w:pPr>
      <w:numPr>
        <w:numId w:val="11"/>
      </w:numPr>
      <w:spacing w:before="200" w:line="240" w:lineRule="auto"/>
    </w:pPr>
    <w:rPr>
      <w:rFonts w:eastAsia="Cambria"/>
      <w:b/>
      <w:color w:val="007DC3"/>
      <w:sz w:val="20"/>
      <w:szCs w:val="24"/>
    </w:rPr>
  </w:style>
  <w:style w:type="paragraph" w:customStyle="1" w:styleId="AHPRABulletlevel1last">
    <w:name w:val="AHPRA Bullet level 1 last"/>
    <w:basedOn w:val="AHPRABulletlevel1"/>
    <w:next w:val="Normal"/>
    <w:rsid w:val="0038564F"/>
    <w:pPr>
      <w:spacing w:after="200"/>
      <w:ind w:left="720" w:hanging="360"/>
    </w:pPr>
  </w:style>
  <w:style w:type="paragraph" w:customStyle="1" w:styleId="AHPRANumberedsubheadinglevel2">
    <w:name w:val="AHPRA Numbered subheading level 2"/>
    <w:basedOn w:val="AHPRANumberedsubheadinglevel1"/>
    <w:next w:val="Normal"/>
    <w:rsid w:val="000D4B27"/>
    <w:pPr>
      <w:numPr>
        <w:ilvl w:val="1"/>
      </w:numPr>
      <w:spacing w:before="0"/>
    </w:pPr>
    <w:rPr>
      <w:color w:val="auto"/>
    </w:rPr>
  </w:style>
  <w:style w:type="paragraph" w:customStyle="1" w:styleId="AHPRANumberedsubheadinglevel3">
    <w:name w:val="AHPRA Numbered subheading level 3"/>
    <w:basedOn w:val="AHPRANumberedsubheadinglevel2"/>
    <w:next w:val="Normal"/>
    <w:rsid w:val="000D4B27"/>
    <w:pPr>
      <w:numPr>
        <w:ilvl w:val="2"/>
      </w:numPr>
    </w:pPr>
    <w:rPr>
      <w:b w:val="0"/>
      <w:color w:val="007DC3"/>
    </w:rPr>
  </w:style>
  <w:style w:type="numbering" w:customStyle="1" w:styleId="AHPRANumberedheadinglist">
    <w:name w:val="AHPRA Numbered heading list"/>
    <w:uiPriority w:val="99"/>
    <w:rsid w:val="000D4B27"/>
    <w:pPr>
      <w:numPr>
        <w:numId w:val="11"/>
      </w:numPr>
    </w:pPr>
  </w:style>
  <w:style w:type="paragraph" w:customStyle="1" w:styleId="AHPRAitemheading">
    <w:name w:val="AHPRA item heading"/>
    <w:basedOn w:val="Normal"/>
    <w:next w:val="Normal"/>
    <w:rsid w:val="00DA6D50"/>
    <w:pPr>
      <w:numPr>
        <w:numId w:val="27"/>
      </w:numPr>
      <w:spacing w:before="200" w:line="240" w:lineRule="auto"/>
    </w:pPr>
    <w:rPr>
      <w:rFonts w:eastAsia="Cambria"/>
      <w:b/>
      <w:color w:val="008EC4"/>
      <w:sz w:val="20"/>
      <w:szCs w:val="24"/>
      <w:lang w:val="en-US"/>
    </w:rPr>
  </w:style>
  <w:style w:type="paragraph" w:customStyle="1" w:styleId="AHPRAitemlevel2">
    <w:name w:val="AHPRA item level 2"/>
    <w:basedOn w:val="Normal"/>
    <w:rsid w:val="00DA6D50"/>
    <w:pPr>
      <w:numPr>
        <w:ilvl w:val="1"/>
        <w:numId w:val="27"/>
      </w:numPr>
      <w:spacing w:before="200" w:line="240" w:lineRule="auto"/>
    </w:pPr>
    <w:rPr>
      <w:rFonts w:eastAsia="Cambria"/>
      <w:b/>
      <w:sz w:val="20"/>
      <w:szCs w:val="24"/>
      <w:lang w:val="en-US"/>
    </w:rPr>
  </w:style>
  <w:style w:type="paragraph" w:customStyle="1" w:styleId="AHPRANumberedlistlevel2">
    <w:name w:val="AHPRA Numbered list level 2"/>
    <w:basedOn w:val="AHPRANumberedlistlevel1"/>
    <w:rsid w:val="00DA6D50"/>
    <w:pPr>
      <w:numPr>
        <w:ilvl w:val="1"/>
      </w:numPr>
    </w:pPr>
  </w:style>
  <w:style w:type="numbering" w:customStyle="1" w:styleId="AHPRANumberedlist">
    <w:name w:val="AHPRA Numbered list"/>
    <w:uiPriority w:val="99"/>
    <w:rsid w:val="00DA6D50"/>
    <w:pPr>
      <w:numPr>
        <w:numId w:val="14"/>
      </w:numPr>
    </w:pPr>
  </w:style>
  <w:style w:type="paragraph" w:customStyle="1" w:styleId="AHPRANumberedlistlevel1">
    <w:name w:val="AHPRA Numbered list level 1"/>
    <w:basedOn w:val="Normal"/>
    <w:qFormat/>
    <w:rsid w:val="00DA6D50"/>
    <w:pPr>
      <w:numPr>
        <w:numId w:val="31"/>
      </w:numPr>
      <w:spacing w:after="0" w:line="240" w:lineRule="auto"/>
    </w:pPr>
    <w:rPr>
      <w:rFonts w:eastAsia="Cambria"/>
      <w:sz w:val="20"/>
      <w:szCs w:val="24"/>
    </w:rPr>
  </w:style>
  <w:style w:type="paragraph" w:customStyle="1" w:styleId="AHPRANumberedlistlevel3">
    <w:name w:val="AHPRA Numbered list level 3"/>
    <w:basedOn w:val="AHPRANumberedlistlevel1"/>
    <w:rsid w:val="00DA6D50"/>
    <w:pPr>
      <w:numPr>
        <w:ilvl w:val="2"/>
      </w:numPr>
    </w:pPr>
  </w:style>
  <w:style w:type="character" w:customStyle="1" w:styleId="AHPRAnumberedsubheadinglevel1Char">
    <w:name w:val="AHPRA numbered subheading level 1 Char"/>
    <w:basedOn w:val="DefaultParagraphFont"/>
    <w:link w:val="AHPRAnumberedsubheadinglevel10"/>
    <w:rsid w:val="005A2072"/>
    <w:rPr>
      <w:rFonts w:ascii="Arial" w:eastAsia="Cambria" w:hAnsi="Arial"/>
      <w:b/>
      <w:color w:val="008EC4"/>
      <w:sz w:val="20"/>
      <w:lang w:val="en-US" w:eastAsia="en-US"/>
    </w:rPr>
  </w:style>
  <w:style w:type="paragraph" w:customStyle="1" w:styleId="AHPRAitemlevel3">
    <w:name w:val="AHPRA item level 3"/>
    <w:basedOn w:val="Normal"/>
    <w:uiPriority w:val="1"/>
    <w:rsid w:val="005A2072"/>
    <w:pPr>
      <w:numPr>
        <w:ilvl w:val="2"/>
        <w:numId w:val="27"/>
      </w:numPr>
      <w:spacing w:before="200" w:line="240" w:lineRule="auto"/>
    </w:pPr>
    <w:rPr>
      <w:rFonts w:eastAsia="Cambria"/>
      <w:b/>
      <w:sz w:val="20"/>
      <w:szCs w:val="24"/>
    </w:rPr>
  </w:style>
  <w:style w:type="paragraph" w:customStyle="1" w:styleId="AHPRAActionpoint">
    <w:name w:val="AHPRA Action point"/>
    <w:basedOn w:val="Normal"/>
    <w:rsid w:val="00690D3E"/>
    <w:pPr>
      <w:spacing w:line="240" w:lineRule="auto"/>
      <w:jc w:val="right"/>
    </w:pPr>
    <w:rPr>
      <w:rFonts w:eastAsia="Cambria" w:cs="Arial"/>
      <w:b/>
      <w:bCs/>
      <w:i/>
      <w:sz w:val="20"/>
      <w:szCs w:val="24"/>
    </w:rPr>
  </w:style>
  <w:style w:type="paragraph" w:customStyle="1" w:styleId="AHPRAbodybold">
    <w:name w:val="AHPRA body bold"/>
    <w:basedOn w:val="AHPRAbody"/>
    <w:link w:val="AHPRAbodyboldChar"/>
    <w:qFormat/>
    <w:rsid w:val="00690D3E"/>
    <w:rPr>
      <w:b/>
    </w:rPr>
  </w:style>
  <w:style w:type="character" w:customStyle="1" w:styleId="AHPRAbodyboldChar">
    <w:name w:val="AHPRA body bold Char"/>
    <w:basedOn w:val="AHPRAbodyChar"/>
    <w:link w:val="AHPRAbodybold"/>
    <w:rsid w:val="00690D3E"/>
    <w:rPr>
      <w:rFonts w:ascii="Arial" w:eastAsia="Cambria" w:hAnsi="Arial" w:cs="Arial"/>
      <w:b/>
      <w:sz w:val="20"/>
      <w:lang w:eastAsia="en-US"/>
    </w:rPr>
  </w:style>
  <w:style w:type="paragraph" w:customStyle="1" w:styleId="AHPRAbodyitalics">
    <w:name w:val="AHPRA body italics"/>
    <w:basedOn w:val="AHPRAbodybold"/>
    <w:link w:val="AHPRAbodyitalicsChar"/>
    <w:qFormat/>
    <w:rsid w:val="00690D3E"/>
    <w:rPr>
      <w:b w:val="0"/>
      <w:i/>
    </w:rPr>
  </w:style>
  <w:style w:type="character" w:customStyle="1" w:styleId="AHPRAbodyitalicsChar">
    <w:name w:val="AHPRA body italics Char"/>
    <w:basedOn w:val="AHPRAbodyboldChar"/>
    <w:link w:val="AHPRAbodyitalics"/>
    <w:rsid w:val="00690D3E"/>
    <w:rPr>
      <w:rFonts w:ascii="Arial" w:eastAsia="Cambria" w:hAnsi="Arial" w:cs="Arial"/>
      <w:b w:val="0"/>
      <w:i/>
      <w:sz w:val="20"/>
      <w:lang w:eastAsia="en-US"/>
    </w:rPr>
  </w:style>
  <w:style w:type="paragraph" w:customStyle="1" w:styleId="AHPRAbodyunderline">
    <w:name w:val="AHPRA body underline"/>
    <w:basedOn w:val="AHPRAbodyitalics"/>
    <w:link w:val="AHPRAbodyunderlineChar"/>
    <w:rsid w:val="00690D3E"/>
    <w:rPr>
      <w:i w:val="0"/>
      <w:u w:val="single"/>
    </w:rPr>
  </w:style>
  <w:style w:type="character" w:customStyle="1" w:styleId="AHPRAbodyunderlineChar">
    <w:name w:val="AHPRA body underline Char"/>
    <w:basedOn w:val="AHPRAbodyitalicsChar"/>
    <w:link w:val="AHPRAbodyunderline"/>
    <w:rsid w:val="00690D3E"/>
    <w:rPr>
      <w:rFonts w:ascii="Arial" w:eastAsia="Cambria" w:hAnsi="Arial" w:cs="Arial"/>
      <w:b w:val="0"/>
      <w:i w:val="0"/>
      <w:sz w:val="20"/>
      <w:u w:val="single"/>
      <w:lang w:eastAsia="en-US"/>
    </w:rPr>
  </w:style>
  <w:style w:type="paragraph" w:customStyle="1" w:styleId="AHPRABulletlevel2">
    <w:name w:val="AHPRA Bullet level 2"/>
    <w:basedOn w:val="AHPRABulletlevel1"/>
    <w:rsid w:val="00690D3E"/>
    <w:pPr>
      <w:numPr>
        <w:numId w:val="23"/>
      </w:numPr>
    </w:pPr>
  </w:style>
  <w:style w:type="paragraph" w:customStyle="1" w:styleId="AHPRABulletlevel2last">
    <w:name w:val="AHPRA Bullet level 2 last"/>
    <w:basedOn w:val="AHPRABulletlevel2"/>
    <w:next w:val="AHPRAbody"/>
    <w:rsid w:val="00690D3E"/>
    <w:pPr>
      <w:spacing w:after="200"/>
      <w:ind w:left="738" w:hanging="369"/>
    </w:pPr>
  </w:style>
  <w:style w:type="paragraph" w:customStyle="1" w:styleId="AHPRABulletlevel3">
    <w:name w:val="AHPRA Bullet level 3"/>
    <w:basedOn w:val="AHPRABulletlevel2"/>
    <w:rsid w:val="00690D3E"/>
    <w:pPr>
      <w:numPr>
        <w:numId w:val="25"/>
      </w:numPr>
    </w:pPr>
  </w:style>
  <w:style w:type="paragraph" w:customStyle="1" w:styleId="AHPRABulletlevel3last">
    <w:name w:val="AHPRA Bullet level 3 last"/>
    <w:basedOn w:val="AHPRABulletlevel3"/>
    <w:next w:val="AHPRAbody"/>
    <w:rsid w:val="00690D3E"/>
    <w:pPr>
      <w:spacing w:after="200"/>
      <w:ind w:left="1106" w:hanging="369"/>
    </w:pPr>
  </w:style>
  <w:style w:type="numbering" w:customStyle="1" w:styleId="AHPRABullets">
    <w:name w:val="AHPRA Bullets"/>
    <w:uiPriority w:val="99"/>
    <w:rsid w:val="00690D3E"/>
    <w:pPr>
      <w:numPr>
        <w:numId w:val="26"/>
      </w:numPr>
    </w:pPr>
  </w:style>
  <w:style w:type="paragraph" w:customStyle="1" w:styleId="AHPRADocumentsubheading">
    <w:name w:val="AHPRA Document subheading"/>
    <w:basedOn w:val="Normal"/>
    <w:next w:val="Normal"/>
    <w:qFormat/>
    <w:rsid w:val="00690D3E"/>
    <w:pPr>
      <w:spacing w:line="240" w:lineRule="auto"/>
      <w:outlineLvl w:val="0"/>
    </w:pPr>
    <w:rPr>
      <w:rFonts w:eastAsia="Cambria" w:cs="Arial"/>
      <w:color w:val="5F6062"/>
      <w:sz w:val="28"/>
      <w:szCs w:val="52"/>
    </w:rPr>
  </w:style>
  <w:style w:type="paragraph" w:customStyle="1" w:styleId="AHPRADocumenttitle">
    <w:name w:val="AHPRA Document title"/>
    <w:basedOn w:val="Normal"/>
    <w:next w:val="AHPRAbody"/>
    <w:rsid w:val="00690D3E"/>
    <w:pPr>
      <w:spacing w:before="200" w:after="0" w:line="240" w:lineRule="auto"/>
      <w:outlineLvl w:val="0"/>
    </w:pPr>
    <w:rPr>
      <w:rFonts w:eastAsia="Cambria" w:cs="Arial"/>
      <w:color w:val="00BCE4"/>
      <w:sz w:val="32"/>
      <w:szCs w:val="52"/>
    </w:rPr>
  </w:style>
  <w:style w:type="paragraph" w:customStyle="1" w:styleId="AHPRAfooter">
    <w:name w:val="AHPRA footer"/>
    <w:basedOn w:val="FootnoteText"/>
    <w:rsid w:val="00690D3E"/>
    <w:rPr>
      <w:rFonts w:eastAsia="Cambria" w:cs="Arial"/>
      <w:color w:val="5F6062"/>
      <w:sz w:val="18"/>
    </w:rPr>
  </w:style>
  <w:style w:type="paragraph" w:styleId="FootnoteText">
    <w:name w:val="footnote text"/>
    <w:basedOn w:val="Normal"/>
    <w:link w:val="FootnoteTextChar"/>
    <w:semiHidden/>
    <w:unhideWhenUsed/>
    <w:rsid w:val="00690D3E"/>
    <w:pPr>
      <w:spacing w:after="0" w:line="240" w:lineRule="auto"/>
    </w:pPr>
    <w:rPr>
      <w:sz w:val="20"/>
      <w:szCs w:val="20"/>
    </w:rPr>
  </w:style>
  <w:style w:type="character" w:customStyle="1" w:styleId="FootnoteTextChar">
    <w:name w:val="Footnote Text Char"/>
    <w:basedOn w:val="DefaultParagraphFont"/>
    <w:link w:val="FootnoteText"/>
    <w:semiHidden/>
    <w:rsid w:val="00690D3E"/>
    <w:rPr>
      <w:rFonts w:ascii="Arial" w:hAnsi="Arial"/>
      <w:sz w:val="20"/>
      <w:szCs w:val="20"/>
      <w:lang w:eastAsia="en-US"/>
    </w:rPr>
  </w:style>
  <w:style w:type="paragraph" w:customStyle="1" w:styleId="AHPRAfirstpagefooter">
    <w:name w:val="AHPRA first page footer"/>
    <w:basedOn w:val="AHPRAfooter"/>
    <w:rsid w:val="00690D3E"/>
    <w:pPr>
      <w:jc w:val="center"/>
    </w:pPr>
    <w:rPr>
      <w:b/>
    </w:rPr>
  </w:style>
  <w:style w:type="paragraph" w:customStyle="1" w:styleId="AHPRASubheading">
    <w:name w:val="AHPRA Subheading"/>
    <w:basedOn w:val="Normal"/>
    <w:qFormat/>
    <w:rsid w:val="00690D3E"/>
    <w:pPr>
      <w:spacing w:before="200" w:line="240" w:lineRule="auto"/>
    </w:pPr>
    <w:rPr>
      <w:rFonts w:eastAsia="Cambria"/>
      <w:b/>
      <w:color w:val="007DC3"/>
      <w:sz w:val="20"/>
      <w:szCs w:val="24"/>
    </w:rPr>
  </w:style>
  <w:style w:type="paragraph" w:customStyle="1" w:styleId="AHPRAfootnote">
    <w:name w:val="AHPRA footnote"/>
    <w:basedOn w:val="AHPRASubheading"/>
    <w:rsid w:val="00690D3E"/>
    <w:pPr>
      <w:spacing w:before="0" w:after="120"/>
    </w:pPr>
    <w:rPr>
      <w:b w:val="0"/>
      <w:color w:val="auto"/>
      <w:sz w:val="18"/>
      <w:szCs w:val="18"/>
    </w:rPr>
  </w:style>
  <w:style w:type="paragraph" w:customStyle="1" w:styleId="AHPRAitemlevel4">
    <w:name w:val="AHPRA item level 4"/>
    <w:basedOn w:val="AHPRAitemlevel3"/>
    <w:uiPriority w:val="1"/>
    <w:rsid w:val="00690D3E"/>
    <w:pPr>
      <w:numPr>
        <w:ilvl w:val="3"/>
      </w:numPr>
    </w:pPr>
  </w:style>
  <w:style w:type="numbering" w:customStyle="1" w:styleId="AHPRAListBullets">
    <w:name w:val="AHPRA List Bullets"/>
    <w:uiPriority w:val="99"/>
    <w:rsid w:val="00690D3E"/>
    <w:pPr>
      <w:numPr>
        <w:numId w:val="28"/>
      </w:numPr>
    </w:pPr>
  </w:style>
  <w:style w:type="paragraph" w:customStyle="1" w:styleId="AHPRANumberedlistlevel1withspace">
    <w:name w:val="AHPRA Numbered list level 1 with space"/>
    <w:basedOn w:val="AHPRANumberedlistlevel1"/>
    <w:next w:val="Normal"/>
    <w:rsid w:val="00690D3E"/>
    <w:pPr>
      <w:spacing w:after="200"/>
    </w:pPr>
  </w:style>
  <w:style w:type="paragraph" w:customStyle="1" w:styleId="AHPRANumberedlistlevel2withspace">
    <w:name w:val="AHPRA Numbered list level 2 with space"/>
    <w:basedOn w:val="AHPRANumberedlistlevel2"/>
    <w:next w:val="Normal"/>
    <w:rsid w:val="00690D3E"/>
    <w:pPr>
      <w:spacing w:after="240"/>
    </w:pPr>
  </w:style>
  <w:style w:type="paragraph" w:customStyle="1" w:styleId="AHPRANumberedlistlevel3withspace">
    <w:name w:val="AHPRA Numbered list level 3 with space"/>
    <w:basedOn w:val="AHPRANumberedlistlevel3"/>
    <w:next w:val="Normal"/>
    <w:rsid w:val="00690D3E"/>
    <w:pPr>
      <w:spacing w:after="200"/>
    </w:pPr>
  </w:style>
  <w:style w:type="paragraph" w:customStyle="1" w:styleId="AHPRApagenumber">
    <w:name w:val="AHPRA page number"/>
    <w:basedOn w:val="AHPRAfooter"/>
    <w:rsid w:val="00690D3E"/>
    <w:pPr>
      <w:jc w:val="right"/>
    </w:pPr>
  </w:style>
  <w:style w:type="paragraph" w:customStyle="1" w:styleId="AHPRASubheadinglevel2">
    <w:name w:val="AHPRA Subheading level 2"/>
    <w:basedOn w:val="AHPRASubheading"/>
    <w:next w:val="Normal"/>
    <w:qFormat/>
    <w:rsid w:val="00690D3E"/>
    <w:rPr>
      <w:color w:val="auto"/>
    </w:rPr>
  </w:style>
  <w:style w:type="paragraph" w:customStyle="1" w:styleId="AHPRASubheadinglevel3">
    <w:name w:val="AHPRA Subheading level 3"/>
    <w:basedOn w:val="AHPRASubheading"/>
    <w:next w:val="Normal"/>
    <w:qFormat/>
    <w:rsid w:val="00690D3E"/>
    <w:rPr>
      <w:b w:val="0"/>
    </w:rPr>
  </w:style>
  <w:style w:type="table" w:customStyle="1" w:styleId="AHPRATable1">
    <w:name w:val="AHPRA Table 1"/>
    <w:basedOn w:val="TableGrid"/>
    <w:uiPriority w:val="99"/>
    <w:qFormat/>
    <w:rsid w:val="00690D3E"/>
    <w:pPr>
      <w:ind w:left="113" w:right="113"/>
    </w:pPr>
    <w:rPr>
      <w:rFonts w:ascii="Arial" w:eastAsia="Cambria" w:hAnsi="Arial"/>
      <w:lang w:val="en-US" w:eastAsia="en-AU"/>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customStyle="1" w:styleId="AHPRAtablebullets">
    <w:name w:val="AHPRA table bullets"/>
    <w:basedOn w:val="AHPRABulletlevel1"/>
    <w:rsid w:val="00690D3E"/>
  </w:style>
  <w:style w:type="paragraph" w:customStyle="1" w:styleId="AHPRAtableheading">
    <w:name w:val="AHPRA table heading"/>
    <w:basedOn w:val="Normal"/>
    <w:rsid w:val="00690D3E"/>
    <w:pPr>
      <w:spacing w:before="120" w:after="120" w:line="240" w:lineRule="auto"/>
      <w:jc w:val="center"/>
    </w:pPr>
    <w:rPr>
      <w:rFonts w:eastAsia="Cambria"/>
      <w:b/>
      <w:color w:val="FFFFFF" w:themeColor="background1"/>
      <w:sz w:val="20"/>
      <w:szCs w:val="24"/>
    </w:rPr>
  </w:style>
  <w:style w:type="paragraph" w:customStyle="1" w:styleId="AHPRAtabletext">
    <w:name w:val="AHPRA table text"/>
    <w:basedOn w:val="AHPRAbody"/>
    <w:rsid w:val="00690D3E"/>
    <w:pPr>
      <w:spacing w:after="0"/>
    </w:pPr>
    <w:rPr>
      <w:szCs w:val="20"/>
    </w:rPr>
  </w:style>
  <w:style w:type="paragraph" w:customStyle="1" w:styleId="BodyTextBullets">
    <w:name w:val="Body Text Bullets"/>
    <w:uiPriority w:val="1"/>
    <w:qFormat/>
    <w:rsid w:val="00690D3E"/>
    <w:pPr>
      <w:numPr>
        <w:numId w:val="35"/>
      </w:numPr>
      <w:spacing w:after="120"/>
      <w:contextualSpacing/>
    </w:pPr>
    <w:rPr>
      <w:rFonts w:ascii="Arial" w:eastAsia="Times New Roman" w:hAnsi="Arial" w:cs="Arial"/>
      <w:noProof/>
      <w:sz w:val="20"/>
    </w:rPr>
  </w:style>
  <w:style w:type="paragraph" w:customStyle="1" w:styleId="BodyTextBullets2">
    <w:name w:val="Body Text Bullets 2"/>
    <w:basedOn w:val="BodyTextBullets"/>
    <w:qFormat/>
    <w:rsid w:val="00690D3E"/>
    <w:pPr>
      <w:numPr>
        <w:ilvl w:val="1"/>
      </w:numPr>
    </w:pPr>
  </w:style>
  <w:style w:type="paragraph" w:customStyle="1" w:styleId="BodyTextBullets3">
    <w:name w:val="Body Text Bullets 3"/>
    <w:basedOn w:val="BodyTextBullets"/>
    <w:qFormat/>
    <w:rsid w:val="00690D3E"/>
    <w:pPr>
      <w:numPr>
        <w:ilvl w:val="2"/>
      </w:numPr>
    </w:pPr>
  </w:style>
  <w:style w:type="paragraph" w:customStyle="1" w:styleId="ListBullet1a">
    <w:name w:val="List Bullet 1a"/>
    <w:qFormat/>
    <w:rsid w:val="00690D3E"/>
    <w:pPr>
      <w:numPr>
        <w:numId w:val="38"/>
      </w:numPr>
      <w:spacing w:after="120"/>
      <w:contextualSpacing/>
    </w:pPr>
    <w:rPr>
      <w:rFonts w:ascii="Arial" w:eastAsia="Cambria" w:hAnsi="Arial" w:cs="Arial"/>
      <w:noProof/>
      <w:sz w:val="20"/>
      <w:lang w:eastAsia="en-US"/>
    </w:rPr>
  </w:style>
  <w:style w:type="paragraph" w:customStyle="1" w:styleId="ListBullet1b">
    <w:name w:val="List Bullet 1b"/>
    <w:qFormat/>
    <w:rsid w:val="00690D3E"/>
    <w:pPr>
      <w:numPr>
        <w:ilvl w:val="3"/>
        <w:numId w:val="38"/>
      </w:numPr>
      <w:spacing w:after="120"/>
      <w:contextualSpacing/>
    </w:pPr>
    <w:rPr>
      <w:rFonts w:ascii="Arial" w:eastAsia="Cambria" w:hAnsi="Arial" w:cs="Arial"/>
      <w:noProof/>
      <w:sz w:val="20"/>
      <w:lang w:eastAsia="en-US"/>
    </w:rPr>
  </w:style>
  <w:style w:type="paragraph" w:customStyle="1" w:styleId="ListBullet1c">
    <w:name w:val="List Bullet 1c"/>
    <w:qFormat/>
    <w:rsid w:val="00690D3E"/>
    <w:pPr>
      <w:numPr>
        <w:ilvl w:val="6"/>
        <w:numId w:val="38"/>
      </w:numPr>
      <w:spacing w:after="120"/>
      <w:contextualSpacing/>
    </w:pPr>
    <w:rPr>
      <w:rFonts w:ascii="Arial" w:eastAsia="Cambria" w:hAnsi="Arial" w:cs="Arial"/>
      <w:noProof/>
      <w:sz w:val="20"/>
      <w:lang w:eastAsia="en-US"/>
    </w:rPr>
  </w:style>
  <w:style w:type="numbering" w:customStyle="1" w:styleId="AHPRANumberedheadinglist1">
    <w:name w:val="AHPRA Numbered heading list1"/>
    <w:uiPriority w:val="99"/>
    <w:rsid w:val="006A3AE9"/>
  </w:style>
  <w:style w:type="numbering" w:customStyle="1" w:styleId="AHPRANumberedheadinglist2">
    <w:name w:val="AHPRA Numbered heading list2"/>
    <w:uiPriority w:val="99"/>
    <w:rsid w:val="00925CA4"/>
  </w:style>
  <w:style w:type="character" w:styleId="UnresolvedMention">
    <w:name w:val="Unresolved Mention"/>
    <w:basedOn w:val="DefaultParagraphFont"/>
    <w:uiPriority w:val="99"/>
    <w:semiHidden/>
    <w:unhideWhenUsed/>
    <w:rsid w:val="003B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5313">
      <w:bodyDiv w:val="1"/>
      <w:marLeft w:val="0"/>
      <w:marRight w:val="0"/>
      <w:marTop w:val="0"/>
      <w:marBottom w:val="0"/>
      <w:divBdr>
        <w:top w:val="none" w:sz="0" w:space="0" w:color="auto"/>
        <w:left w:val="none" w:sz="0" w:space="0" w:color="auto"/>
        <w:bottom w:val="none" w:sz="0" w:space="0" w:color="auto"/>
        <w:right w:val="none" w:sz="0" w:space="0" w:color="auto"/>
      </w:divBdr>
    </w:div>
    <w:div w:id="630400289">
      <w:bodyDiv w:val="1"/>
      <w:marLeft w:val="0"/>
      <w:marRight w:val="0"/>
      <w:marTop w:val="0"/>
      <w:marBottom w:val="0"/>
      <w:divBdr>
        <w:top w:val="none" w:sz="0" w:space="0" w:color="auto"/>
        <w:left w:val="none" w:sz="0" w:space="0" w:color="auto"/>
        <w:bottom w:val="none" w:sz="0" w:space="0" w:color="auto"/>
        <w:right w:val="none" w:sz="0" w:space="0" w:color="auto"/>
      </w:divBdr>
    </w:div>
    <w:div w:id="1327048579">
      <w:bodyDiv w:val="1"/>
      <w:marLeft w:val="0"/>
      <w:marRight w:val="0"/>
      <w:marTop w:val="0"/>
      <w:marBottom w:val="0"/>
      <w:divBdr>
        <w:top w:val="none" w:sz="0" w:space="0" w:color="auto"/>
        <w:left w:val="none" w:sz="0" w:space="0" w:color="auto"/>
        <w:bottom w:val="none" w:sz="0" w:space="0" w:color="auto"/>
        <w:right w:val="none" w:sz="0" w:space="0" w:color="auto"/>
      </w:divBdr>
    </w:div>
    <w:div w:id="1384258556">
      <w:bodyDiv w:val="1"/>
      <w:marLeft w:val="0"/>
      <w:marRight w:val="0"/>
      <w:marTop w:val="0"/>
      <w:marBottom w:val="0"/>
      <w:divBdr>
        <w:top w:val="none" w:sz="0" w:space="0" w:color="auto"/>
        <w:left w:val="none" w:sz="0" w:space="0" w:color="auto"/>
        <w:bottom w:val="none" w:sz="0" w:space="0" w:color="auto"/>
        <w:right w:val="none" w:sz="0" w:space="0" w:color="auto"/>
      </w:divBdr>
    </w:div>
    <w:div w:id="21184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hpra.gov.au/About-Ahpra/Who-We-Are/Agency-Management-Committee/Accreditation-Advisory-Committe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About-Ahpra/Who-We-Are/Agency-Management-Committee/Accreditation-Advisory-Committe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ge xmlns="e92fab1a-dbb0-4de9-82b5-bac592f7e6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56DDBCE21F14EAD1B41469C84A627" ma:contentTypeVersion="7" ma:contentTypeDescription="Create a new document." ma:contentTypeScope="" ma:versionID="afe48ce11a67895cbe49c346b847c7ba">
  <xsd:schema xmlns:xsd="http://www.w3.org/2001/XMLSchema" xmlns:xs="http://www.w3.org/2001/XMLSchema" xmlns:p="http://schemas.microsoft.com/office/2006/metadata/properties" xmlns:ns2="e92fab1a-dbb0-4de9-82b5-bac592f7e6f5" xmlns:ns3="024d7709-44c2-4d3f-8931-fb29408e2352" targetNamespace="http://schemas.microsoft.com/office/2006/metadata/properties" ma:root="true" ma:fieldsID="105b0eefb1995272645071160d8c8dfc" ns2:_="" ns3:_="">
    <xsd:import namespace="e92fab1a-dbb0-4de9-82b5-bac592f7e6f5"/>
    <xsd:import namespace="024d7709-44c2-4d3f-8931-fb29408e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fab1a-dbb0-4de9-82b5-bac592f7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ge" ma:index="14" nillable="true" ma:displayName="Stage" ma:format="Dropdown" ma:internalName="Stage">
      <xsd:simpleType>
        <xsd:restriction base="dms:Choice">
          <xsd:enumeration value="Draft"/>
          <xsd:enumeration value="Formatted"/>
          <xsd:enumeration value="ED review"/>
          <xsd:enumeration value="ND review"/>
          <xsd:enumeration value="CEO review"/>
          <xsd:enumeration value="Cleared"/>
        </xsd:restriction>
      </xsd:simpleType>
    </xsd:element>
  </xsd:schema>
  <xsd:schema xmlns:xsd="http://www.w3.org/2001/XMLSchema" xmlns:xs="http://www.w3.org/2001/XMLSchema" xmlns:dms="http://schemas.microsoft.com/office/2006/documentManagement/types" xmlns:pc="http://schemas.microsoft.com/office/infopath/2007/PartnerControls" targetNamespace="024d7709-44c2-4d3f-8931-fb29408e23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3C44F-DAA1-44FE-9B99-89FBE18BFF97}">
  <ds:schemaRefs>
    <ds:schemaRef ds:uri="http://schemas.microsoft.com/sharepoint/v3/contenttype/forms"/>
  </ds:schemaRefs>
</ds:datastoreItem>
</file>

<file path=customXml/itemProps2.xml><?xml version="1.0" encoding="utf-8"?>
<ds:datastoreItem xmlns:ds="http://schemas.openxmlformats.org/officeDocument/2006/customXml" ds:itemID="{A38CCBA2-897E-45B1-9FFC-60435E82B7BC}">
  <ds:schemaRefs>
    <ds:schemaRef ds:uri="http://schemas.openxmlformats.org/officeDocument/2006/bibliography"/>
  </ds:schemaRefs>
</ds:datastoreItem>
</file>

<file path=customXml/itemProps3.xml><?xml version="1.0" encoding="utf-8"?>
<ds:datastoreItem xmlns:ds="http://schemas.openxmlformats.org/officeDocument/2006/customXml" ds:itemID="{6A72399B-2F94-4CD7-AE0D-79CB10C057FC}">
  <ds:schemaRefs>
    <ds:schemaRef ds:uri="024d7709-44c2-4d3f-8931-fb29408e23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2fab1a-dbb0-4de9-82b5-bac592f7e6f5"/>
    <ds:schemaRef ds:uri="http://www.w3.org/XML/1998/namespace"/>
    <ds:schemaRef ds:uri="http://purl.org/dc/dcmitype/"/>
  </ds:schemaRefs>
</ds:datastoreItem>
</file>

<file path=customXml/itemProps4.xml><?xml version="1.0" encoding="utf-8"?>
<ds:datastoreItem xmlns:ds="http://schemas.openxmlformats.org/officeDocument/2006/customXml" ds:itemID="{86F97DC8-E336-4F65-8EF9-9F5357AD2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fab1a-dbb0-4de9-82b5-bac592f7e6f5"/>
    <ds:schemaRef ds:uri="024d7709-44c2-4d3f-8931-fb29408e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Accreditation Committee Annual Report 2021/22</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Committee Annual Report 2021/22</dc:title>
  <dc:subject>Report</dc:subject>
  <dc:creator>Ahpra</dc:creator>
  <cp:lastModifiedBy>Sheryl Kamath</cp:lastModifiedBy>
  <cp:revision>2</cp:revision>
  <cp:lastPrinted>2022-11-01T23:56:00Z</cp:lastPrinted>
  <dcterms:created xsi:type="dcterms:W3CDTF">2022-12-20T02:27:00Z</dcterms:created>
  <dcterms:modified xsi:type="dcterms:W3CDTF">2022-12-20T02:27:00Z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0x01010084A56DDBCE21F14EAD1B41469C84A627</vt:lpwstr>
  </property>
</Properties>
</file>