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667F" w14:textId="77777777" w:rsidR="00EB55B3" w:rsidRPr="00EB55B3" w:rsidRDefault="00EB55B3" w:rsidP="00EB55B3">
      <w:pPr>
        <w:spacing w:before="200" w:after="0"/>
        <w:outlineLvl w:val="0"/>
        <w:rPr>
          <w:rFonts w:cs="Arial"/>
          <w:color w:val="00BCE4"/>
          <w:sz w:val="32"/>
          <w:szCs w:val="52"/>
        </w:rPr>
      </w:pPr>
      <w:r w:rsidRPr="00EB55B3">
        <w:rPr>
          <w:rFonts w:cs="Arial"/>
          <w:color w:val="00BCE4"/>
          <w:sz w:val="32"/>
          <w:szCs w:val="52"/>
        </w:rPr>
        <w:t>Attachment to the Supervised practice plan</w:t>
      </w:r>
    </w:p>
    <w:p w14:paraId="330C2301" w14:textId="77777777" w:rsidR="00EB55B3" w:rsidRPr="00EB55B3" w:rsidRDefault="00EB55B3" w:rsidP="00EB55B3">
      <w:pPr>
        <w:ind w:left="-1247"/>
        <w:rPr>
          <w:rFonts w:cs="Arial"/>
        </w:rPr>
      </w:pPr>
      <w:r w:rsidRPr="00EB55B3">
        <w:rPr>
          <w:rFonts w:cs="Arial"/>
          <w:noProof/>
        </w:rPr>
        <mc:AlternateContent>
          <mc:Choice Requires="wps">
            <w:drawing>
              <wp:inline distT="0" distB="0" distL="0" distR="0" wp14:anchorId="6E25920E" wp14:editId="32610D56">
                <wp:extent cx="2232025" cy="635"/>
                <wp:effectExtent l="9525" t="9525" r="6350" b="9525"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CA7044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5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">
                <w10:anchorlock/>
              </v:line>
            </w:pict>
          </mc:Fallback>
        </mc:AlternateContent>
      </w:r>
    </w:p>
    <w:p w14:paraId="71F395B7" w14:textId="77777777" w:rsidR="00EB55B3" w:rsidRPr="00EB55B3" w:rsidRDefault="00EB55B3" w:rsidP="00EB55B3">
      <w:pPr>
        <w:outlineLvl w:val="0"/>
        <w:rPr>
          <w:rFonts w:cs="Arial"/>
          <w:color w:val="5F6062"/>
          <w:sz w:val="28"/>
          <w:szCs w:val="52"/>
        </w:rPr>
      </w:pPr>
      <w:r w:rsidRPr="00EB55B3">
        <w:rPr>
          <w:rFonts w:cs="Arial"/>
          <w:color w:val="5F6062"/>
          <w:sz w:val="28"/>
          <w:szCs w:val="52"/>
        </w:rPr>
        <w:t>Section G: Su</w:t>
      </w:r>
      <w:bookmarkStart w:id="0" w:name="_GoBack"/>
      <w:bookmarkEnd w:id="0"/>
      <w:r w:rsidRPr="00EB55B3">
        <w:rPr>
          <w:rFonts w:cs="Arial"/>
          <w:color w:val="5F6062"/>
          <w:sz w:val="28"/>
          <w:szCs w:val="52"/>
        </w:rPr>
        <w:t>pervised practice goals and activities</w:t>
      </w:r>
    </w:p>
    <w:p w14:paraId="28C379D4" w14:textId="77777777" w:rsidR="00EB55B3" w:rsidRPr="00EB55B3" w:rsidRDefault="00EB55B3" w:rsidP="00EB55B3">
      <w:pPr>
        <w:rPr>
          <w:rFonts w:cs="Arial"/>
          <w:color w:val="221E1F"/>
          <w:szCs w:val="20"/>
        </w:rPr>
      </w:pPr>
      <w:r w:rsidRPr="00EB55B3">
        <w:t xml:space="preserve">18. </w:t>
      </w:r>
      <w:r w:rsidRPr="00EB55B3">
        <w:rPr>
          <w:rFonts w:cs="Arial"/>
          <w:color w:val="221E1F"/>
          <w:szCs w:val="20"/>
        </w:rPr>
        <w:t xml:space="preserve">Complete the relevant sections using the Board’s entry level standards, capabilities, competencies, thresholds or standards for practice in Appendix 1 of the </w:t>
      </w:r>
      <w:r w:rsidRPr="00EB55B3">
        <w:rPr>
          <w:rFonts w:cs="Arial"/>
          <w:i/>
          <w:iCs/>
          <w:color w:val="221E1F"/>
          <w:szCs w:val="20"/>
        </w:rPr>
        <w:t>Supervised practice framework</w:t>
      </w:r>
      <w:r w:rsidRPr="00EB55B3">
        <w:rPr>
          <w:rFonts w:cs="Arial"/>
          <w:color w:val="221E1F"/>
          <w:szCs w:val="20"/>
        </w:rPr>
        <w:t xml:space="preserve">. This information will be reported on in the supervised practice report at question 19. </w:t>
      </w:r>
    </w:p>
    <w:p w14:paraId="7686A36B" w14:textId="4496CF13" w:rsidR="002904D3" w:rsidRDefault="002904D3" w:rsidP="002904D3">
      <w:r>
        <w:t xml:space="preserve">Please complete the relevant sections using the </w:t>
      </w:r>
      <w:hyperlink r:id="rId11" w:history="1">
        <w:r w:rsidR="00E90FC1" w:rsidRPr="008900C0">
          <w:rPr>
            <w:rStyle w:val="Hyperlink"/>
          </w:rPr>
          <w:t>Professional competencies of the newly qualified dental prosthetist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5D69" w14:paraId="2FBA489D" w14:textId="77777777" w:rsidTr="006702FE">
        <w:tc>
          <w:tcPr>
            <w:tcW w:w="9396" w:type="dxa"/>
            <w:shd w:val="clear" w:color="auto" w:fill="C6D9F1" w:themeFill="text2" w:themeFillTint="33"/>
          </w:tcPr>
          <w:p w14:paraId="21A0C535" w14:textId="5AA5E938" w:rsidR="00F05D69" w:rsidRPr="00E9629C" w:rsidRDefault="00B86A5C" w:rsidP="00E9629C">
            <w:pPr>
              <w:spacing w:before="240"/>
              <w:rPr>
                <w:b/>
              </w:rPr>
            </w:pPr>
            <w:r w:rsidRPr="00E9629C">
              <w:rPr>
                <w:b/>
              </w:rPr>
              <w:t xml:space="preserve">Domain 1: </w:t>
            </w:r>
            <w:r w:rsidR="00E36C32">
              <w:rPr>
                <w:b/>
              </w:rPr>
              <w:t>Professionalism</w:t>
            </w:r>
          </w:p>
        </w:tc>
      </w:tr>
      <w:tr w:rsidR="00F05D69" w14:paraId="13890826" w14:textId="77777777" w:rsidTr="00F05D69">
        <w:tc>
          <w:tcPr>
            <w:tcW w:w="9396" w:type="dxa"/>
          </w:tcPr>
          <w:p w14:paraId="70F6229C" w14:textId="77777777" w:rsidR="00E36C32" w:rsidRDefault="00E36C32" w:rsidP="00E36C32">
            <w:pPr>
              <w:spacing w:before="240"/>
            </w:pPr>
            <w:r>
              <w:t xml:space="preserve">On graduation a </w:t>
            </w:r>
            <w:r w:rsidRPr="00DA2B11">
              <w:rPr>
                <w:b/>
              </w:rPr>
              <w:t>dental practitioner</w:t>
            </w:r>
            <w:r>
              <w:t xml:space="preserve"> must be able to:</w:t>
            </w:r>
          </w:p>
          <w:p w14:paraId="2D9AB22F" w14:textId="77777777" w:rsidR="00E36C32" w:rsidRDefault="00E36C32" w:rsidP="00E36C32">
            <w:pPr>
              <w:spacing w:before="240"/>
            </w:pPr>
            <w:r>
              <w:t>1. demonstrate that patient safety is paramount in all decisions and actions</w:t>
            </w:r>
          </w:p>
          <w:p w14:paraId="22B28420" w14:textId="77777777" w:rsidR="00E36C32" w:rsidRDefault="00E36C32" w:rsidP="00E36C32">
            <w:pPr>
              <w:spacing w:after="0"/>
            </w:pPr>
            <w:r>
              <w:t>2. demonstrate appropriate caring behaviour towards patients and respect professional boundaries</w:t>
            </w:r>
          </w:p>
          <w:p w14:paraId="35838B4E" w14:textId="5B798D0D" w:rsidR="00E36C32" w:rsidRDefault="00E36C32" w:rsidP="00E36C32">
            <w:pPr>
              <w:spacing w:after="0"/>
            </w:pPr>
            <w:r>
              <w:t xml:space="preserve">    between themselves and patients, patient’s families and members of the community</w:t>
            </w:r>
          </w:p>
          <w:p w14:paraId="61251359" w14:textId="77777777" w:rsidR="00E36C32" w:rsidRDefault="00E36C32" w:rsidP="00E36C32">
            <w:pPr>
              <w:spacing w:after="0"/>
            </w:pPr>
          </w:p>
          <w:p w14:paraId="1283F459" w14:textId="77777777" w:rsidR="00E36C32" w:rsidRDefault="00E36C32" w:rsidP="00E36C32">
            <w:pPr>
              <w:spacing w:after="0"/>
            </w:pPr>
            <w:r>
              <w:t>3. demonstrate that all interactions focus on the patient’s best interests and provide patient-centred</w:t>
            </w:r>
          </w:p>
          <w:p w14:paraId="6B41B8F8" w14:textId="53F75E40" w:rsidR="00E36C32" w:rsidRDefault="00164B33" w:rsidP="00E36C32">
            <w:pPr>
              <w:spacing w:after="0"/>
            </w:pPr>
            <w:r>
              <w:t xml:space="preserve">    </w:t>
            </w:r>
            <w:r w:rsidR="00E36C32">
              <w:t>care, respect patients’ dignity, rights and choices</w:t>
            </w:r>
          </w:p>
          <w:p w14:paraId="5361FC9A" w14:textId="53E790B8" w:rsidR="00E36C32" w:rsidRDefault="00E36C32" w:rsidP="00E36C32">
            <w:pPr>
              <w:spacing w:before="240"/>
            </w:pPr>
            <w:r>
              <w:t>4. recognise professional and individual scopes of practice</w:t>
            </w:r>
          </w:p>
          <w:p w14:paraId="7124792F" w14:textId="77777777" w:rsidR="00E36C32" w:rsidRDefault="00E36C32" w:rsidP="00164B33">
            <w:pPr>
              <w:spacing w:after="0"/>
            </w:pPr>
            <w:r>
              <w:t>5. recognise the importance of continuing professional development for all members of the dental</w:t>
            </w:r>
          </w:p>
          <w:p w14:paraId="1F49E6BA" w14:textId="54625682" w:rsidR="00E36C32" w:rsidRDefault="00164B33" w:rsidP="00164B33">
            <w:pPr>
              <w:spacing w:after="0"/>
            </w:pPr>
            <w:r>
              <w:t xml:space="preserve">    </w:t>
            </w:r>
            <w:r w:rsidR="00E36C32">
              <w:t>team</w:t>
            </w:r>
          </w:p>
          <w:p w14:paraId="49954886" w14:textId="7F0C2846" w:rsidR="00164B33" w:rsidRDefault="00E36C32" w:rsidP="00E36C32">
            <w:pPr>
              <w:spacing w:before="240"/>
            </w:pPr>
            <w:r>
              <w:t>6. understand the ethical principles and their application underpinning the provision of dental care</w:t>
            </w:r>
          </w:p>
          <w:p w14:paraId="3D56E2A5" w14:textId="77777777" w:rsidR="00E36C32" w:rsidRDefault="00E36C32" w:rsidP="00E36C32">
            <w:pPr>
              <w:spacing w:after="0"/>
            </w:pPr>
            <w:r>
              <w:t>7. understand Commonwealth, State and Territory legislation relevant to practise as a dental</w:t>
            </w:r>
          </w:p>
          <w:p w14:paraId="4941B3C6" w14:textId="529000A0" w:rsidR="00E36C32" w:rsidRDefault="00164B33" w:rsidP="00E36C32">
            <w:pPr>
              <w:spacing w:after="0"/>
            </w:pPr>
            <w:r>
              <w:t xml:space="preserve">    </w:t>
            </w:r>
            <w:r w:rsidR="00E36C32">
              <w:t>practitioner</w:t>
            </w:r>
          </w:p>
          <w:p w14:paraId="789A98FB" w14:textId="77777777" w:rsidR="00E36C32" w:rsidRDefault="00E36C32" w:rsidP="00E36C32">
            <w:pPr>
              <w:spacing w:before="240" w:after="0"/>
            </w:pPr>
            <w:r>
              <w:t>8. understand the principles of efficient, effective and equitable utilisation of resources, and</w:t>
            </w:r>
          </w:p>
          <w:p w14:paraId="5DEBBE28" w14:textId="7936AB1B" w:rsidR="00E36C32" w:rsidRDefault="00164B33" w:rsidP="00E36C32">
            <w:pPr>
              <w:spacing w:after="0"/>
            </w:pPr>
            <w:r>
              <w:t xml:space="preserve">    </w:t>
            </w:r>
            <w:r w:rsidR="00E36C32">
              <w:t>recognise local and national needs in health care and service delivery across Australia’s</w:t>
            </w:r>
          </w:p>
          <w:p w14:paraId="37EAF0CE" w14:textId="5D989227" w:rsidR="00E36C32" w:rsidRDefault="00164B33" w:rsidP="00E36C32">
            <w:pPr>
              <w:spacing w:after="0"/>
            </w:pPr>
            <w:r>
              <w:t xml:space="preserve">    </w:t>
            </w:r>
            <w:r w:rsidR="00E36C32">
              <w:t>geographical areas</w:t>
            </w:r>
          </w:p>
          <w:p w14:paraId="4B24D45E" w14:textId="77777777" w:rsidR="00E36C32" w:rsidRDefault="00E36C32" w:rsidP="00164B33">
            <w:pPr>
              <w:spacing w:before="240" w:after="0"/>
            </w:pPr>
            <w:r>
              <w:t>9. provide culturally safe and culturally competent practice that includes recognition of the distinct</w:t>
            </w:r>
          </w:p>
          <w:p w14:paraId="397D90AF" w14:textId="63347E74" w:rsidR="00693363" w:rsidRDefault="00164B33" w:rsidP="00164B33">
            <w:pPr>
              <w:spacing w:after="0"/>
            </w:pPr>
            <w:r>
              <w:t xml:space="preserve">    </w:t>
            </w:r>
            <w:r w:rsidR="00E36C32">
              <w:t>needs of Aboriginal and Torres Strait Islander peoples in relation to oral health care provision</w:t>
            </w:r>
          </w:p>
          <w:p w14:paraId="18807805" w14:textId="73846758" w:rsidR="00E36C32" w:rsidRDefault="00E36C32" w:rsidP="00E36C32">
            <w:pPr>
              <w:spacing w:after="0" w:line="276" w:lineRule="auto"/>
            </w:pPr>
          </w:p>
        </w:tc>
      </w:tr>
    </w:tbl>
    <w:p w14:paraId="684BDCC4" w14:textId="41612BC9" w:rsidR="00E909C6" w:rsidRDefault="00E909C6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4146C" w14:paraId="316BD533" w14:textId="77777777" w:rsidTr="00895556">
        <w:tc>
          <w:tcPr>
            <w:tcW w:w="4698" w:type="dxa"/>
            <w:shd w:val="clear" w:color="auto" w:fill="8DB3E2" w:themeFill="text2" w:themeFillTint="66"/>
          </w:tcPr>
          <w:p w14:paraId="367F7098" w14:textId="77777777" w:rsidR="00D4146C" w:rsidRDefault="00D4146C" w:rsidP="00895556">
            <w:bookmarkStart w:id="1" w:name="_Hlk85619823"/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520F563A" w14:textId="77777777" w:rsidR="00D4146C" w:rsidRDefault="00D4146C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D4146C" w14:paraId="232C9168" w14:textId="77777777" w:rsidTr="00895556">
        <w:tc>
          <w:tcPr>
            <w:tcW w:w="4698" w:type="dxa"/>
          </w:tcPr>
          <w:p w14:paraId="10DECF1C" w14:textId="77777777" w:rsidR="00D4146C" w:rsidRDefault="00D4146C" w:rsidP="00895556"/>
        </w:tc>
        <w:tc>
          <w:tcPr>
            <w:tcW w:w="4698" w:type="dxa"/>
          </w:tcPr>
          <w:p w14:paraId="4EBC26E2" w14:textId="77777777" w:rsidR="00D4146C" w:rsidRDefault="00D4146C" w:rsidP="00895556"/>
        </w:tc>
      </w:tr>
      <w:tr w:rsidR="00D4146C" w14:paraId="78EF107A" w14:textId="77777777" w:rsidTr="00895556">
        <w:tc>
          <w:tcPr>
            <w:tcW w:w="4698" w:type="dxa"/>
          </w:tcPr>
          <w:p w14:paraId="7FD30C6F" w14:textId="77777777" w:rsidR="00D4146C" w:rsidRDefault="00D4146C" w:rsidP="00895556"/>
        </w:tc>
        <w:tc>
          <w:tcPr>
            <w:tcW w:w="4698" w:type="dxa"/>
          </w:tcPr>
          <w:p w14:paraId="5E90ED5E" w14:textId="77777777" w:rsidR="00D4146C" w:rsidRDefault="00D4146C" w:rsidP="00895556"/>
        </w:tc>
      </w:tr>
      <w:bookmarkEnd w:id="1"/>
    </w:tbl>
    <w:p w14:paraId="47D99D07" w14:textId="3A7F096D" w:rsidR="00E909C6" w:rsidRDefault="00E909C6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879A3" w14:paraId="54AD943B" w14:textId="77777777" w:rsidTr="00D13A44">
        <w:tc>
          <w:tcPr>
            <w:tcW w:w="9396" w:type="dxa"/>
            <w:shd w:val="clear" w:color="auto" w:fill="C6D9F1" w:themeFill="text2" w:themeFillTint="33"/>
          </w:tcPr>
          <w:p w14:paraId="07C96829" w14:textId="709778D4" w:rsidR="006879A3" w:rsidRPr="00E9629C" w:rsidRDefault="006879A3" w:rsidP="00D13A44">
            <w:pPr>
              <w:spacing w:before="240"/>
              <w:rPr>
                <w:b/>
              </w:rPr>
            </w:pPr>
            <w:bookmarkStart w:id="2" w:name="_Hlk70340132"/>
            <w:r w:rsidRPr="00E9629C">
              <w:rPr>
                <w:b/>
              </w:rPr>
              <w:t xml:space="preserve">Domain </w:t>
            </w:r>
            <w:r w:rsidR="00E36C32">
              <w:rPr>
                <w:b/>
              </w:rPr>
              <w:t>2</w:t>
            </w:r>
            <w:r w:rsidRPr="00E9629C">
              <w:rPr>
                <w:b/>
              </w:rPr>
              <w:t xml:space="preserve">: </w:t>
            </w:r>
            <w:r w:rsidR="00E36C32">
              <w:rPr>
                <w:b/>
              </w:rPr>
              <w:t>Communication and Leadership</w:t>
            </w:r>
          </w:p>
        </w:tc>
      </w:tr>
      <w:tr w:rsidR="006879A3" w14:paraId="0F322B7B" w14:textId="77777777" w:rsidTr="00D13A44">
        <w:tc>
          <w:tcPr>
            <w:tcW w:w="9396" w:type="dxa"/>
          </w:tcPr>
          <w:p w14:paraId="3B572A7A" w14:textId="77777777" w:rsidR="00E36C32" w:rsidRDefault="00E36C32" w:rsidP="00164B33">
            <w:pPr>
              <w:spacing w:before="240"/>
            </w:pPr>
            <w:r>
              <w:t xml:space="preserve">On graduation a </w:t>
            </w:r>
            <w:r w:rsidRPr="00E90FC1">
              <w:rPr>
                <w:b/>
              </w:rPr>
              <w:t>dental practitioner</w:t>
            </w:r>
            <w:r>
              <w:t xml:space="preserve"> must be able to:</w:t>
            </w:r>
          </w:p>
          <w:p w14:paraId="1A056151" w14:textId="77777777" w:rsidR="00E36C32" w:rsidRDefault="00E36C32" w:rsidP="00164B33">
            <w:pPr>
              <w:spacing w:after="0"/>
            </w:pPr>
            <w:r>
              <w:t>1. communicate and engage with patients, patient’s families and communities in relation to oral</w:t>
            </w:r>
          </w:p>
          <w:p w14:paraId="5B730F7B" w14:textId="02F007B1" w:rsidR="00E36C32" w:rsidRDefault="00164B33" w:rsidP="00164B33">
            <w:pPr>
              <w:spacing w:after="0"/>
            </w:pPr>
            <w:r>
              <w:t xml:space="preserve">    h</w:t>
            </w:r>
            <w:r w:rsidR="00E36C32">
              <w:t>ealth</w:t>
            </w:r>
          </w:p>
          <w:p w14:paraId="1117D2C9" w14:textId="77777777" w:rsidR="00164B33" w:rsidRDefault="00164B33" w:rsidP="00164B33">
            <w:pPr>
              <w:spacing w:after="0"/>
            </w:pPr>
          </w:p>
          <w:p w14:paraId="6825BE38" w14:textId="77777777" w:rsidR="00E36C32" w:rsidRDefault="00E36C32" w:rsidP="00164B33">
            <w:pPr>
              <w:spacing w:after="0"/>
            </w:pPr>
            <w:r>
              <w:t>2. present clear information in a timely manner that ensures patients are advised of and understand</w:t>
            </w:r>
          </w:p>
          <w:p w14:paraId="0AFF50B3" w14:textId="1835CFF4" w:rsidR="00E36C32" w:rsidRDefault="00164B33" w:rsidP="00164B33">
            <w:pPr>
              <w:spacing w:after="0"/>
            </w:pPr>
            <w:r>
              <w:t xml:space="preserve">    </w:t>
            </w:r>
            <w:r w:rsidR="00E36C32">
              <w:t>care and treatment options to be provided</w:t>
            </w:r>
          </w:p>
          <w:p w14:paraId="7FC79B25" w14:textId="45CB57DF" w:rsidR="00E36C32" w:rsidRDefault="00E36C32" w:rsidP="00164B33">
            <w:pPr>
              <w:spacing w:before="240"/>
            </w:pPr>
            <w:r>
              <w:t>3. communicate with other health professionals involved in patients’ care</w:t>
            </w:r>
          </w:p>
          <w:p w14:paraId="2797DC85" w14:textId="77777777" w:rsidR="00E36C32" w:rsidRDefault="00E36C32" w:rsidP="00164B33">
            <w:pPr>
              <w:spacing w:before="240"/>
            </w:pPr>
            <w:r>
              <w:t>4. engage in mentor/mentee activities and leadership within a health care team</w:t>
            </w:r>
          </w:p>
          <w:p w14:paraId="07F39A62" w14:textId="77777777" w:rsidR="00E36C32" w:rsidRDefault="00E36C32" w:rsidP="00164B33">
            <w:pPr>
              <w:spacing w:after="0"/>
            </w:pPr>
            <w:r>
              <w:t>5. recognise the importance of one’s own, colleagues’ and team members’ health to occupational</w:t>
            </w:r>
          </w:p>
          <w:p w14:paraId="277660B1" w14:textId="66EAC7AC" w:rsidR="00E36C32" w:rsidRDefault="00164B33" w:rsidP="00164B33">
            <w:pPr>
              <w:spacing w:after="0"/>
            </w:pPr>
            <w:r>
              <w:t xml:space="preserve">    </w:t>
            </w:r>
            <w:r w:rsidR="00E36C32">
              <w:t>risks and its impact on the ability to practise</w:t>
            </w:r>
          </w:p>
          <w:p w14:paraId="03683DE5" w14:textId="57FB0639" w:rsidR="00E36C32" w:rsidRDefault="00E36C32" w:rsidP="00164B33">
            <w:pPr>
              <w:spacing w:before="240"/>
            </w:pPr>
            <w:r>
              <w:t>6. understand the importance of intra and interprofessional approaches to health care</w:t>
            </w:r>
          </w:p>
          <w:p w14:paraId="511B3AA1" w14:textId="77777777" w:rsidR="00E36C32" w:rsidRDefault="00E36C32" w:rsidP="00164B33">
            <w:pPr>
              <w:spacing w:before="240"/>
            </w:pPr>
            <w:r>
              <w:t>7. understand effective information management</w:t>
            </w:r>
          </w:p>
          <w:p w14:paraId="1CA5146C" w14:textId="77777777" w:rsidR="00E36C32" w:rsidRDefault="00E36C32" w:rsidP="00164B33">
            <w:pPr>
              <w:spacing w:before="240"/>
            </w:pPr>
            <w:r>
              <w:t>8. understand the principles of dispute resolution</w:t>
            </w:r>
          </w:p>
          <w:p w14:paraId="2EDDD49C" w14:textId="040D3639" w:rsidR="006879A3" w:rsidRDefault="00E36C32" w:rsidP="00164B33">
            <w:pPr>
              <w:spacing w:before="240"/>
            </w:pPr>
            <w:r>
              <w:t>9. communicate responsibly and professionally when using media</w:t>
            </w:r>
          </w:p>
        </w:tc>
      </w:tr>
    </w:tbl>
    <w:p w14:paraId="12BADA1D" w14:textId="77777777" w:rsidR="006879A3" w:rsidRDefault="006879A3" w:rsidP="00687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4146C" w14:paraId="04C79606" w14:textId="77777777" w:rsidTr="00895556">
        <w:tc>
          <w:tcPr>
            <w:tcW w:w="4698" w:type="dxa"/>
            <w:shd w:val="clear" w:color="auto" w:fill="8DB3E2" w:themeFill="text2" w:themeFillTint="66"/>
          </w:tcPr>
          <w:bookmarkEnd w:id="2"/>
          <w:p w14:paraId="003A2490" w14:textId="77777777" w:rsidR="00D4146C" w:rsidRDefault="00D4146C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51996514" w14:textId="77777777" w:rsidR="00D4146C" w:rsidRDefault="00D4146C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D4146C" w14:paraId="2B6E4160" w14:textId="77777777" w:rsidTr="00895556">
        <w:tc>
          <w:tcPr>
            <w:tcW w:w="4698" w:type="dxa"/>
          </w:tcPr>
          <w:p w14:paraId="77D3194D" w14:textId="77777777" w:rsidR="00D4146C" w:rsidRDefault="00D4146C" w:rsidP="00895556"/>
        </w:tc>
        <w:tc>
          <w:tcPr>
            <w:tcW w:w="4698" w:type="dxa"/>
          </w:tcPr>
          <w:p w14:paraId="787E96DB" w14:textId="77777777" w:rsidR="00D4146C" w:rsidRDefault="00D4146C" w:rsidP="00895556"/>
        </w:tc>
      </w:tr>
      <w:tr w:rsidR="00D4146C" w14:paraId="3468655F" w14:textId="77777777" w:rsidTr="00895556">
        <w:tc>
          <w:tcPr>
            <w:tcW w:w="4698" w:type="dxa"/>
          </w:tcPr>
          <w:p w14:paraId="3FCED66B" w14:textId="77777777" w:rsidR="00D4146C" w:rsidRDefault="00D4146C" w:rsidP="00895556"/>
        </w:tc>
        <w:tc>
          <w:tcPr>
            <w:tcW w:w="4698" w:type="dxa"/>
          </w:tcPr>
          <w:p w14:paraId="7D0498D7" w14:textId="77777777" w:rsidR="00D4146C" w:rsidRDefault="00D4146C" w:rsidP="00895556"/>
        </w:tc>
      </w:tr>
    </w:tbl>
    <w:p w14:paraId="15064606" w14:textId="3D62D70D" w:rsidR="006702FE" w:rsidRDefault="006702FE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6718" w14:paraId="46972275" w14:textId="77777777" w:rsidTr="00D13A44">
        <w:tc>
          <w:tcPr>
            <w:tcW w:w="9396" w:type="dxa"/>
            <w:shd w:val="clear" w:color="auto" w:fill="C6D9F1" w:themeFill="text2" w:themeFillTint="33"/>
          </w:tcPr>
          <w:p w14:paraId="0D530FF0" w14:textId="00E2FA1B" w:rsidR="005F6718" w:rsidRPr="00E9629C" w:rsidRDefault="005F6718" w:rsidP="00D13A44">
            <w:pPr>
              <w:spacing w:before="240"/>
              <w:rPr>
                <w:b/>
              </w:rPr>
            </w:pPr>
            <w:r w:rsidRPr="00E9629C">
              <w:rPr>
                <w:b/>
              </w:rPr>
              <w:t xml:space="preserve">Domain </w:t>
            </w:r>
            <w:r w:rsidR="00E36C32">
              <w:rPr>
                <w:b/>
              </w:rPr>
              <w:t>3</w:t>
            </w:r>
            <w:r w:rsidRPr="00E9629C">
              <w:rPr>
                <w:b/>
              </w:rPr>
              <w:t xml:space="preserve">: </w:t>
            </w:r>
            <w:r w:rsidR="00E36C32">
              <w:rPr>
                <w:b/>
              </w:rPr>
              <w:t>Critical thinking</w:t>
            </w:r>
          </w:p>
        </w:tc>
      </w:tr>
      <w:tr w:rsidR="005F6718" w14:paraId="3118C41B" w14:textId="77777777" w:rsidTr="00D13A44">
        <w:tc>
          <w:tcPr>
            <w:tcW w:w="9396" w:type="dxa"/>
          </w:tcPr>
          <w:p w14:paraId="37C99D7A" w14:textId="77777777" w:rsidR="00E36C32" w:rsidRDefault="00E36C32" w:rsidP="00164B33">
            <w:pPr>
              <w:spacing w:before="240"/>
            </w:pPr>
            <w:r>
              <w:t xml:space="preserve">On graduation a </w:t>
            </w:r>
            <w:r w:rsidRPr="00DA2B11">
              <w:rPr>
                <w:b/>
              </w:rPr>
              <w:t>dental practitioner</w:t>
            </w:r>
            <w:r>
              <w:t xml:space="preserve"> must be able to:</w:t>
            </w:r>
          </w:p>
          <w:p w14:paraId="4CAB2936" w14:textId="77777777" w:rsidR="00E36C32" w:rsidRDefault="00E36C32" w:rsidP="00164B33">
            <w:pPr>
              <w:spacing w:before="240"/>
            </w:pPr>
            <w:r>
              <w:t>1. locate and evaluate evidence in a critical and scientific manner to support oral health care</w:t>
            </w:r>
          </w:p>
          <w:p w14:paraId="5D58D8ED" w14:textId="77777777" w:rsidR="00E36C32" w:rsidRDefault="00E36C32" w:rsidP="00164B33">
            <w:pPr>
              <w:spacing w:before="240"/>
            </w:pPr>
            <w:r>
              <w:t>2. apply clinical reasoning and judgement in a reflective practice approach to oral health care</w:t>
            </w:r>
          </w:p>
          <w:p w14:paraId="62E8742D" w14:textId="77777777" w:rsidR="00E36C32" w:rsidRDefault="00E36C32" w:rsidP="00164B33">
            <w:pPr>
              <w:spacing w:after="0"/>
            </w:pPr>
            <w:r>
              <w:t>3. understand scientific method and the role of research in advancing knowledge and clinical</w:t>
            </w:r>
          </w:p>
          <w:p w14:paraId="524E1C68" w14:textId="0B940C7E" w:rsidR="005F6718" w:rsidRDefault="00164B33" w:rsidP="00164B33">
            <w:pPr>
              <w:spacing w:after="0"/>
            </w:pPr>
            <w:r>
              <w:t xml:space="preserve">    p</w:t>
            </w:r>
            <w:r w:rsidR="00E36C32">
              <w:t>ractice</w:t>
            </w:r>
          </w:p>
          <w:p w14:paraId="047FACE7" w14:textId="1E879439" w:rsidR="00E36C32" w:rsidRDefault="00E36C32" w:rsidP="00E36C32">
            <w:pPr>
              <w:spacing w:after="0" w:line="276" w:lineRule="auto"/>
            </w:pPr>
          </w:p>
        </w:tc>
      </w:tr>
    </w:tbl>
    <w:p w14:paraId="1E27FD67" w14:textId="77777777" w:rsidR="005F6718" w:rsidRDefault="005F6718" w:rsidP="005F67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4146C" w14:paraId="3586A12C" w14:textId="77777777" w:rsidTr="00895556">
        <w:tc>
          <w:tcPr>
            <w:tcW w:w="4698" w:type="dxa"/>
            <w:shd w:val="clear" w:color="auto" w:fill="8DB3E2" w:themeFill="text2" w:themeFillTint="66"/>
          </w:tcPr>
          <w:p w14:paraId="45D2D16E" w14:textId="77777777" w:rsidR="00D4146C" w:rsidRDefault="00D4146C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43B94486" w14:textId="77777777" w:rsidR="00D4146C" w:rsidRDefault="00D4146C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D4146C" w14:paraId="0507AC8D" w14:textId="77777777" w:rsidTr="00895556">
        <w:tc>
          <w:tcPr>
            <w:tcW w:w="4698" w:type="dxa"/>
          </w:tcPr>
          <w:p w14:paraId="08E1DC52" w14:textId="77777777" w:rsidR="00D4146C" w:rsidRDefault="00D4146C" w:rsidP="00895556"/>
        </w:tc>
        <w:tc>
          <w:tcPr>
            <w:tcW w:w="4698" w:type="dxa"/>
          </w:tcPr>
          <w:p w14:paraId="5BCDE644" w14:textId="77777777" w:rsidR="00D4146C" w:rsidRDefault="00D4146C" w:rsidP="00895556"/>
        </w:tc>
      </w:tr>
      <w:tr w:rsidR="00D4146C" w14:paraId="0DA87475" w14:textId="77777777" w:rsidTr="00895556">
        <w:tc>
          <w:tcPr>
            <w:tcW w:w="4698" w:type="dxa"/>
          </w:tcPr>
          <w:p w14:paraId="12735BA4" w14:textId="77777777" w:rsidR="00D4146C" w:rsidRDefault="00D4146C" w:rsidP="00895556"/>
        </w:tc>
        <w:tc>
          <w:tcPr>
            <w:tcW w:w="4698" w:type="dxa"/>
          </w:tcPr>
          <w:p w14:paraId="6E8F61D1" w14:textId="77777777" w:rsidR="00D4146C" w:rsidRDefault="00D4146C" w:rsidP="00895556"/>
        </w:tc>
      </w:tr>
    </w:tbl>
    <w:p w14:paraId="60FFF9F7" w14:textId="572557AA" w:rsidR="005F6718" w:rsidRDefault="005F6718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31FF3" w14:paraId="019B7283" w14:textId="77777777" w:rsidTr="00D13A44">
        <w:tc>
          <w:tcPr>
            <w:tcW w:w="9396" w:type="dxa"/>
            <w:shd w:val="clear" w:color="auto" w:fill="C6D9F1" w:themeFill="text2" w:themeFillTint="33"/>
          </w:tcPr>
          <w:p w14:paraId="559CF623" w14:textId="7F764CFF" w:rsidR="00E31FF3" w:rsidRPr="00E9629C" w:rsidRDefault="00E31FF3" w:rsidP="00D13A44">
            <w:pPr>
              <w:spacing w:before="240"/>
              <w:rPr>
                <w:b/>
              </w:rPr>
            </w:pPr>
            <w:r w:rsidRPr="00E9629C">
              <w:rPr>
                <w:b/>
              </w:rPr>
              <w:t xml:space="preserve">Domain </w:t>
            </w:r>
            <w:r w:rsidR="00E36C32">
              <w:rPr>
                <w:b/>
              </w:rPr>
              <w:t>4</w:t>
            </w:r>
            <w:r w:rsidRPr="00E9629C">
              <w:rPr>
                <w:b/>
              </w:rPr>
              <w:t xml:space="preserve">: </w:t>
            </w:r>
            <w:r w:rsidR="00E36C32">
              <w:rPr>
                <w:b/>
              </w:rPr>
              <w:t>Health Promotion</w:t>
            </w:r>
          </w:p>
        </w:tc>
      </w:tr>
      <w:tr w:rsidR="00E31FF3" w14:paraId="017D98EB" w14:textId="77777777" w:rsidTr="00D13A44">
        <w:tc>
          <w:tcPr>
            <w:tcW w:w="9396" w:type="dxa"/>
          </w:tcPr>
          <w:p w14:paraId="0C155E42" w14:textId="77777777" w:rsidR="00DA2B11" w:rsidRDefault="00DA2B11" w:rsidP="00DA2B11">
            <w:pPr>
              <w:spacing w:before="240"/>
            </w:pPr>
            <w:r>
              <w:t xml:space="preserve">On graduation a </w:t>
            </w:r>
            <w:r w:rsidRPr="00DA2B11">
              <w:rPr>
                <w:b/>
              </w:rPr>
              <w:t>dental prosthetist</w:t>
            </w:r>
            <w:r>
              <w:t xml:space="preserve"> must be able to:</w:t>
            </w:r>
          </w:p>
          <w:p w14:paraId="2ACDCED6" w14:textId="77777777" w:rsidR="00DA2B11" w:rsidRDefault="00DA2B11" w:rsidP="00DA2B11">
            <w:pPr>
              <w:spacing w:before="240"/>
            </w:pPr>
            <w:r>
              <w:t>1. understand the determinants of health, risk factors and behaviours that influence health</w:t>
            </w:r>
          </w:p>
          <w:p w14:paraId="3484BECF" w14:textId="77777777" w:rsidR="00DA2B11" w:rsidRDefault="00DA2B11" w:rsidP="00DA2B11">
            <w:pPr>
              <w:spacing w:before="240"/>
            </w:pPr>
            <w:r>
              <w:t>2. understand the theories and principles of health promotion</w:t>
            </w:r>
          </w:p>
          <w:p w14:paraId="6398E795" w14:textId="77777777" w:rsidR="00DA2B11" w:rsidRDefault="00DA2B11" w:rsidP="00DA2B11">
            <w:pPr>
              <w:spacing w:before="240"/>
            </w:pPr>
            <w:r>
              <w:t>3. understand health promotion strategies to promote oral and general health</w:t>
            </w:r>
          </w:p>
          <w:p w14:paraId="7FC69CE2" w14:textId="7BF93DE7" w:rsidR="00C507FE" w:rsidRDefault="00DA2B11" w:rsidP="00DA2B11">
            <w:r>
              <w:t>4. understand the design, implementation and evaluation of evidence-based health promotion</w:t>
            </w:r>
          </w:p>
        </w:tc>
      </w:tr>
    </w:tbl>
    <w:p w14:paraId="4A602AF0" w14:textId="77777777" w:rsidR="00E31FF3" w:rsidRDefault="00E31FF3" w:rsidP="00E31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4146C" w14:paraId="6FBA4183" w14:textId="77777777" w:rsidTr="00895556">
        <w:tc>
          <w:tcPr>
            <w:tcW w:w="4698" w:type="dxa"/>
            <w:shd w:val="clear" w:color="auto" w:fill="8DB3E2" w:themeFill="text2" w:themeFillTint="66"/>
          </w:tcPr>
          <w:p w14:paraId="4D5E7F3B" w14:textId="77777777" w:rsidR="00D4146C" w:rsidRDefault="00D4146C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3D43DE77" w14:textId="77777777" w:rsidR="00D4146C" w:rsidRDefault="00D4146C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D4146C" w14:paraId="30520FE7" w14:textId="77777777" w:rsidTr="00895556">
        <w:tc>
          <w:tcPr>
            <w:tcW w:w="4698" w:type="dxa"/>
          </w:tcPr>
          <w:p w14:paraId="577026F7" w14:textId="77777777" w:rsidR="00D4146C" w:rsidRDefault="00D4146C" w:rsidP="00895556"/>
        </w:tc>
        <w:tc>
          <w:tcPr>
            <w:tcW w:w="4698" w:type="dxa"/>
          </w:tcPr>
          <w:p w14:paraId="0493AC9F" w14:textId="77777777" w:rsidR="00D4146C" w:rsidRDefault="00D4146C" w:rsidP="00895556"/>
        </w:tc>
      </w:tr>
      <w:tr w:rsidR="00D4146C" w14:paraId="0EF6E610" w14:textId="77777777" w:rsidTr="00895556">
        <w:tc>
          <w:tcPr>
            <w:tcW w:w="4698" w:type="dxa"/>
          </w:tcPr>
          <w:p w14:paraId="5738D6FA" w14:textId="77777777" w:rsidR="00D4146C" w:rsidRDefault="00D4146C" w:rsidP="00895556"/>
        </w:tc>
        <w:tc>
          <w:tcPr>
            <w:tcW w:w="4698" w:type="dxa"/>
          </w:tcPr>
          <w:p w14:paraId="3A9C084B" w14:textId="77777777" w:rsidR="00D4146C" w:rsidRDefault="00D4146C" w:rsidP="00895556"/>
        </w:tc>
      </w:tr>
    </w:tbl>
    <w:p w14:paraId="70C8407A" w14:textId="77777777" w:rsidR="00D4146C" w:rsidRDefault="00D4146C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5036B" w14:paraId="70AE5768" w14:textId="77777777" w:rsidTr="00D13A44">
        <w:tc>
          <w:tcPr>
            <w:tcW w:w="9396" w:type="dxa"/>
            <w:shd w:val="clear" w:color="auto" w:fill="C6D9F1" w:themeFill="text2" w:themeFillTint="33"/>
          </w:tcPr>
          <w:p w14:paraId="4E1AAEBD" w14:textId="57B441FD" w:rsidR="00A5036B" w:rsidRPr="00E9629C" w:rsidRDefault="00A5036B" w:rsidP="00D13A44">
            <w:pPr>
              <w:spacing w:before="240"/>
              <w:rPr>
                <w:b/>
              </w:rPr>
            </w:pPr>
            <w:r w:rsidRPr="00E9629C">
              <w:rPr>
                <w:b/>
              </w:rPr>
              <w:t xml:space="preserve">Domain </w:t>
            </w:r>
            <w:r w:rsidR="00164B33">
              <w:rPr>
                <w:b/>
              </w:rPr>
              <w:t>5</w:t>
            </w:r>
            <w:r w:rsidRPr="00E9629C">
              <w:rPr>
                <w:b/>
              </w:rPr>
              <w:t xml:space="preserve">: </w:t>
            </w:r>
            <w:r w:rsidR="00164B33">
              <w:rPr>
                <w:b/>
              </w:rPr>
              <w:t>Scientific and Clinical Knowledge</w:t>
            </w:r>
          </w:p>
        </w:tc>
      </w:tr>
      <w:tr w:rsidR="00DA2B11" w14:paraId="2A17E51D" w14:textId="77777777" w:rsidTr="00DA2B11">
        <w:tc>
          <w:tcPr>
            <w:tcW w:w="9396" w:type="dxa"/>
            <w:shd w:val="clear" w:color="auto" w:fill="auto"/>
          </w:tcPr>
          <w:p w14:paraId="3A621DC0" w14:textId="77777777" w:rsidR="00DA2B11" w:rsidRPr="00DA2B11" w:rsidRDefault="00DA2B11" w:rsidP="00DA2B11">
            <w:pPr>
              <w:spacing w:before="240"/>
            </w:pPr>
            <w:r w:rsidRPr="00DA2B11">
              <w:t xml:space="preserve">On graduation a </w:t>
            </w:r>
            <w:r w:rsidRPr="00DA2B11">
              <w:rPr>
                <w:b/>
              </w:rPr>
              <w:t>dental prosthetist</w:t>
            </w:r>
            <w:r w:rsidRPr="00DA2B11">
              <w:t xml:space="preserve"> must be able to:</w:t>
            </w:r>
          </w:p>
          <w:p w14:paraId="611C1AF3" w14:textId="77777777" w:rsidR="00DA2B11" w:rsidRPr="00DA2B11" w:rsidRDefault="00DA2B11" w:rsidP="00DA2B11">
            <w:pPr>
              <w:spacing w:before="240"/>
            </w:pPr>
            <w:r w:rsidRPr="00DA2B11">
              <w:t>1. understand the biological, physical and behavioural sciences in relation to oral health and disease</w:t>
            </w:r>
          </w:p>
          <w:p w14:paraId="0E42D211" w14:textId="77777777" w:rsidR="00DA2B11" w:rsidRPr="00DA2B11" w:rsidRDefault="00DA2B11" w:rsidP="00DA2B11">
            <w:pPr>
              <w:spacing w:before="240"/>
            </w:pPr>
            <w:r w:rsidRPr="00DA2B11">
              <w:t>2. understand the theories and principles of population oral health</w:t>
            </w:r>
          </w:p>
          <w:p w14:paraId="34819E55" w14:textId="77777777" w:rsidR="00DA2B11" w:rsidRPr="00DA2B11" w:rsidRDefault="00DA2B11" w:rsidP="00DA2B11">
            <w:pPr>
              <w:spacing w:before="240"/>
            </w:pPr>
            <w:r w:rsidRPr="00DA2B11">
              <w:t>3. understand the scientific principles and application of infection prevention and control</w:t>
            </w:r>
          </w:p>
          <w:p w14:paraId="6BA3F9A5" w14:textId="77777777" w:rsidR="00DA2B11" w:rsidRPr="00DA2B11" w:rsidRDefault="00DA2B11" w:rsidP="00DA2B11">
            <w:pPr>
              <w:spacing w:before="240"/>
            </w:pPr>
            <w:r w:rsidRPr="00DA2B11">
              <w:t>4. understand the scientific basis, application, limitation and risks of dental materials</w:t>
            </w:r>
          </w:p>
          <w:p w14:paraId="0CAD15D2" w14:textId="77777777" w:rsidR="00DA2B11" w:rsidRPr="00DA2B11" w:rsidRDefault="00DA2B11" w:rsidP="00DA2B11">
            <w:pPr>
              <w:spacing w:before="240"/>
            </w:pPr>
            <w:r w:rsidRPr="00DA2B11">
              <w:t>5. understand the principles of pharmacology and the risks in using therapeutic agents</w:t>
            </w:r>
          </w:p>
          <w:p w14:paraId="58EA2846" w14:textId="672ADBE6" w:rsidR="00DA2B11" w:rsidRPr="00E9629C" w:rsidRDefault="00DA2B11" w:rsidP="00DA2B11">
            <w:pPr>
              <w:spacing w:before="240"/>
              <w:rPr>
                <w:b/>
              </w:rPr>
            </w:pPr>
            <w:r w:rsidRPr="00DA2B11">
              <w:t>6. understand the principles and application of risk management and quality improvement</w:t>
            </w:r>
          </w:p>
        </w:tc>
      </w:tr>
    </w:tbl>
    <w:p w14:paraId="4BE381A6" w14:textId="26C21B82" w:rsidR="00A5036B" w:rsidRDefault="00A5036B" w:rsidP="00A50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4146C" w14:paraId="1CE2F9A0" w14:textId="77777777" w:rsidTr="00895556">
        <w:tc>
          <w:tcPr>
            <w:tcW w:w="4698" w:type="dxa"/>
            <w:shd w:val="clear" w:color="auto" w:fill="8DB3E2" w:themeFill="text2" w:themeFillTint="66"/>
          </w:tcPr>
          <w:p w14:paraId="11DAC34F" w14:textId="77777777" w:rsidR="00D4146C" w:rsidRDefault="00D4146C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10836C6B" w14:textId="77777777" w:rsidR="00D4146C" w:rsidRDefault="00D4146C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D4146C" w14:paraId="4E0DF0C9" w14:textId="77777777" w:rsidTr="00895556">
        <w:tc>
          <w:tcPr>
            <w:tcW w:w="4698" w:type="dxa"/>
          </w:tcPr>
          <w:p w14:paraId="4A8F1DCE" w14:textId="77777777" w:rsidR="00D4146C" w:rsidRDefault="00D4146C" w:rsidP="00895556"/>
        </w:tc>
        <w:tc>
          <w:tcPr>
            <w:tcW w:w="4698" w:type="dxa"/>
          </w:tcPr>
          <w:p w14:paraId="6F7747E4" w14:textId="77777777" w:rsidR="00D4146C" w:rsidRDefault="00D4146C" w:rsidP="00895556"/>
        </w:tc>
      </w:tr>
      <w:tr w:rsidR="00D4146C" w14:paraId="74A9C573" w14:textId="77777777" w:rsidTr="00895556">
        <w:tc>
          <w:tcPr>
            <w:tcW w:w="4698" w:type="dxa"/>
          </w:tcPr>
          <w:p w14:paraId="07DB2BB6" w14:textId="77777777" w:rsidR="00D4146C" w:rsidRDefault="00D4146C" w:rsidP="00895556"/>
        </w:tc>
        <w:tc>
          <w:tcPr>
            <w:tcW w:w="4698" w:type="dxa"/>
          </w:tcPr>
          <w:p w14:paraId="7E288CAD" w14:textId="77777777" w:rsidR="00D4146C" w:rsidRDefault="00D4146C" w:rsidP="00895556"/>
        </w:tc>
      </w:tr>
    </w:tbl>
    <w:p w14:paraId="7905363D" w14:textId="57FEAAFC" w:rsidR="005F6718" w:rsidRDefault="005F6718" w:rsidP="00E649FC"/>
    <w:p w14:paraId="5FF263E1" w14:textId="77777777" w:rsidR="005F6718" w:rsidRDefault="005F6718" w:rsidP="00E649FC"/>
    <w:p w14:paraId="7613EC61" w14:textId="59C4413E" w:rsidR="00E909C6" w:rsidRDefault="00E909C6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97AED" w14:paraId="10EDBA39" w14:textId="77777777" w:rsidTr="00DA2B11">
        <w:tc>
          <w:tcPr>
            <w:tcW w:w="9396" w:type="dxa"/>
            <w:shd w:val="clear" w:color="auto" w:fill="auto"/>
          </w:tcPr>
          <w:p w14:paraId="5914E04C" w14:textId="0203DF53" w:rsidR="000C7A55" w:rsidRPr="00E9629C" w:rsidRDefault="00C97AED" w:rsidP="000C7A55">
            <w:pPr>
              <w:spacing w:before="240"/>
              <w:rPr>
                <w:b/>
              </w:rPr>
            </w:pPr>
            <w:r w:rsidRPr="00E9629C">
              <w:rPr>
                <w:b/>
              </w:rPr>
              <w:t xml:space="preserve">Domain </w:t>
            </w:r>
            <w:r w:rsidR="00164B33">
              <w:rPr>
                <w:b/>
              </w:rPr>
              <w:t>6</w:t>
            </w:r>
            <w:r w:rsidRPr="00E9629C">
              <w:rPr>
                <w:b/>
              </w:rPr>
              <w:t xml:space="preserve">: </w:t>
            </w:r>
            <w:r w:rsidR="00164B33">
              <w:rPr>
                <w:b/>
              </w:rPr>
              <w:t>Patient Care</w:t>
            </w:r>
            <w:r w:rsidR="000C7A55">
              <w:rPr>
                <w:b/>
              </w:rPr>
              <w:t xml:space="preserve"> - 6.1 Clinical Information Gathering </w:t>
            </w:r>
          </w:p>
        </w:tc>
      </w:tr>
      <w:tr w:rsidR="00DA2B11" w14:paraId="59BFA476" w14:textId="77777777" w:rsidTr="00DA2B11">
        <w:tc>
          <w:tcPr>
            <w:tcW w:w="9396" w:type="dxa"/>
            <w:shd w:val="clear" w:color="auto" w:fill="auto"/>
          </w:tcPr>
          <w:p w14:paraId="6775BE63" w14:textId="77777777" w:rsidR="00DA2B11" w:rsidRPr="00DA2B11" w:rsidRDefault="00DA2B11" w:rsidP="00DA2B11">
            <w:pPr>
              <w:spacing w:before="240"/>
            </w:pPr>
            <w:r w:rsidRPr="00DA2B11">
              <w:t xml:space="preserve">On graduation </w:t>
            </w:r>
            <w:proofErr w:type="gramStart"/>
            <w:r w:rsidRPr="00DA2B11">
              <w:t>an</w:t>
            </w:r>
            <w:proofErr w:type="gramEnd"/>
            <w:r w:rsidRPr="00DA2B11">
              <w:t xml:space="preserve"> </w:t>
            </w:r>
            <w:r w:rsidRPr="00DA2B11">
              <w:rPr>
                <w:b/>
              </w:rPr>
              <w:t>dental prosthetist</w:t>
            </w:r>
            <w:r w:rsidRPr="00DA2B11">
              <w:t xml:space="preserve"> must be able to:</w:t>
            </w:r>
          </w:p>
          <w:p w14:paraId="2B15BC79" w14:textId="77777777" w:rsidR="00DA2B11" w:rsidRPr="00DA2B11" w:rsidRDefault="00DA2B11" w:rsidP="00DA2B11">
            <w:pPr>
              <w:spacing w:before="240"/>
            </w:pPr>
            <w:r w:rsidRPr="00DA2B11">
              <w:t>1. obtain and record a relevant history of the patient’s medical, social and oral health status</w:t>
            </w:r>
          </w:p>
          <w:p w14:paraId="7BEC45FF" w14:textId="77777777" w:rsidR="00DA2B11" w:rsidRPr="00DA2B11" w:rsidRDefault="00DA2B11" w:rsidP="00DA2B11">
            <w:pPr>
              <w:spacing w:before="240"/>
            </w:pPr>
            <w:r w:rsidRPr="00DA2B11">
              <w:t>2. perform an examination for health, disease and abnormalities of the dentition, mouth and associated structures</w:t>
            </w:r>
          </w:p>
          <w:p w14:paraId="324631E3" w14:textId="77777777" w:rsidR="00DA2B11" w:rsidRPr="00DA2B11" w:rsidRDefault="00DA2B11" w:rsidP="00DA2B11">
            <w:pPr>
              <w:spacing w:before="240"/>
            </w:pPr>
            <w:r w:rsidRPr="00DA2B11">
              <w:t>3. select necessary clinical and other diagnostic procedures and interpret results</w:t>
            </w:r>
          </w:p>
          <w:p w14:paraId="49F49AD2" w14:textId="77777777" w:rsidR="00DA2B11" w:rsidRPr="00DA2B11" w:rsidRDefault="00DA2B11" w:rsidP="00DA2B11">
            <w:pPr>
              <w:spacing w:before="240"/>
            </w:pPr>
            <w:r w:rsidRPr="00DA2B11">
              <w:t>4. evaluate individual patient risk factors for oral disease</w:t>
            </w:r>
          </w:p>
          <w:p w14:paraId="0D6794AF" w14:textId="20877633" w:rsidR="00DA2B11" w:rsidRPr="00E9629C" w:rsidRDefault="00DA2B11" w:rsidP="00DA2B11">
            <w:pPr>
              <w:spacing w:before="240"/>
              <w:rPr>
                <w:b/>
              </w:rPr>
            </w:pPr>
            <w:r w:rsidRPr="00DA2B11">
              <w:t>5. maintain accurate, objective, legible and contemporaneous records of patient management and protect patient</w:t>
            </w:r>
            <w:r>
              <w:t xml:space="preserve"> </w:t>
            </w:r>
            <w:r w:rsidRPr="00DA2B11">
              <w:t>privacy</w:t>
            </w:r>
          </w:p>
        </w:tc>
      </w:tr>
    </w:tbl>
    <w:p w14:paraId="5985888B" w14:textId="77777777" w:rsidR="00C97AED" w:rsidRDefault="00C97AED" w:rsidP="00C97A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4146C" w14:paraId="78C73E19" w14:textId="77777777" w:rsidTr="00895556">
        <w:tc>
          <w:tcPr>
            <w:tcW w:w="4698" w:type="dxa"/>
            <w:shd w:val="clear" w:color="auto" w:fill="8DB3E2" w:themeFill="text2" w:themeFillTint="66"/>
          </w:tcPr>
          <w:p w14:paraId="644190E1" w14:textId="77777777" w:rsidR="00D4146C" w:rsidRDefault="00D4146C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426005B1" w14:textId="77777777" w:rsidR="00D4146C" w:rsidRDefault="00D4146C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D4146C" w14:paraId="3BB66441" w14:textId="77777777" w:rsidTr="00895556">
        <w:tc>
          <w:tcPr>
            <w:tcW w:w="4698" w:type="dxa"/>
          </w:tcPr>
          <w:p w14:paraId="0EA64D61" w14:textId="77777777" w:rsidR="00D4146C" w:rsidRDefault="00D4146C" w:rsidP="00895556"/>
        </w:tc>
        <w:tc>
          <w:tcPr>
            <w:tcW w:w="4698" w:type="dxa"/>
          </w:tcPr>
          <w:p w14:paraId="1CF3454D" w14:textId="77777777" w:rsidR="00D4146C" w:rsidRDefault="00D4146C" w:rsidP="00895556"/>
        </w:tc>
      </w:tr>
      <w:tr w:rsidR="00D4146C" w14:paraId="3A8EC6DA" w14:textId="77777777" w:rsidTr="00895556">
        <w:tc>
          <w:tcPr>
            <w:tcW w:w="4698" w:type="dxa"/>
          </w:tcPr>
          <w:p w14:paraId="5F30DDD0" w14:textId="77777777" w:rsidR="00D4146C" w:rsidRDefault="00D4146C" w:rsidP="00895556"/>
        </w:tc>
        <w:tc>
          <w:tcPr>
            <w:tcW w:w="4698" w:type="dxa"/>
          </w:tcPr>
          <w:p w14:paraId="70BA6A59" w14:textId="77777777" w:rsidR="00D4146C" w:rsidRDefault="00D4146C" w:rsidP="00895556"/>
        </w:tc>
      </w:tr>
    </w:tbl>
    <w:p w14:paraId="26939BB7" w14:textId="711D0A4D" w:rsidR="00C97AED" w:rsidRDefault="00C97AED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C3018" w14:paraId="68954AEA" w14:textId="77777777" w:rsidTr="00DA2B11">
        <w:tc>
          <w:tcPr>
            <w:tcW w:w="9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B989B94" w14:textId="5C3309D5" w:rsidR="000C7A55" w:rsidRPr="00E9629C" w:rsidRDefault="002C3018" w:rsidP="000C7A55">
            <w:pPr>
              <w:spacing w:before="240"/>
              <w:rPr>
                <w:b/>
              </w:rPr>
            </w:pPr>
            <w:bookmarkStart w:id="3" w:name="_Hlk70511296"/>
            <w:r w:rsidRPr="00E9629C">
              <w:rPr>
                <w:b/>
              </w:rPr>
              <w:t xml:space="preserve">Domain </w:t>
            </w:r>
            <w:r w:rsidR="000C7A55">
              <w:rPr>
                <w:b/>
              </w:rPr>
              <w:t>6</w:t>
            </w:r>
            <w:r w:rsidRPr="00E9629C">
              <w:rPr>
                <w:b/>
              </w:rPr>
              <w:t xml:space="preserve">: </w:t>
            </w:r>
            <w:r w:rsidR="000C7A55">
              <w:rPr>
                <w:b/>
              </w:rPr>
              <w:t>Patient Care - 6.2 Diagnosis and Management Planning</w:t>
            </w:r>
          </w:p>
        </w:tc>
      </w:tr>
      <w:tr w:rsidR="00DA2B11" w14:paraId="7DAD1B9C" w14:textId="77777777" w:rsidTr="00DA2B11">
        <w:tc>
          <w:tcPr>
            <w:tcW w:w="9396" w:type="dxa"/>
            <w:shd w:val="clear" w:color="auto" w:fill="auto"/>
          </w:tcPr>
          <w:p w14:paraId="7664E6F6" w14:textId="77777777" w:rsidR="00DA2B11" w:rsidRPr="00DA2B11" w:rsidRDefault="00DA2B11" w:rsidP="00DA2B11">
            <w:pPr>
              <w:spacing w:before="240"/>
            </w:pPr>
            <w:r w:rsidRPr="00DA2B11">
              <w:t xml:space="preserve">On graduation </w:t>
            </w:r>
            <w:proofErr w:type="gramStart"/>
            <w:r w:rsidRPr="00DA2B11">
              <w:t>an</w:t>
            </w:r>
            <w:proofErr w:type="gramEnd"/>
            <w:r w:rsidRPr="00DA2B11">
              <w:t xml:space="preserve"> </w:t>
            </w:r>
            <w:r w:rsidRPr="00DA2B11">
              <w:rPr>
                <w:b/>
              </w:rPr>
              <w:t>dental prosthetist</w:t>
            </w:r>
            <w:r w:rsidRPr="00DA2B11">
              <w:t xml:space="preserve"> must be able to:</w:t>
            </w:r>
          </w:p>
          <w:p w14:paraId="17FD6F05" w14:textId="77777777" w:rsidR="00DA2B11" w:rsidRPr="00DA2B11" w:rsidRDefault="00DA2B11" w:rsidP="00DA2B11">
            <w:pPr>
              <w:spacing w:before="240"/>
            </w:pPr>
            <w:r w:rsidRPr="00DA2B11">
              <w:t>1. recognise health as it relates to the individual</w:t>
            </w:r>
          </w:p>
          <w:p w14:paraId="30D0B359" w14:textId="3DE58B0E" w:rsidR="00DA2B11" w:rsidRPr="00DA2B11" w:rsidRDefault="00DA2B11" w:rsidP="00DA2B11">
            <w:pPr>
              <w:spacing w:before="240"/>
            </w:pPr>
            <w:r w:rsidRPr="00DA2B11">
              <w:t>2. diagnose disease or abnormalities of the dentition, mouth and associated structures and identify conditions which</w:t>
            </w:r>
            <w:r>
              <w:t xml:space="preserve"> </w:t>
            </w:r>
            <w:r w:rsidRPr="00DA2B11">
              <w:t>require management</w:t>
            </w:r>
          </w:p>
          <w:p w14:paraId="517D38AB" w14:textId="77777777" w:rsidR="00DA2B11" w:rsidRPr="00DA2B11" w:rsidRDefault="00DA2B11" w:rsidP="00DA2B11">
            <w:pPr>
              <w:spacing w:before="240"/>
            </w:pPr>
            <w:r w:rsidRPr="00DA2B11">
              <w:t>3. determine the impact of risk factors, systemic disease and medications on oral health and treatment planning</w:t>
            </w:r>
          </w:p>
          <w:p w14:paraId="4BF3E212" w14:textId="77777777" w:rsidR="00DA2B11" w:rsidRPr="00DA2B11" w:rsidRDefault="00DA2B11" w:rsidP="00DA2B11">
            <w:pPr>
              <w:spacing w:before="240"/>
            </w:pPr>
            <w:r w:rsidRPr="00DA2B11">
              <w:t>4. formulate and record a patient-centred evidence-based oral health treatment plan</w:t>
            </w:r>
          </w:p>
          <w:p w14:paraId="6634A03B" w14:textId="77777777" w:rsidR="00DA2B11" w:rsidRPr="00DA2B11" w:rsidRDefault="00DA2B11" w:rsidP="00DA2B11">
            <w:pPr>
              <w:spacing w:before="240"/>
            </w:pPr>
            <w:r w:rsidRPr="00DA2B11">
              <w:t>5. determine when and how to refer patients to the appropriate health professional</w:t>
            </w:r>
          </w:p>
          <w:p w14:paraId="119AE0C2" w14:textId="0BF3F385" w:rsidR="00DA2B11" w:rsidRPr="00E9629C" w:rsidRDefault="00DA2B11" w:rsidP="00DA2B11">
            <w:pPr>
              <w:spacing w:before="240"/>
              <w:rPr>
                <w:b/>
              </w:rPr>
            </w:pPr>
            <w:r w:rsidRPr="00DA2B11">
              <w:t>6. obtain and record patient informed consent and financial consent for treatment</w:t>
            </w:r>
          </w:p>
        </w:tc>
      </w:tr>
      <w:bookmarkEnd w:id="3"/>
    </w:tbl>
    <w:p w14:paraId="75403118" w14:textId="77777777" w:rsidR="002C3018" w:rsidRDefault="002C3018" w:rsidP="002C3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4146C" w14:paraId="39183149" w14:textId="77777777" w:rsidTr="00895556">
        <w:tc>
          <w:tcPr>
            <w:tcW w:w="4698" w:type="dxa"/>
            <w:shd w:val="clear" w:color="auto" w:fill="8DB3E2" w:themeFill="text2" w:themeFillTint="66"/>
          </w:tcPr>
          <w:p w14:paraId="5CF9F850" w14:textId="77777777" w:rsidR="00D4146C" w:rsidRDefault="00D4146C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7CB7FAA9" w14:textId="77777777" w:rsidR="00D4146C" w:rsidRDefault="00D4146C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D4146C" w14:paraId="6AE7C942" w14:textId="77777777" w:rsidTr="00895556">
        <w:tc>
          <w:tcPr>
            <w:tcW w:w="4698" w:type="dxa"/>
          </w:tcPr>
          <w:p w14:paraId="70279C27" w14:textId="77777777" w:rsidR="00D4146C" w:rsidRDefault="00D4146C" w:rsidP="00895556"/>
        </w:tc>
        <w:tc>
          <w:tcPr>
            <w:tcW w:w="4698" w:type="dxa"/>
          </w:tcPr>
          <w:p w14:paraId="3A9E6DD1" w14:textId="77777777" w:rsidR="00D4146C" w:rsidRDefault="00D4146C" w:rsidP="00895556"/>
        </w:tc>
      </w:tr>
      <w:tr w:rsidR="00D4146C" w14:paraId="21E1BF56" w14:textId="77777777" w:rsidTr="00895556">
        <w:tc>
          <w:tcPr>
            <w:tcW w:w="4698" w:type="dxa"/>
          </w:tcPr>
          <w:p w14:paraId="5920DD1D" w14:textId="77777777" w:rsidR="00D4146C" w:rsidRDefault="00D4146C" w:rsidP="00895556"/>
        </w:tc>
        <w:tc>
          <w:tcPr>
            <w:tcW w:w="4698" w:type="dxa"/>
          </w:tcPr>
          <w:p w14:paraId="5CCF905A" w14:textId="77777777" w:rsidR="00D4146C" w:rsidRDefault="00D4146C" w:rsidP="00895556"/>
        </w:tc>
      </w:tr>
    </w:tbl>
    <w:p w14:paraId="02212822" w14:textId="5B412748" w:rsidR="00C97AED" w:rsidRDefault="00C97AED" w:rsidP="00E649FC"/>
    <w:p w14:paraId="6D8CDC7B" w14:textId="6126C5D5" w:rsidR="00C97AED" w:rsidRDefault="00C97AED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C7A55" w14:paraId="72B2DC9B" w14:textId="77777777" w:rsidTr="00DA2B11">
        <w:tc>
          <w:tcPr>
            <w:tcW w:w="9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F0EB7EC" w14:textId="10726F4F" w:rsidR="000C7A55" w:rsidRPr="00E9629C" w:rsidRDefault="000C7A55" w:rsidP="003C6374">
            <w:pPr>
              <w:spacing w:before="240"/>
              <w:rPr>
                <w:b/>
              </w:rPr>
            </w:pPr>
            <w:r w:rsidRPr="00E9629C">
              <w:rPr>
                <w:b/>
              </w:rPr>
              <w:t xml:space="preserve">Domain </w:t>
            </w:r>
            <w:r>
              <w:rPr>
                <w:b/>
              </w:rPr>
              <w:t>6</w:t>
            </w:r>
            <w:r w:rsidRPr="00E9629C">
              <w:rPr>
                <w:b/>
              </w:rPr>
              <w:t xml:space="preserve">: </w:t>
            </w:r>
            <w:r>
              <w:rPr>
                <w:b/>
              </w:rPr>
              <w:t>Patient Care - 6.3 Clinical Treatment and Evaluation</w:t>
            </w:r>
          </w:p>
        </w:tc>
      </w:tr>
      <w:tr w:rsidR="00DA2B11" w14:paraId="2D8BEF7B" w14:textId="77777777" w:rsidTr="00DA2B11">
        <w:tc>
          <w:tcPr>
            <w:tcW w:w="9396" w:type="dxa"/>
            <w:shd w:val="clear" w:color="auto" w:fill="auto"/>
          </w:tcPr>
          <w:p w14:paraId="2FFBCBB9" w14:textId="77777777" w:rsidR="00DA2B11" w:rsidRPr="00DA2B11" w:rsidRDefault="00DA2B11" w:rsidP="00DA2B11">
            <w:pPr>
              <w:spacing w:before="240"/>
            </w:pPr>
            <w:r w:rsidRPr="00DA2B11">
              <w:t xml:space="preserve">On graduation a </w:t>
            </w:r>
            <w:r w:rsidRPr="00DA2B11">
              <w:rPr>
                <w:b/>
              </w:rPr>
              <w:t>dental prosthetist</w:t>
            </w:r>
            <w:r w:rsidRPr="00DA2B11">
              <w:t xml:space="preserve"> will be able to:</w:t>
            </w:r>
          </w:p>
          <w:p w14:paraId="057FE46A" w14:textId="15E08F57" w:rsidR="00DA2B11" w:rsidRPr="00DA2B11" w:rsidRDefault="00DA2B11" w:rsidP="00DA2B11">
            <w:pPr>
              <w:spacing w:before="240"/>
            </w:pPr>
            <w:r w:rsidRPr="00DA2B11">
              <w:t>1. apply the principles of disease and trauma prevention in management of the dentition, mouth and associated</w:t>
            </w:r>
            <w:r>
              <w:t xml:space="preserve"> </w:t>
            </w:r>
            <w:r w:rsidRPr="00DA2B11">
              <w:t>structures</w:t>
            </w:r>
          </w:p>
          <w:p w14:paraId="166A693D" w14:textId="77777777" w:rsidR="00DA2B11" w:rsidRPr="00DA2B11" w:rsidRDefault="00DA2B11" w:rsidP="00DA2B11">
            <w:pPr>
              <w:spacing w:before="240"/>
            </w:pPr>
            <w:r w:rsidRPr="00DA2B11">
              <w:t>2. apply the principles of behaviour management</w:t>
            </w:r>
          </w:p>
          <w:p w14:paraId="0B53FB84" w14:textId="77777777" w:rsidR="00DA2B11" w:rsidRPr="00DA2B11" w:rsidRDefault="00DA2B11" w:rsidP="00DA2B11">
            <w:pPr>
              <w:spacing w:before="240"/>
            </w:pPr>
            <w:r w:rsidRPr="00DA2B11">
              <w:t>3. apply pharmaceutical agents</w:t>
            </w:r>
          </w:p>
          <w:p w14:paraId="2FE4ACD4" w14:textId="77777777" w:rsidR="00DA2B11" w:rsidRPr="00DA2B11" w:rsidRDefault="00DA2B11" w:rsidP="00DA2B11">
            <w:pPr>
              <w:spacing w:before="240"/>
            </w:pPr>
            <w:r w:rsidRPr="00DA2B11">
              <w:t>4. manage oral conditions and diseases, pain and pathology of the dentition, mouth and associated structures</w:t>
            </w:r>
          </w:p>
          <w:p w14:paraId="72C70B7E" w14:textId="77777777" w:rsidR="00DA2B11" w:rsidRPr="00DA2B11" w:rsidRDefault="00DA2B11" w:rsidP="00DA2B11">
            <w:pPr>
              <w:spacing w:before="240"/>
            </w:pPr>
            <w:r w:rsidRPr="00DA2B11">
              <w:t>5. evaluate and monitor the progress of treatment and oral health outcomes</w:t>
            </w:r>
          </w:p>
          <w:p w14:paraId="5910CFBE" w14:textId="77777777" w:rsidR="00DA2B11" w:rsidRPr="00DA2B11" w:rsidRDefault="00DA2B11" w:rsidP="00DA2B11">
            <w:pPr>
              <w:spacing w:before="240"/>
            </w:pPr>
            <w:r w:rsidRPr="00DA2B11">
              <w:t>6. manage medical emergencies</w:t>
            </w:r>
          </w:p>
          <w:p w14:paraId="74FE864F" w14:textId="77777777" w:rsidR="00DA2B11" w:rsidRPr="00DA2B11" w:rsidRDefault="00DA2B11" w:rsidP="00DA2B11">
            <w:pPr>
              <w:spacing w:before="240"/>
            </w:pPr>
            <w:r w:rsidRPr="00DA2B11">
              <w:t>7. manage dental emergencies</w:t>
            </w:r>
          </w:p>
          <w:p w14:paraId="60AED0C5" w14:textId="6FBF2BC0" w:rsidR="00DA2B11" w:rsidRPr="00E9629C" w:rsidRDefault="00DA2B11" w:rsidP="00DA2B11">
            <w:pPr>
              <w:spacing w:before="240"/>
              <w:rPr>
                <w:b/>
              </w:rPr>
            </w:pPr>
            <w:r w:rsidRPr="00DA2B11">
              <w:t>8. utilise patient removable prostheses to rehabilitate, restore appearance and function, prevent injury and stabilise</w:t>
            </w:r>
            <w:r>
              <w:t xml:space="preserve"> </w:t>
            </w:r>
            <w:r w:rsidRPr="00DA2B11">
              <w:t>the occlusion</w:t>
            </w:r>
          </w:p>
        </w:tc>
      </w:tr>
    </w:tbl>
    <w:p w14:paraId="27806B6D" w14:textId="76ABC107" w:rsidR="00C97AED" w:rsidRDefault="00C97AED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4146C" w14:paraId="07E63FDF" w14:textId="77777777" w:rsidTr="00895556">
        <w:tc>
          <w:tcPr>
            <w:tcW w:w="4698" w:type="dxa"/>
            <w:shd w:val="clear" w:color="auto" w:fill="8DB3E2" w:themeFill="text2" w:themeFillTint="66"/>
          </w:tcPr>
          <w:p w14:paraId="3C473764" w14:textId="77777777" w:rsidR="00D4146C" w:rsidRDefault="00D4146C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1324DAB0" w14:textId="77777777" w:rsidR="00D4146C" w:rsidRDefault="00D4146C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D4146C" w14:paraId="1E3637AB" w14:textId="77777777" w:rsidTr="00895556">
        <w:tc>
          <w:tcPr>
            <w:tcW w:w="4698" w:type="dxa"/>
          </w:tcPr>
          <w:p w14:paraId="272D0EC0" w14:textId="77777777" w:rsidR="00D4146C" w:rsidRDefault="00D4146C" w:rsidP="00895556"/>
        </w:tc>
        <w:tc>
          <w:tcPr>
            <w:tcW w:w="4698" w:type="dxa"/>
          </w:tcPr>
          <w:p w14:paraId="069BB332" w14:textId="77777777" w:rsidR="00D4146C" w:rsidRDefault="00D4146C" w:rsidP="00895556"/>
        </w:tc>
      </w:tr>
      <w:tr w:rsidR="00D4146C" w14:paraId="7DC8642A" w14:textId="77777777" w:rsidTr="00895556">
        <w:tc>
          <w:tcPr>
            <w:tcW w:w="4698" w:type="dxa"/>
          </w:tcPr>
          <w:p w14:paraId="21025EEF" w14:textId="77777777" w:rsidR="00D4146C" w:rsidRDefault="00D4146C" w:rsidP="00895556"/>
        </w:tc>
        <w:tc>
          <w:tcPr>
            <w:tcW w:w="4698" w:type="dxa"/>
          </w:tcPr>
          <w:p w14:paraId="7300B90F" w14:textId="77777777" w:rsidR="00D4146C" w:rsidRDefault="00D4146C" w:rsidP="00895556"/>
        </w:tc>
      </w:tr>
    </w:tbl>
    <w:p w14:paraId="3619319D" w14:textId="3BB54EA0" w:rsidR="00C97AED" w:rsidRDefault="00C97AED" w:rsidP="00E649FC"/>
    <w:p w14:paraId="359633DB" w14:textId="5E502954" w:rsidR="000C7A55" w:rsidRDefault="000C7A55" w:rsidP="00E649FC"/>
    <w:p w14:paraId="53E3FA4F" w14:textId="77777777" w:rsidR="00E649FC" w:rsidRDefault="00E649FC" w:rsidP="00E21690">
      <w:pPr>
        <w:pStyle w:val="BodyText"/>
      </w:pPr>
    </w:p>
    <w:sectPr w:rsidR="00E649FC" w:rsidSect="008F66A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92" w:right="1247" w:bottom="992" w:left="124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A3E6" w14:textId="77777777" w:rsidR="0029226F" w:rsidRDefault="0029226F" w:rsidP="00FC2881">
      <w:pPr>
        <w:spacing w:after="0"/>
      </w:pPr>
      <w:r>
        <w:separator/>
      </w:r>
    </w:p>
    <w:p w14:paraId="168B707F" w14:textId="77777777" w:rsidR="0029226F" w:rsidRDefault="0029226F"/>
  </w:endnote>
  <w:endnote w:type="continuationSeparator" w:id="0">
    <w:p w14:paraId="5FB2590E" w14:textId="77777777" w:rsidR="0029226F" w:rsidRDefault="0029226F" w:rsidP="00FC2881">
      <w:pPr>
        <w:spacing w:after="0"/>
      </w:pPr>
      <w:r>
        <w:continuationSeparator/>
      </w:r>
    </w:p>
    <w:p w14:paraId="580F5543" w14:textId="77777777" w:rsidR="0029226F" w:rsidRDefault="00292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1CC4" w14:textId="77777777"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7E5039E1" w14:textId="77777777" w:rsidR="000A6BF7" w:rsidRDefault="000A6BF7" w:rsidP="00FC2881">
    <w:pPr>
      <w:pStyle w:val="AHPRAfootnote"/>
      <w:ind w:right="360"/>
    </w:pPr>
  </w:p>
  <w:p w14:paraId="66C97328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17C2" w14:textId="77777777" w:rsidR="00154F2A" w:rsidRPr="00154F2A" w:rsidRDefault="00154F2A" w:rsidP="0099652A">
    <w:pPr>
      <w:spacing w:after="0"/>
      <w:jc w:val="center"/>
      <w:rPr>
        <w:color w:val="5F6062"/>
        <w:sz w:val="14"/>
        <w:szCs w:val="14"/>
      </w:rPr>
    </w:pPr>
  </w:p>
  <w:p w14:paraId="6C5552E7" w14:textId="4D95FA23" w:rsidR="005D05F9" w:rsidRPr="005D05F9" w:rsidRDefault="005D05F9" w:rsidP="005D05F9">
    <w:pPr>
      <w:rPr>
        <w:szCs w:val="20"/>
      </w:rPr>
    </w:pPr>
    <w:r w:rsidRPr="005D05F9">
      <w:rPr>
        <w:szCs w:val="20"/>
      </w:rPr>
      <w:t>Attachment for supervised practice plan - Professional competencies of the newly qualified dental prosthetist template</w:t>
    </w:r>
    <w:r>
      <w:rPr>
        <w:szCs w:val="20"/>
      </w:rPr>
      <w:t xml:space="preserve"> – 1 February 2022</w:t>
    </w:r>
  </w:p>
  <w:p w14:paraId="70F9AA8E" w14:textId="77777777" w:rsidR="000A6BF7" w:rsidRPr="000E7E28" w:rsidRDefault="00960B63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CA32C2">
          <w:fldChar w:fldCharType="begin"/>
        </w:r>
        <w:r w:rsidR="00CA32C2">
          <w:instrText xml:space="preserve"> PAGE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  <w:r w:rsidR="00E77E23" w:rsidRPr="000E7E28">
          <w:t xml:space="preserve"> of </w:t>
        </w:r>
        <w:r w:rsidR="00CA32C2">
          <w:fldChar w:fldCharType="begin"/>
        </w:r>
        <w:r w:rsidR="00CA32C2">
          <w:instrText xml:space="preserve"> NUMPAGES 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E7BF" w14:textId="77777777" w:rsidR="00586D5F" w:rsidRDefault="00586D5F" w:rsidP="00586D5F">
    <w:pPr>
      <w:spacing w:after="0"/>
      <w:jc w:val="center"/>
      <w:rPr>
        <w:rFonts w:ascii="Calibri" w:hAnsi="Calibri" w:cs="Calibri"/>
        <w:color w:val="5F6062"/>
        <w:sz w:val="18"/>
        <w:szCs w:val="18"/>
      </w:rPr>
    </w:pPr>
    <w:bookmarkStart w:id="4" w:name="_Hlk24447634"/>
    <w:bookmarkStart w:id="5" w:name="_Hlk24447268"/>
    <w:r>
      <w:rPr>
        <w:color w:val="5F6062"/>
        <w:sz w:val="18"/>
        <w:szCs w:val="18"/>
      </w:rPr>
      <w:t>Australian Health Practitioner Regulation Agency</w:t>
    </w:r>
  </w:p>
  <w:p w14:paraId="4DC4649A" w14:textId="77777777" w:rsidR="00586D5F" w:rsidRDefault="00586D5F" w:rsidP="00586D5F">
    <w:pPr>
      <w:spacing w:after="0"/>
      <w:jc w:val="center"/>
      <w:rPr>
        <w:color w:val="5F6062"/>
        <w:sz w:val="18"/>
        <w:szCs w:val="18"/>
      </w:rPr>
    </w:pPr>
    <w:r>
      <w:rPr>
        <w:color w:val="5F6062"/>
        <w:sz w:val="18"/>
        <w:szCs w:val="18"/>
      </w:rPr>
      <w:t>National Boards</w:t>
    </w:r>
  </w:p>
  <w:p w14:paraId="0254361A" w14:textId="77777777" w:rsidR="00586D5F" w:rsidRPr="00126A8D" w:rsidRDefault="00B21651" w:rsidP="00586D5F">
    <w:pPr>
      <w:spacing w:after="0"/>
      <w:jc w:val="center"/>
      <w:rPr>
        <w:color w:val="5F6062"/>
        <w:sz w:val="16"/>
        <w:szCs w:val="16"/>
      </w:rPr>
    </w:pPr>
    <w:r w:rsidRPr="00126A8D">
      <w:rPr>
        <w:color w:val="0067B9"/>
        <w:sz w:val="16"/>
        <w:szCs w:val="16"/>
      </w:rPr>
      <w:t xml:space="preserve">GPO </w:t>
    </w:r>
    <w:r w:rsidR="00586D5F" w:rsidRPr="00126A8D">
      <w:rPr>
        <w:color w:val="0067B9"/>
        <w:sz w:val="16"/>
        <w:szCs w:val="16"/>
      </w:rPr>
      <w:t>Box 9958 Melbourne VIC 3001</w:t>
    </w:r>
    <w:r w:rsidR="00586D5F" w:rsidRPr="00126A8D">
      <w:rPr>
        <w:color w:val="5F6062"/>
        <w:sz w:val="16"/>
        <w:szCs w:val="16"/>
      </w:rPr>
      <w:t xml:space="preserve">     </w:t>
    </w:r>
    <w:r w:rsidR="00586D5F" w:rsidRPr="00126A8D">
      <w:rPr>
        <w:color w:val="279989"/>
        <w:sz w:val="16"/>
        <w:szCs w:val="16"/>
      </w:rPr>
      <w:t>Ahpra.gov.au</w:t>
    </w:r>
    <w:r w:rsidR="00586D5F" w:rsidRPr="00126A8D">
      <w:rPr>
        <w:color w:val="5F6062"/>
        <w:sz w:val="16"/>
        <w:szCs w:val="16"/>
      </w:rPr>
      <w:t xml:space="preserve">     </w:t>
    </w:r>
    <w:r w:rsidR="00586D5F" w:rsidRPr="00126A8D">
      <w:rPr>
        <w:color w:val="0067B9"/>
        <w:sz w:val="16"/>
        <w:szCs w:val="16"/>
      </w:rPr>
      <w:t>1300 419 495</w:t>
    </w:r>
  </w:p>
  <w:bookmarkEnd w:id="4"/>
  <w:p w14:paraId="73AC21DD" w14:textId="77777777" w:rsidR="00586D5F" w:rsidRPr="00126A8D" w:rsidRDefault="00586D5F" w:rsidP="00586D5F">
    <w:pPr>
      <w:spacing w:after="0"/>
      <w:jc w:val="center"/>
      <w:rPr>
        <w:color w:val="5F6062"/>
        <w:sz w:val="14"/>
        <w:szCs w:val="14"/>
      </w:rPr>
    </w:pPr>
  </w:p>
  <w:p w14:paraId="2D9C11C0" w14:textId="77777777" w:rsidR="00586D5F" w:rsidRPr="00126A8D" w:rsidRDefault="00586D5F" w:rsidP="00586D5F">
    <w:pPr>
      <w:spacing w:after="0"/>
      <w:ind w:left="1418" w:firstLine="22"/>
      <w:rPr>
        <w:color w:val="5F6062"/>
        <w:sz w:val="14"/>
        <w:szCs w:val="14"/>
      </w:rPr>
    </w:pPr>
    <w:proofErr w:type="spellStart"/>
    <w:r w:rsidRPr="00126A8D">
      <w:rPr>
        <w:color w:val="5F6062"/>
        <w:sz w:val="14"/>
        <w:szCs w:val="14"/>
      </w:rPr>
      <w:t>Ahpra</w:t>
    </w:r>
    <w:proofErr w:type="spellEnd"/>
    <w:r w:rsidRPr="00126A8D">
      <w:rPr>
        <w:color w:val="5F6062"/>
        <w:sz w:val="14"/>
        <w:szCs w:val="14"/>
      </w:rPr>
      <w:t xml:space="preserve"> and the National Boards regulate these registered health professions: Aboriginal and Torres Strait Islander </w:t>
    </w:r>
  </w:p>
  <w:p w14:paraId="5761C3E5" w14:textId="77777777" w:rsidR="00586D5F" w:rsidRPr="00126A8D" w:rsidRDefault="00586D5F" w:rsidP="00586D5F">
    <w:pPr>
      <w:spacing w:after="0"/>
      <w:ind w:left="1440"/>
      <w:rPr>
        <w:color w:val="5F6062"/>
        <w:sz w:val="14"/>
        <w:szCs w:val="14"/>
      </w:rPr>
    </w:pPr>
    <w:r w:rsidRPr="00126A8D">
      <w:rPr>
        <w:color w:val="5F6062"/>
        <w:sz w:val="14"/>
        <w:szCs w:val="14"/>
      </w:rPr>
      <w:t xml:space="preserve">health practice, Chinese medicine, chiropractic, dental, medical, medical radiation practice, midwifery, nursing, </w:t>
    </w:r>
  </w:p>
  <w:p w14:paraId="5CA51D87" w14:textId="77777777" w:rsidR="00586D5F" w:rsidRPr="00126A8D" w:rsidRDefault="00586D5F" w:rsidP="00586D5F">
    <w:pPr>
      <w:spacing w:after="0"/>
      <w:ind w:left="1418"/>
      <w:rPr>
        <w:color w:val="5F6062"/>
        <w:sz w:val="14"/>
        <w:szCs w:val="14"/>
      </w:rPr>
    </w:pPr>
    <w:r w:rsidRPr="00126A8D">
      <w:rPr>
        <w:color w:val="5F6062"/>
        <w:sz w:val="14"/>
        <w:szCs w:val="14"/>
      </w:rPr>
      <w:t>occupational therapy, optometry, osteopathy, paramedicine, pharmacy, physiotherapy, podiatry and psychology.</w:t>
    </w:r>
    <w:bookmarkEnd w:id="5"/>
  </w:p>
  <w:p w14:paraId="456AAF1E" w14:textId="77777777" w:rsidR="00E77E23" w:rsidRPr="00586D5F" w:rsidRDefault="00E77E23" w:rsidP="0058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7BB9" w14:textId="77777777" w:rsidR="0029226F" w:rsidRDefault="0029226F" w:rsidP="000E7E28">
      <w:pPr>
        <w:spacing w:after="0"/>
      </w:pPr>
      <w:r>
        <w:separator/>
      </w:r>
    </w:p>
  </w:footnote>
  <w:footnote w:type="continuationSeparator" w:id="0">
    <w:p w14:paraId="37F2C6B4" w14:textId="77777777" w:rsidR="0029226F" w:rsidRDefault="0029226F" w:rsidP="00FC2881">
      <w:pPr>
        <w:spacing w:after="0"/>
      </w:pPr>
      <w:r>
        <w:continuationSeparator/>
      </w:r>
    </w:p>
    <w:p w14:paraId="77BDB1A4" w14:textId="77777777" w:rsidR="0029226F" w:rsidRDefault="0029226F"/>
  </w:footnote>
  <w:footnote w:type="continuationNotice" w:id="1">
    <w:p w14:paraId="2A48CA17" w14:textId="77777777" w:rsidR="0029226F" w:rsidRDefault="0029226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F7F" w14:textId="3C02712D" w:rsidR="000A6BF7" w:rsidRPr="00315933" w:rsidRDefault="000A6BF7" w:rsidP="00D638E0">
    <w:pPr>
      <w:ind w:left="-1134" w:right="-567"/>
      <w:jc w:val="right"/>
    </w:pPr>
  </w:p>
  <w:p w14:paraId="2E118F53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B84D" w14:textId="5007F806" w:rsidR="00D81E21" w:rsidRDefault="00321242" w:rsidP="005F4818">
    <w:pPr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7C9694" wp14:editId="2997DF03">
          <wp:simplePos x="0" y="0"/>
          <wp:positionH relativeFrom="margin">
            <wp:align>right</wp:align>
          </wp:positionH>
          <wp:positionV relativeFrom="paragraph">
            <wp:posOffset>-16510</wp:posOffset>
          </wp:positionV>
          <wp:extent cx="2904490" cy="1111704"/>
          <wp:effectExtent l="0" t="0" r="0" b="0"/>
          <wp:wrapThrough wrapText="bothSides">
            <wp:wrapPolygon edited="0">
              <wp:start x="6233" y="0"/>
              <wp:lineTo x="1275" y="1111"/>
              <wp:lineTo x="425" y="4814"/>
              <wp:lineTo x="0" y="7406"/>
              <wp:lineTo x="0" y="16293"/>
              <wp:lineTo x="5950" y="17774"/>
              <wp:lineTo x="6942" y="21106"/>
              <wp:lineTo x="7084" y="21106"/>
              <wp:lineTo x="8217" y="21106"/>
              <wp:lineTo x="8075" y="17774"/>
              <wp:lineTo x="10767" y="17774"/>
              <wp:lineTo x="15725" y="14071"/>
              <wp:lineTo x="15584" y="11849"/>
              <wp:lineTo x="21392" y="8887"/>
              <wp:lineTo x="21392" y="4443"/>
              <wp:lineTo x="7225" y="0"/>
              <wp:lineTo x="6233" y="0"/>
            </wp:wrapPolygon>
          </wp:wrapThrough>
          <wp:docPr id="1" name="Picture 1" descr="The Australian Health Practitioner Regulation Agency and the Dental Board of Australia Logo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490" cy="111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1F5D4E" w14:textId="7132EFB5" w:rsidR="00D81E21" w:rsidRDefault="00D81E21" w:rsidP="005F4818">
    <w:pPr>
      <w:jc w:val="right"/>
    </w:pPr>
  </w:p>
  <w:p w14:paraId="184B526E" w14:textId="37E7FE52" w:rsidR="00D81E21" w:rsidRDefault="00D81E21" w:rsidP="005F4818">
    <w:pPr>
      <w:jc w:val="right"/>
    </w:pPr>
  </w:p>
  <w:p w14:paraId="1CA5F851" w14:textId="77777777" w:rsidR="003C7C9E" w:rsidRDefault="003C7C9E" w:rsidP="005F4818">
    <w:pPr>
      <w:jc w:val="right"/>
    </w:pPr>
  </w:p>
  <w:p w14:paraId="2633F14D" w14:textId="77777777" w:rsidR="00D81E21" w:rsidRDefault="00D81E21" w:rsidP="005F481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674"/>
    <w:multiLevelType w:val="multilevel"/>
    <w:tmpl w:val="A0347692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odyTextBullets2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pStyle w:val="BodyTextBullets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8E5681B"/>
    <w:multiLevelType w:val="multilevel"/>
    <w:tmpl w:val="68D2A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D296F27"/>
    <w:multiLevelType w:val="multilevel"/>
    <w:tmpl w:val="2D986C5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ListNumber2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ListNumber3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1FCB5BE0"/>
    <w:multiLevelType w:val="multilevel"/>
    <w:tmpl w:val="957E7A6A"/>
    <w:styleLink w:val="AHPRAListBullets"/>
    <w:lvl w:ilvl="0">
      <w:start w:val="1"/>
      <w:numFmt w:val="bullet"/>
      <w:pStyle w:val="ListBullet1a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3">
      <w:start w:val="1"/>
      <w:numFmt w:val="bullet"/>
      <w:pStyle w:val="ListBullet1b"/>
      <w:lvlText w:val=""/>
      <w:lvlJc w:val="left"/>
      <w:pPr>
        <w:ind w:left="102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673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6" w:hanging="368"/>
      </w:pPr>
      <w:rPr>
        <w:rFonts w:ascii="Symbol" w:hAnsi="Symbol" w:hint="default"/>
        <w:color w:val="auto"/>
      </w:rPr>
    </w:lvl>
    <w:lvl w:ilvl="6">
      <w:start w:val="1"/>
      <w:numFmt w:val="bullet"/>
      <w:pStyle w:val="ListBullet1c"/>
      <w:lvlText w:val="o"/>
      <w:lvlJc w:val="left"/>
      <w:pPr>
        <w:ind w:left="1389" w:hanging="368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2041" w:hanging="368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9" w15:restartNumberingAfterBreak="0">
    <w:nsid w:val="2822578D"/>
    <w:multiLevelType w:val="multilevel"/>
    <w:tmpl w:val="BE20683A"/>
    <w:numStyleLink w:val="AHPRANumberedheadinglist"/>
  </w:abstractNum>
  <w:abstractNum w:abstractNumId="10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56F5A"/>
    <w:multiLevelType w:val="multilevel"/>
    <w:tmpl w:val="68D2A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433A"/>
    <w:multiLevelType w:val="multilevel"/>
    <w:tmpl w:val="C4183F12"/>
    <w:numStyleLink w:val="AHPRANumberedlist"/>
  </w:abstractNum>
  <w:abstractNum w:abstractNumId="14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E154B0"/>
    <w:multiLevelType w:val="multilevel"/>
    <w:tmpl w:val="C4183F12"/>
    <w:numStyleLink w:val="AHPRANumberedlist"/>
  </w:abstractNum>
  <w:abstractNum w:abstractNumId="16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31660"/>
    <w:multiLevelType w:val="multilevel"/>
    <w:tmpl w:val="C4183F12"/>
    <w:numStyleLink w:val="AHPRANumberedlist"/>
  </w:abstractNum>
  <w:num w:numId="1">
    <w:abstractNumId w:val="14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6"/>
  </w:num>
  <w:num w:numId="10">
    <w:abstractNumId w:val="13"/>
  </w:num>
  <w:num w:numId="11">
    <w:abstractNumId w:val="4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8"/>
  </w:num>
  <w:num w:numId="17">
    <w:abstractNumId w:val="8"/>
    <w:lvlOverride w:ilvl="0">
      <w:lvl w:ilvl="0">
        <w:start w:val="1"/>
        <w:numFmt w:val="bullet"/>
        <w:pStyle w:val="ListBullet1a"/>
        <w:lvlText w:val=""/>
        <w:lvlJc w:val="left"/>
        <w:pPr>
          <w:ind w:left="737" w:hanging="36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389" w:hanging="36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240" w:hanging="369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ListBullet1b"/>
        <w:lvlText w:val=""/>
        <w:lvlJc w:val="left"/>
        <w:pPr>
          <w:ind w:left="1106" w:hanging="369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58" w:hanging="36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2240"/>
          </w:tabs>
          <w:ind w:left="2608" w:hanging="36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pStyle w:val="ListBullet1c"/>
        <w:lvlText w:val="o"/>
        <w:lvlJc w:val="left"/>
        <w:pPr>
          <w:ind w:left="1474" w:hanging="368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126" w:hanging="368"/>
        </w:pPr>
        <w:rPr>
          <w:rFonts w:ascii="Courier New" w:hAnsi="Courier New" w:hint="default"/>
          <w:color w:val="auto"/>
        </w:rPr>
      </w:lvl>
    </w:lvlOverride>
    <w:lvlOverride w:ilvl="8">
      <w:lvl w:ilvl="8">
        <w:start w:val="1"/>
        <w:numFmt w:val="bullet"/>
        <w:lvlText w:val="o"/>
        <w:lvlJc w:val="left"/>
        <w:pPr>
          <w:ind w:left="2977" w:hanging="369"/>
        </w:pPr>
        <w:rPr>
          <w:rFonts w:ascii="Courier New" w:hAnsi="Courier New" w:hint="default"/>
        </w:rPr>
      </w:lvl>
    </w:lvlOverride>
  </w:num>
  <w:num w:numId="18">
    <w:abstractNumId w:val="2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6F"/>
    <w:rsid w:val="00000033"/>
    <w:rsid w:val="00006922"/>
    <w:rsid w:val="000334D7"/>
    <w:rsid w:val="00071439"/>
    <w:rsid w:val="000945FB"/>
    <w:rsid w:val="00097D00"/>
    <w:rsid w:val="000A6BF7"/>
    <w:rsid w:val="000C7A55"/>
    <w:rsid w:val="000E7E28"/>
    <w:rsid w:val="000F5D90"/>
    <w:rsid w:val="00100127"/>
    <w:rsid w:val="0010139F"/>
    <w:rsid w:val="00126A8D"/>
    <w:rsid w:val="00143681"/>
    <w:rsid w:val="00144C30"/>
    <w:rsid w:val="00144DEF"/>
    <w:rsid w:val="001506FE"/>
    <w:rsid w:val="00154F2A"/>
    <w:rsid w:val="00164B33"/>
    <w:rsid w:val="00196F14"/>
    <w:rsid w:val="001B0FD6"/>
    <w:rsid w:val="001C425C"/>
    <w:rsid w:val="001D093E"/>
    <w:rsid w:val="001E1E31"/>
    <w:rsid w:val="001E2849"/>
    <w:rsid w:val="001E4A94"/>
    <w:rsid w:val="001E5621"/>
    <w:rsid w:val="00220A3B"/>
    <w:rsid w:val="00224708"/>
    <w:rsid w:val="0028013F"/>
    <w:rsid w:val="002904D3"/>
    <w:rsid w:val="0029226F"/>
    <w:rsid w:val="00295B44"/>
    <w:rsid w:val="00296667"/>
    <w:rsid w:val="002B2D48"/>
    <w:rsid w:val="002C08FB"/>
    <w:rsid w:val="002C3018"/>
    <w:rsid w:val="002C34EA"/>
    <w:rsid w:val="002F13B3"/>
    <w:rsid w:val="00303BE1"/>
    <w:rsid w:val="00305AFC"/>
    <w:rsid w:val="00321242"/>
    <w:rsid w:val="003354E4"/>
    <w:rsid w:val="00336992"/>
    <w:rsid w:val="003546FC"/>
    <w:rsid w:val="0036304B"/>
    <w:rsid w:val="0039315C"/>
    <w:rsid w:val="00393516"/>
    <w:rsid w:val="003C7C9E"/>
    <w:rsid w:val="003D6DBD"/>
    <w:rsid w:val="003E00B5"/>
    <w:rsid w:val="003E3268"/>
    <w:rsid w:val="003E5F74"/>
    <w:rsid w:val="003F2F06"/>
    <w:rsid w:val="00405C0A"/>
    <w:rsid w:val="00414F2C"/>
    <w:rsid w:val="00426B05"/>
    <w:rsid w:val="00447C88"/>
    <w:rsid w:val="00450B34"/>
    <w:rsid w:val="004606A7"/>
    <w:rsid w:val="00461611"/>
    <w:rsid w:val="004A5E5D"/>
    <w:rsid w:val="004B438E"/>
    <w:rsid w:val="004B747B"/>
    <w:rsid w:val="004C3A57"/>
    <w:rsid w:val="004C4545"/>
    <w:rsid w:val="004D3B83"/>
    <w:rsid w:val="004D7537"/>
    <w:rsid w:val="004F5C05"/>
    <w:rsid w:val="00516EF2"/>
    <w:rsid w:val="00517C54"/>
    <w:rsid w:val="00520D59"/>
    <w:rsid w:val="00535C93"/>
    <w:rsid w:val="0053749F"/>
    <w:rsid w:val="00546B56"/>
    <w:rsid w:val="00551666"/>
    <w:rsid w:val="00553A4C"/>
    <w:rsid w:val="00554335"/>
    <w:rsid w:val="005565CE"/>
    <w:rsid w:val="005708AE"/>
    <w:rsid w:val="00586D5F"/>
    <w:rsid w:val="005A0FA9"/>
    <w:rsid w:val="005C5932"/>
    <w:rsid w:val="005C6817"/>
    <w:rsid w:val="005D05F9"/>
    <w:rsid w:val="005F4818"/>
    <w:rsid w:val="005F6718"/>
    <w:rsid w:val="00616043"/>
    <w:rsid w:val="00640B2C"/>
    <w:rsid w:val="00667CAD"/>
    <w:rsid w:val="006702FE"/>
    <w:rsid w:val="00670F48"/>
    <w:rsid w:val="00672A98"/>
    <w:rsid w:val="00681D5E"/>
    <w:rsid w:val="006879A3"/>
    <w:rsid w:val="00693363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13C46"/>
    <w:rsid w:val="00736EFD"/>
    <w:rsid w:val="007372A4"/>
    <w:rsid w:val="00741B04"/>
    <w:rsid w:val="0076115C"/>
    <w:rsid w:val="007664F3"/>
    <w:rsid w:val="0079197C"/>
    <w:rsid w:val="00795666"/>
    <w:rsid w:val="007A35B9"/>
    <w:rsid w:val="007B77D6"/>
    <w:rsid w:val="007C0B6E"/>
    <w:rsid w:val="007D4836"/>
    <w:rsid w:val="007E2C84"/>
    <w:rsid w:val="007E3545"/>
    <w:rsid w:val="007F0095"/>
    <w:rsid w:val="008172D9"/>
    <w:rsid w:val="008338F7"/>
    <w:rsid w:val="00833C7B"/>
    <w:rsid w:val="00836397"/>
    <w:rsid w:val="00845054"/>
    <w:rsid w:val="00846E89"/>
    <w:rsid w:val="00852D1C"/>
    <w:rsid w:val="00856147"/>
    <w:rsid w:val="00860F40"/>
    <w:rsid w:val="008615C9"/>
    <w:rsid w:val="00864020"/>
    <w:rsid w:val="0086774E"/>
    <w:rsid w:val="00875912"/>
    <w:rsid w:val="00882E60"/>
    <w:rsid w:val="008900C0"/>
    <w:rsid w:val="008979D5"/>
    <w:rsid w:val="008A4C3B"/>
    <w:rsid w:val="008B2AD7"/>
    <w:rsid w:val="008D6B7E"/>
    <w:rsid w:val="008D7845"/>
    <w:rsid w:val="008F66A8"/>
    <w:rsid w:val="009031EA"/>
    <w:rsid w:val="00923B23"/>
    <w:rsid w:val="00937ED0"/>
    <w:rsid w:val="00952797"/>
    <w:rsid w:val="00960B63"/>
    <w:rsid w:val="009632EB"/>
    <w:rsid w:val="009777D3"/>
    <w:rsid w:val="009859E6"/>
    <w:rsid w:val="00991836"/>
    <w:rsid w:val="00991904"/>
    <w:rsid w:val="0099652A"/>
    <w:rsid w:val="009A0A5D"/>
    <w:rsid w:val="009C6933"/>
    <w:rsid w:val="009E0D5E"/>
    <w:rsid w:val="009E3296"/>
    <w:rsid w:val="00A04C7A"/>
    <w:rsid w:val="00A058E5"/>
    <w:rsid w:val="00A10C1A"/>
    <w:rsid w:val="00A2072E"/>
    <w:rsid w:val="00A237BB"/>
    <w:rsid w:val="00A458ED"/>
    <w:rsid w:val="00A5036B"/>
    <w:rsid w:val="00A509AB"/>
    <w:rsid w:val="00A761E1"/>
    <w:rsid w:val="00A76CA6"/>
    <w:rsid w:val="00A82078"/>
    <w:rsid w:val="00A838C8"/>
    <w:rsid w:val="00A91C42"/>
    <w:rsid w:val="00A9516B"/>
    <w:rsid w:val="00A95469"/>
    <w:rsid w:val="00A9780A"/>
    <w:rsid w:val="00AA00AF"/>
    <w:rsid w:val="00AA2FC9"/>
    <w:rsid w:val="00AA3AF4"/>
    <w:rsid w:val="00AB283D"/>
    <w:rsid w:val="00AC2736"/>
    <w:rsid w:val="00AC5AD6"/>
    <w:rsid w:val="00AD312E"/>
    <w:rsid w:val="00AE3EAF"/>
    <w:rsid w:val="00B024B0"/>
    <w:rsid w:val="00B1443A"/>
    <w:rsid w:val="00B21651"/>
    <w:rsid w:val="00B31A14"/>
    <w:rsid w:val="00B34EDA"/>
    <w:rsid w:val="00B3727D"/>
    <w:rsid w:val="00B41571"/>
    <w:rsid w:val="00B51748"/>
    <w:rsid w:val="00B57198"/>
    <w:rsid w:val="00B758C1"/>
    <w:rsid w:val="00B85023"/>
    <w:rsid w:val="00B86A5C"/>
    <w:rsid w:val="00B97DF2"/>
    <w:rsid w:val="00BA2456"/>
    <w:rsid w:val="00BA469B"/>
    <w:rsid w:val="00BB4A5B"/>
    <w:rsid w:val="00BE602C"/>
    <w:rsid w:val="00BF2534"/>
    <w:rsid w:val="00BF79DC"/>
    <w:rsid w:val="00C06B34"/>
    <w:rsid w:val="00C16E83"/>
    <w:rsid w:val="00C35DE1"/>
    <w:rsid w:val="00C3795C"/>
    <w:rsid w:val="00C507FE"/>
    <w:rsid w:val="00C50969"/>
    <w:rsid w:val="00C524AA"/>
    <w:rsid w:val="00C54689"/>
    <w:rsid w:val="00C81B3A"/>
    <w:rsid w:val="00C81E4E"/>
    <w:rsid w:val="00C97AED"/>
    <w:rsid w:val="00CA32C2"/>
    <w:rsid w:val="00CB6C08"/>
    <w:rsid w:val="00CD0DCA"/>
    <w:rsid w:val="00CE7F9A"/>
    <w:rsid w:val="00CF6415"/>
    <w:rsid w:val="00CF7588"/>
    <w:rsid w:val="00D12F61"/>
    <w:rsid w:val="00D201C6"/>
    <w:rsid w:val="00D225E1"/>
    <w:rsid w:val="00D361DB"/>
    <w:rsid w:val="00D4146C"/>
    <w:rsid w:val="00D638E0"/>
    <w:rsid w:val="00D716BA"/>
    <w:rsid w:val="00D81E21"/>
    <w:rsid w:val="00D8404D"/>
    <w:rsid w:val="00D84A03"/>
    <w:rsid w:val="00D87C12"/>
    <w:rsid w:val="00DA2B11"/>
    <w:rsid w:val="00DB15FC"/>
    <w:rsid w:val="00DC2952"/>
    <w:rsid w:val="00DD36D8"/>
    <w:rsid w:val="00DE4034"/>
    <w:rsid w:val="00DF1AB7"/>
    <w:rsid w:val="00E07C02"/>
    <w:rsid w:val="00E12B06"/>
    <w:rsid w:val="00E15BF6"/>
    <w:rsid w:val="00E21690"/>
    <w:rsid w:val="00E31FF3"/>
    <w:rsid w:val="00E36C32"/>
    <w:rsid w:val="00E54005"/>
    <w:rsid w:val="00E649FC"/>
    <w:rsid w:val="00E71CB9"/>
    <w:rsid w:val="00E73698"/>
    <w:rsid w:val="00E7790C"/>
    <w:rsid w:val="00E77E23"/>
    <w:rsid w:val="00E8251C"/>
    <w:rsid w:val="00E844A0"/>
    <w:rsid w:val="00E909C6"/>
    <w:rsid w:val="00E90FC1"/>
    <w:rsid w:val="00E9629C"/>
    <w:rsid w:val="00EB55B3"/>
    <w:rsid w:val="00ED6184"/>
    <w:rsid w:val="00F05D69"/>
    <w:rsid w:val="00F13E2C"/>
    <w:rsid w:val="00F13ED2"/>
    <w:rsid w:val="00F27ACB"/>
    <w:rsid w:val="00F3616F"/>
    <w:rsid w:val="00F4148A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692B6D7"/>
  <w15:docId w15:val="{C8367A1F-4E20-48D6-A1F5-3BD0866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2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99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99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551666"/>
    <w:pPr>
      <w:spacing w:after="200"/>
    </w:pPr>
    <w:rPr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next w:val="AHPRAbody"/>
    <w:rsid w:val="003546FC"/>
    <w:pPr>
      <w:spacing w:before="200" w:after="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E21690"/>
    <w:pPr>
      <w:spacing w:before="120" w:after="120"/>
      <w:jc w:val="center"/>
    </w:pPr>
    <w:rPr>
      <w:b/>
      <w:color w:val="FFFFFF" w:themeColor="background1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86D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D5F"/>
    <w:rPr>
      <w:sz w:val="24"/>
      <w:szCs w:val="24"/>
      <w:lang w:val="en-AU"/>
    </w:rPr>
  </w:style>
  <w:style w:type="numbering" w:customStyle="1" w:styleId="AHPRABullets">
    <w:name w:val="AHPRA Bullets"/>
    <w:uiPriority w:val="99"/>
    <w:rsid w:val="00E21690"/>
    <w:pPr>
      <w:numPr>
        <w:numId w:val="14"/>
      </w:numPr>
    </w:pPr>
  </w:style>
  <w:style w:type="paragraph" w:customStyle="1" w:styleId="BodyTextBullets">
    <w:name w:val="Body Text Bullets"/>
    <w:uiPriority w:val="1"/>
    <w:qFormat/>
    <w:rsid w:val="00E21690"/>
    <w:pPr>
      <w:numPr>
        <w:numId w:val="14"/>
      </w:numPr>
      <w:spacing w:after="120"/>
      <w:contextualSpacing/>
    </w:pPr>
    <w:rPr>
      <w:rFonts w:eastAsia="Times New Roman" w:cs="Arial"/>
      <w:noProof/>
      <w:szCs w:val="24"/>
      <w:lang w:val="en-AU" w:eastAsia="en-AU"/>
    </w:rPr>
  </w:style>
  <w:style w:type="numbering" w:customStyle="1" w:styleId="AHPRAListBullets">
    <w:name w:val="AHPRA List Bullets"/>
    <w:uiPriority w:val="99"/>
    <w:rsid w:val="00E21690"/>
    <w:pPr>
      <w:numPr>
        <w:numId w:val="16"/>
      </w:numPr>
    </w:pPr>
  </w:style>
  <w:style w:type="paragraph" w:customStyle="1" w:styleId="Tableheadingwhite">
    <w:name w:val="Table heading white"/>
    <w:uiPriority w:val="4"/>
    <w:rsid w:val="00E21690"/>
    <w:pPr>
      <w:spacing w:before="80" w:after="80"/>
      <w:ind w:left="113" w:right="113"/>
    </w:pPr>
    <w:rPr>
      <w:rFonts w:eastAsia="Times New Roman" w:cs="Arial"/>
      <w:b/>
      <w:noProof/>
      <w:color w:val="FFFFFF"/>
      <w:lang w:val="en-AU" w:eastAsia="en-AU"/>
    </w:rPr>
  </w:style>
  <w:style w:type="paragraph" w:customStyle="1" w:styleId="Tabletext">
    <w:name w:val="Table text"/>
    <w:uiPriority w:val="4"/>
    <w:rsid w:val="00E21690"/>
    <w:pPr>
      <w:spacing w:before="80" w:after="80"/>
      <w:ind w:left="113" w:right="113"/>
    </w:pPr>
    <w:rPr>
      <w:rFonts w:cs="Arial"/>
      <w:noProof/>
      <w:lang w:val="en-AU"/>
    </w:rPr>
  </w:style>
  <w:style w:type="paragraph" w:styleId="BodyText">
    <w:name w:val="Body Text"/>
    <w:basedOn w:val="Normal"/>
    <w:link w:val="BodyTextChar"/>
    <w:qFormat/>
    <w:rsid w:val="00E21690"/>
    <w:pPr>
      <w:spacing w:before="200"/>
    </w:pPr>
    <w:rPr>
      <w:rFonts w:cs="Arial"/>
      <w:noProof/>
    </w:rPr>
  </w:style>
  <w:style w:type="character" w:customStyle="1" w:styleId="BodyTextChar">
    <w:name w:val="Body Text Char"/>
    <w:basedOn w:val="DefaultParagraphFont"/>
    <w:link w:val="BodyText"/>
    <w:rsid w:val="00E21690"/>
    <w:rPr>
      <w:rFonts w:cs="Arial"/>
      <w:noProof/>
      <w:szCs w:val="24"/>
      <w:lang w:val="en-AU"/>
    </w:rPr>
  </w:style>
  <w:style w:type="table" w:customStyle="1" w:styleId="AHPRATable1">
    <w:name w:val="AHPRA Table 1"/>
    <w:basedOn w:val="TableGrid"/>
    <w:uiPriority w:val="99"/>
    <w:qFormat/>
    <w:rsid w:val="00E2169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7CC2"/>
      </w:tcPr>
    </w:tblStylePr>
    <w:tblStylePr w:type="firstCol">
      <w:tblPr/>
      <w:tcPr>
        <w:shd w:val="clear" w:color="auto" w:fill="007CC2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styleId="Date">
    <w:name w:val="Date"/>
    <w:basedOn w:val="Normal"/>
    <w:next w:val="Normal"/>
    <w:link w:val="DateChar"/>
    <w:uiPriority w:val="1"/>
    <w:semiHidden/>
    <w:rsid w:val="00E21690"/>
    <w:pPr>
      <w:spacing w:after="0"/>
      <w:jc w:val="both"/>
    </w:pPr>
    <w:rPr>
      <w:rFonts w:eastAsia="Times New Roman" w:cs="Arial"/>
      <w:noProof/>
      <w:lang w:eastAsia="en-AU"/>
    </w:rPr>
  </w:style>
  <w:style w:type="character" w:customStyle="1" w:styleId="DateChar">
    <w:name w:val="Date Char"/>
    <w:basedOn w:val="DefaultParagraphFont"/>
    <w:link w:val="Date"/>
    <w:uiPriority w:val="1"/>
    <w:semiHidden/>
    <w:rsid w:val="00E21690"/>
    <w:rPr>
      <w:rFonts w:eastAsia="Times New Roman" w:cs="Arial"/>
      <w:noProof/>
      <w:szCs w:val="24"/>
      <w:lang w:val="en-AU" w:eastAsia="en-AU"/>
    </w:rPr>
  </w:style>
  <w:style w:type="paragraph" w:styleId="ListNumber">
    <w:name w:val="List Number"/>
    <w:uiPriority w:val="2"/>
    <w:rsid w:val="00E21690"/>
    <w:pPr>
      <w:numPr>
        <w:numId w:val="15"/>
      </w:numPr>
      <w:spacing w:after="120"/>
      <w:contextualSpacing/>
    </w:pPr>
    <w:rPr>
      <w:rFonts w:eastAsia="Times New Roman"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rsid w:val="00E21690"/>
    <w:pPr>
      <w:numPr>
        <w:ilvl w:val="1"/>
        <w:numId w:val="15"/>
      </w:numPr>
      <w:spacing w:after="120"/>
      <w:contextualSpacing/>
      <w:jc w:val="both"/>
    </w:pPr>
    <w:rPr>
      <w:rFonts w:eastAsia="Times New Roman" w:cs="Arial"/>
      <w:noProof/>
      <w:lang w:eastAsia="en-AU"/>
    </w:rPr>
  </w:style>
  <w:style w:type="paragraph" w:styleId="ListNumber3">
    <w:name w:val="List Number 3"/>
    <w:basedOn w:val="Normal"/>
    <w:uiPriority w:val="1"/>
    <w:rsid w:val="00E21690"/>
    <w:pPr>
      <w:numPr>
        <w:ilvl w:val="2"/>
        <w:numId w:val="15"/>
      </w:numPr>
      <w:spacing w:after="120"/>
      <w:contextualSpacing/>
      <w:jc w:val="both"/>
    </w:pPr>
    <w:rPr>
      <w:rFonts w:eastAsia="Times New Roman" w:cs="Arial"/>
      <w:noProof/>
      <w:lang w:eastAsia="en-AU"/>
    </w:rPr>
  </w:style>
  <w:style w:type="paragraph" w:styleId="Title">
    <w:name w:val="Title"/>
    <w:basedOn w:val="BodyText"/>
    <w:next w:val="Normal"/>
    <w:link w:val="TitleChar"/>
    <w:uiPriority w:val="99"/>
    <w:rsid w:val="00E21690"/>
    <w:pPr>
      <w:framePr w:hSpace="181" w:wrap="around" w:vAnchor="page" w:hAnchor="page" w:y="3573"/>
      <w:spacing w:before="0" w:after="0"/>
    </w:pPr>
    <w:rPr>
      <w:color w:val="007CC2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E21690"/>
    <w:rPr>
      <w:rFonts w:cs="Arial"/>
      <w:noProof/>
      <w:color w:val="007CC2"/>
      <w:sz w:val="32"/>
      <w:szCs w:val="24"/>
      <w:lang w:val="en-AU"/>
    </w:rPr>
  </w:style>
  <w:style w:type="paragraph" w:styleId="Subtitle">
    <w:name w:val="Subtitle"/>
    <w:basedOn w:val="Heading1"/>
    <w:next w:val="BodyText"/>
    <w:link w:val="SubtitleChar"/>
    <w:uiPriority w:val="99"/>
    <w:rsid w:val="00E21690"/>
    <w:pPr>
      <w:spacing w:before="360" w:after="360"/>
    </w:pPr>
    <w:rPr>
      <w:rFonts w:ascii="Arial" w:eastAsia="Cambria" w:hAnsi="Arial" w:cs="Times New Roman"/>
      <w:b w:val="0"/>
      <w:bCs w:val="0"/>
      <w:noProof/>
      <w:color w:val="5F6062"/>
      <w:kern w:val="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21690"/>
    <w:rPr>
      <w:noProof/>
      <w:color w:val="5F6062"/>
      <w:sz w:val="32"/>
      <w:szCs w:val="24"/>
      <w:lang w:val="en-AU"/>
    </w:rPr>
  </w:style>
  <w:style w:type="character" w:styleId="PlaceholderText">
    <w:name w:val="Placeholder Text"/>
    <w:basedOn w:val="DefaultParagraphFont"/>
    <w:uiPriority w:val="1"/>
    <w:unhideWhenUsed/>
    <w:rsid w:val="00E21690"/>
    <w:rPr>
      <w:color w:val="808080"/>
    </w:rPr>
  </w:style>
  <w:style w:type="paragraph" w:customStyle="1" w:styleId="BodyTextBullets2">
    <w:name w:val="Body Text Bullets 2"/>
    <w:basedOn w:val="BodyTextBullets"/>
    <w:qFormat/>
    <w:rsid w:val="00E21690"/>
    <w:pPr>
      <w:numPr>
        <w:ilvl w:val="1"/>
      </w:numPr>
    </w:pPr>
  </w:style>
  <w:style w:type="paragraph" w:customStyle="1" w:styleId="BodyTextBullets3">
    <w:name w:val="Body Text Bullets 3"/>
    <w:basedOn w:val="BodyTextBullets"/>
    <w:qFormat/>
    <w:rsid w:val="00E21690"/>
    <w:pPr>
      <w:numPr>
        <w:ilvl w:val="2"/>
      </w:numPr>
    </w:pPr>
  </w:style>
  <w:style w:type="paragraph" w:customStyle="1" w:styleId="ListBullet1a">
    <w:name w:val="List Bullet 1a"/>
    <w:qFormat/>
    <w:rsid w:val="00E21690"/>
    <w:pPr>
      <w:numPr>
        <w:numId w:val="16"/>
      </w:numPr>
      <w:spacing w:after="120"/>
      <w:contextualSpacing/>
    </w:pPr>
    <w:rPr>
      <w:rFonts w:cs="Arial"/>
      <w:noProof/>
      <w:szCs w:val="24"/>
      <w:lang w:val="en-AU"/>
    </w:rPr>
  </w:style>
  <w:style w:type="paragraph" w:customStyle="1" w:styleId="ListBullet1b">
    <w:name w:val="List Bullet 1b"/>
    <w:qFormat/>
    <w:rsid w:val="00E21690"/>
    <w:pPr>
      <w:numPr>
        <w:ilvl w:val="3"/>
        <w:numId w:val="16"/>
      </w:numPr>
      <w:spacing w:after="120"/>
      <w:ind w:left="1106" w:hanging="369"/>
      <w:contextualSpacing/>
    </w:pPr>
    <w:rPr>
      <w:rFonts w:cs="Arial"/>
      <w:noProof/>
      <w:szCs w:val="24"/>
      <w:lang w:val="en-AU"/>
    </w:rPr>
  </w:style>
  <w:style w:type="paragraph" w:customStyle="1" w:styleId="ListBullet1c">
    <w:name w:val="List Bullet 1c"/>
    <w:qFormat/>
    <w:rsid w:val="00E21690"/>
    <w:pPr>
      <w:numPr>
        <w:ilvl w:val="6"/>
        <w:numId w:val="16"/>
      </w:numPr>
      <w:spacing w:after="120"/>
      <w:ind w:left="1474"/>
      <w:contextualSpacing/>
    </w:pPr>
    <w:rPr>
      <w:rFonts w:cs="Arial"/>
      <w:noProof/>
      <w:szCs w:val="24"/>
      <w:lang w:val="en-AU"/>
    </w:rPr>
  </w:style>
  <w:style w:type="paragraph" w:customStyle="1" w:styleId="StyleAHPRAtableheadingBackground1">
    <w:name w:val="Style AHPRA table heading + Background 1"/>
    <w:basedOn w:val="AHPRAtableheading"/>
    <w:rsid w:val="00E21690"/>
    <w:rPr>
      <w:bCs/>
    </w:rPr>
  </w:style>
  <w:style w:type="paragraph" w:customStyle="1" w:styleId="StyleAHPRADocumenttitleAfter0pt">
    <w:name w:val="Style AHPRA Document title + After:  0 pt"/>
    <w:basedOn w:val="AHPRADocumenttitle"/>
    <w:next w:val="AHPRAbody"/>
    <w:rsid w:val="00E21690"/>
    <w:rPr>
      <w:rFonts w:eastAsia="Times New Roman" w:cs="Times New Roman"/>
      <w:szCs w:val="20"/>
    </w:rPr>
  </w:style>
  <w:style w:type="paragraph" w:styleId="TOC7">
    <w:name w:val="toc 7"/>
    <w:basedOn w:val="Normal"/>
    <w:next w:val="Normal"/>
    <w:autoRedefine/>
    <w:uiPriority w:val="1"/>
    <w:semiHidden/>
    <w:unhideWhenUsed/>
    <w:rsid w:val="00B1443A"/>
    <w:pPr>
      <w:spacing w:after="100"/>
      <w:ind w:left="1200"/>
    </w:pPr>
  </w:style>
  <w:style w:type="character" w:styleId="UnresolvedMention">
    <w:name w:val="Unresolved Mention"/>
    <w:basedOn w:val="DefaultParagraphFont"/>
    <w:uiPriority w:val="99"/>
    <w:semiHidden/>
    <w:unhideWhenUsed/>
    <w:rsid w:val="00A76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unhideWhenUsed/>
    <w:rsid w:val="000C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ntalboard.gov.au/Accreditatio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ow\OneDrive%20-%20Australian%20Health%20Practitioner%20Regulation%20Agency\cmba%20spf%20-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3" ma:contentTypeDescription="Create a new document." ma:contentTypeScope="" ma:versionID="ffd8e21d008d19511b16550a14c671c7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6e2e4cf0bac31db5d46a1905d386b43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1494-78DA-4AD0-9E98-C0586F5BD3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0b1c92-5078-4f48-9f07-8ac9ba5b905d"/>
    <ds:schemaRef ds:uri="60e2ac08-e232-4add-ba3b-b6b56a49ca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F196B9-E69E-409C-B3F2-00F82C55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1EA4A-4C0A-4A7B-94BF-732F819B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87371-236D-48F6-AB24-64F72AF3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cmba spf - report</Template>
  <TotalTime>1</TotalTime>
  <Pages>5</Pages>
  <Words>966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for Supervised practice plan - Professional competencies of the newly qualified dental prosthetist</vt:lpstr>
    </vt:vector>
  </TitlesOfParts>
  <Company/>
  <LinksUpToDate>false</LinksUpToDate>
  <CharactersWithSpaces>7022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for Supervised practice plan - Professional competencies of the newly qualified dental prosthetist</dc:title>
  <dc:subject>Template</dc:subject>
  <dc:creator>Ahpra</dc:creator>
  <cp:lastModifiedBy>Sheryl Kamath</cp:lastModifiedBy>
  <cp:revision>2</cp:revision>
  <cp:lastPrinted>2012-02-10T00:45:00Z</cp:lastPrinted>
  <dcterms:created xsi:type="dcterms:W3CDTF">2022-01-13T05:26:00Z</dcterms:created>
  <dcterms:modified xsi:type="dcterms:W3CDTF">2022-01-13T05:26:00Z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  <property fmtid="{D5CDD505-2E9C-101B-9397-08002B2CF9AE}" pid="3" name="Refiners">
    <vt:lpwstr>75;#AHPRA|4c722da7-77f9-475a-a7b3-79fdcd2e4fb1</vt:lpwstr>
  </property>
  <property fmtid="{D5CDD505-2E9C-101B-9397-08002B2CF9AE}" pid="4" name="News Owner">
    <vt:lpwstr/>
  </property>
</Properties>
</file>