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0596" w14:textId="3E53F5BD" w:rsidR="00E338FD" w:rsidRDefault="00E338FD" w:rsidP="00E338FD">
      <w:pPr>
        <w:outlineLvl w:val="0"/>
        <w:rPr>
          <w:lang w:val="en-US"/>
        </w:rPr>
      </w:pPr>
      <w:bookmarkStart w:id="0" w:name="_GoBack"/>
      <w:bookmarkEnd w:id="0"/>
      <w:r>
        <w:rPr>
          <w:b/>
          <w:bCs/>
          <w:lang w:val="en-US"/>
        </w:rPr>
        <w:t>From:</w:t>
      </w:r>
      <w:r>
        <w:rPr>
          <w:lang w:val="en-US"/>
        </w:rPr>
        <w:t xml:space="preserve"> Eithne Irving </w:t>
      </w:r>
      <w:r w:rsidR="008E06E8" w:rsidRPr="00DD40C2">
        <w:rPr>
          <w:highlight w:val="black"/>
        </w:rPr>
        <w:t>[content redacted]</w:t>
      </w:r>
      <w:r>
        <w:rPr>
          <w:lang w:val="en-US"/>
        </w:rPr>
        <w:br/>
      </w:r>
      <w:r>
        <w:rPr>
          <w:b/>
          <w:bCs/>
          <w:lang w:val="en-US"/>
        </w:rPr>
        <w:t>Sent:</w:t>
      </w:r>
      <w:r>
        <w:rPr>
          <w:lang w:val="en-US"/>
        </w:rPr>
        <w:t xml:space="preserve"> Friday, 21 May 2021 12:51 PM</w:t>
      </w:r>
      <w:r>
        <w:rPr>
          <w:lang w:val="en-US"/>
        </w:rPr>
        <w:br/>
      </w:r>
      <w:r>
        <w:rPr>
          <w:b/>
          <w:bCs/>
          <w:lang w:val="en-US"/>
        </w:rPr>
        <w:t>To:</w:t>
      </w:r>
      <w:r>
        <w:rPr>
          <w:lang w:val="en-US"/>
        </w:rPr>
        <w:t xml:space="preserve"> Nick Lord </w:t>
      </w:r>
      <w:r w:rsidR="008E06E8" w:rsidRPr="00DD40C2">
        <w:rPr>
          <w:highlight w:val="black"/>
        </w:rPr>
        <w:t>[content redacted]</w:t>
      </w:r>
      <w:r>
        <w:rPr>
          <w:lang w:val="en-US"/>
        </w:rPr>
        <w:br/>
      </w:r>
      <w:r>
        <w:rPr>
          <w:b/>
          <w:bCs/>
          <w:lang w:val="en-US"/>
        </w:rPr>
        <w:t>Subject:</w:t>
      </w:r>
      <w:r>
        <w:rPr>
          <w:lang w:val="en-US"/>
        </w:rPr>
        <w:t xml:space="preserve"> Regulatory principles</w:t>
      </w:r>
    </w:p>
    <w:p w14:paraId="2E6006E9" w14:textId="77777777" w:rsidR="00E338FD" w:rsidRDefault="00E338FD" w:rsidP="00E338FD">
      <w:pPr>
        <w:rPr>
          <w:lang w:val="en-US"/>
        </w:rPr>
      </w:pPr>
    </w:p>
    <w:p w14:paraId="34F5F40F" w14:textId="77777777" w:rsidR="00E338FD" w:rsidRDefault="00E338FD" w:rsidP="00E338FD">
      <w:pPr>
        <w:shd w:val="clear" w:color="auto" w:fill="FFEB9C"/>
        <w:spacing w:line="240" w:lineRule="atLeast"/>
        <w:rPr>
          <w:color w:val="000000"/>
          <w:sz w:val="20"/>
          <w:szCs w:val="20"/>
          <w:lang w:val="en-GB"/>
        </w:rPr>
      </w:pPr>
      <w:r>
        <w:rPr>
          <w:color w:val="9C6500"/>
          <w:sz w:val="20"/>
          <w:szCs w:val="20"/>
          <w:lang w:val="en-GB"/>
        </w:rPr>
        <w:t>CAUTION:</w:t>
      </w:r>
      <w:r>
        <w:rPr>
          <w:color w:val="000000"/>
          <w:sz w:val="20"/>
          <w:szCs w:val="20"/>
          <w:lang w:val="en-GB"/>
        </w:rPr>
        <w:t xml:space="preserve"> This email originated from outside of the organization. Do not click links or open attachments unless you recognize the sender and know the content is safe.</w:t>
      </w:r>
    </w:p>
    <w:p w14:paraId="5AA0AE00" w14:textId="77777777" w:rsidR="00E338FD" w:rsidRDefault="00E338FD" w:rsidP="00E338FD">
      <w:pPr>
        <w:rPr>
          <w:lang w:val="en-GB"/>
        </w:rPr>
      </w:pPr>
    </w:p>
    <w:p w14:paraId="61402BEF" w14:textId="77777777" w:rsidR="00E338FD" w:rsidRDefault="00E338FD" w:rsidP="00E338FD">
      <w:pPr>
        <w:rPr>
          <w:lang w:val="en-GB"/>
        </w:rPr>
      </w:pPr>
      <w:r>
        <w:rPr>
          <w:lang w:val="en-GB"/>
        </w:rPr>
        <w:t>Hi Nick</w:t>
      </w:r>
    </w:p>
    <w:p w14:paraId="75E26C47" w14:textId="77777777" w:rsidR="00E338FD" w:rsidRDefault="00E338FD" w:rsidP="00E338FD">
      <w:pPr>
        <w:rPr>
          <w:lang w:val="en-GB"/>
        </w:rPr>
      </w:pPr>
      <w:r>
        <w:rPr>
          <w:lang w:val="en-GB"/>
        </w:rPr>
        <w:t>I seem to have let the 18</w:t>
      </w:r>
      <w:r>
        <w:rPr>
          <w:vertAlign w:val="superscript"/>
          <w:lang w:val="en-GB"/>
        </w:rPr>
        <w:t>th</w:t>
      </w:r>
      <w:r>
        <w:rPr>
          <w:lang w:val="en-GB"/>
        </w:rPr>
        <w:t xml:space="preserve"> May slip past without providing further input to the consultation on revised regulatory principles for the National Scheme.</w:t>
      </w:r>
    </w:p>
    <w:p w14:paraId="0A60D4AF" w14:textId="77777777" w:rsidR="00E338FD" w:rsidRDefault="00E338FD" w:rsidP="00E338FD">
      <w:pPr>
        <w:rPr>
          <w:lang w:val="en-GB"/>
        </w:rPr>
      </w:pPr>
      <w:r>
        <w:rPr>
          <w:lang w:val="en-GB"/>
        </w:rPr>
        <w:t>Hoping these can still be taken into consideration.</w:t>
      </w:r>
    </w:p>
    <w:p w14:paraId="3FCBFED6" w14:textId="77777777" w:rsidR="00E338FD" w:rsidRDefault="00E338FD" w:rsidP="00E338FD">
      <w:pPr>
        <w:rPr>
          <w:lang w:val="en-GB"/>
        </w:rPr>
      </w:pPr>
    </w:p>
    <w:p w14:paraId="0FFC399A" w14:textId="77777777" w:rsidR="00E338FD" w:rsidRDefault="00E338FD" w:rsidP="00E338FD">
      <w:pPr>
        <w:rPr>
          <w:sz w:val="24"/>
          <w:szCs w:val="24"/>
          <w:lang w:val="en-GB"/>
        </w:rPr>
      </w:pPr>
      <w:r>
        <w:rPr>
          <w:sz w:val="24"/>
          <w:szCs w:val="24"/>
          <w:lang w:val="en-GB"/>
        </w:rPr>
        <w:t xml:space="preserve">1. Do the draft revised regulatory principles reflect the policy directions issued by CoAG Health Council? If not, how could the principles be improved? </w:t>
      </w:r>
    </w:p>
    <w:p w14:paraId="5A3A84F6" w14:textId="77777777" w:rsidR="00E338FD" w:rsidRDefault="00E338FD" w:rsidP="00E338FD">
      <w:pPr>
        <w:rPr>
          <w:color w:val="0070C0"/>
          <w:sz w:val="24"/>
          <w:szCs w:val="24"/>
          <w:lang w:val="en-GB"/>
        </w:rPr>
      </w:pPr>
      <w:r>
        <w:rPr>
          <w:color w:val="0070C0"/>
          <w:sz w:val="24"/>
          <w:szCs w:val="24"/>
          <w:lang w:val="en-GB"/>
        </w:rPr>
        <w:t>Yes</w:t>
      </w:r>
    </w:p>
    <w:p w14:paraId="120BBE2B" w14:textId="77777777" w:rsidR="00E338FD" w:rsidRDefault="00E338FD" w:rsidP="00E338FD">
      <w:pPr>
        <w:rPr>
          <w:sz w:val="24"/>
          <w:szCs w:val="24"/>
          <w:lang w:val="en-GB"/>
        </w:rPr>
      </w:pPr>
      <w:r>
        <w:rPr>
          <w:sz w:val="24"/>
          <w:szCs w:val="24"/>
          <w:lang w:val="en-GB"/>
        </w:rPr>
        <w:t xml:space="preserve">2. Do the draft revised regulatory principles support Ahpra and the National Boards regulatory decisionmaking? If not, how could they be improved? </w:t>
      </w:r>
    </w:p>
    <w:p w14:paraId="678B2134" w14:textId="77777777" w:rsidR="00E338FD" w:rsidRDefault="00E338FD" w:rsidP="00E338FD">
      <w:pPr>
        <w:rPr>
          <w:color w:val="0070C0"/>
          <w:lang w:val="en-GB"/>
        </w:rPr>
      </w:pPr>
      <w:r>
        <w:rPr>
          <w:color w:val="0070C0"/>
          <w:sz w:val="24"/>
          <w:szCs w:val="24"/>
          <w:lang w:val="en-GB"/>
        </w:rPr>
        <w:t xml:space="preserve">Yes </w:t>
      </w:r>
    </w:p>
    <w:p w14:paraId="5F85C0D3" w14:textId="77777777" w:rsidR="00E338FD" w:rsidRDefault="00E338FD" w:rsidP="00E338FD">
      <w:pPr>
        <w:rPr>
          <w:sz w:val="24"/>
          <w:szCs w:val="24"/>
          <w:lang w:val="en-GB"/>
        </w:rPr>
      </w:pPr>
      <w:r>
        <w:rPr>
          <w:sz w:val="24"/>
          <w:szCs w:val="24"/>
          <w:lang w:val="en-GB"/>
        </w:rPr>
        <w:t>3. Is the content of the draft revised regulatory principles helpful, clear and relevant?</w:t>
      </w:r>
    </w:p>
    <w:p w14:paraId="29433EF0" w14:textId="77777777" w:rsidR="00E338FD" w:rsidRDefault="00E338FD" w:rsidP="00E338FD">
      <w:pPr>
        <w:rPr>
          <w:color w:val="0070C0"/>
          <w:lang w:val="en-GB"/>
        </w:rPr>
      </w:pPr>
      <w:r>
        <w:rPr>
          <w:color w:val="0070C0"/>
          <w:sz w:val="24"/>
          <w:szCs w:val="24"/>
          <w:lang w:val="en-GB"/>
        </w:rPr>
        <w:t>Yes</w:t>
      </w:r>
    </w:p>
    <w:p w14:paraId="13D24054" w14:textId="77777777" w:rsidR="00E338FD" w:rsidRDefault="00E338FD" w:rsidP="00E338FD">
      <w:pPr>
        <w:rPr>
          <w:sz w:val="24"/>
          <w:szCs w:val="24"/>
          <w:lang w:val="en-GB"/>
        </w:rPr>
      </w:pPr>
      <w:r>
        <w:rPr>
          <w:sz w:val="24"/>
          <w:szCs w:val="24"/>
          <w:lang w:val="en-GB"/>
        </w:rPr>
        <w:t xml:space="preserve">4. Is there any content that needs to be changed, added or deleted in the draft revised regulatory principles? </w:t>
      </w:r>
    </w:p>
    <w:p w14:paraId="03FA8068" w14:textId="77777777" w:rsidR="00E338FD" w:rsidRDefault="00E338FD" w:rsidP="00E338FD">
      <w:pPr>
        <w:rPr>
          <w:color w:val="0070C0"/>
          <w:sz w:val="24"/>
          <w:szCs w:val="24"/>
          <w:lang w:val="en-GB"/>
        </w:rPr>
      </w:pPr>
      <w:r>
        <w:rPr>
          <w:color w:val="0070C0"/>
          <w:sz w:val="24"/>
          <w:szCs w:val="24"/>
          <w:lang w:val="en-GB"/>
        </w:rPr>
        <w:t>Yes</w:t>
      </w:r>
    </w:p>
    <w:p w14:paraId="3C1CB780" w14:textId="77777777" w:rsidR="00E338FD" w:rsidRDefault="00E338FD" w:rsidP="00E338FD">
      <w:pPr>
        <w:pStyle w:val="Default"/>
        <w:spacing w:after="200"/>
        <w:rPr>
          <w:rFonts w:ascii="Calibri" w:hAnsi="Calibri" w:cs="Calibri"/>
          <w:color w:val="0070C0"/>
        </w:rPr>
      </w:pPr>
      <w:r>
        <w:rPr>
          <w:rFonts w:ascii="Calibri" w:hAnsi="Calibri" w:cs="Calibri"/>
          <w:color w:val="0070C0"/>
          <w:lang w:val="en-US"/>
        </w:rPr>
        <w:t xml:space="preserve">While ADA agrees with protecting the public, we have a concern with protecting practitioners too. </w:t>
      </w:r>
      <w:r>
        <w:rPr>
          <w:rFonts w:ascii="Calibri" w:hAnsi="Calibri" w:cs="Calibri"/>
          <w:color w:val="0070C0"/>
        </w:rPr>
        <w:t>We note there is a distinct conflict in “not designed to punish” and “the need to effectively deter other practitioners “. The National Law provides a mechanism that allows for immediate (swift) action to be taken to protect the public (under section 150 powers).  On occasion, regulatory action (including suspension) is found to be necessary and is taken to protect the public however it can be a long, difficult road for the practitioner to seek to obtain a review of a decision.  This has implications for a practitioner’s livelihood and can be reputationally and financially damaging. Equal weight should be provided for protections for practitioners and providing timely and responsive pathways for review.</w:t>
      </w:r>
    </w:p>
    <w:p w14:paraId="34B8794D" w14:textId="77777777" w:rsidR="00E338FD" w:rsidRDefault="00E338FD" w:rsidP="00E338FD">
      <w:pPr>
        <w:pStyle w:val="Default"/>
        <w:rPr>
          <w:rFonts w:ascii="Calibri" w:hAnsi="Calibri" w:cs="Calibri"/>
          <w:color w:val="0070C0"/>
        </w:rPr>
      </w:pPr>
    </w:p>
    <w:p w14:paraId="2412439C" w14:textId="77777777" w:rsidR="00E338FD" w:rsidRDefault="00E338FD" w:rsidP="00E338FD">
      <w:pPr>
        <w:pStyle w:val="Default"/>
        <w:rPr>
          <w:rFonts w:ascii="Calibri" w:hAnsi="Calibri" w:cs="Calibri"/>
          <w:color w:val="0070C0"/>
        </w:rPr>
      </w:pPr>
      <w:r>
        <w:rPr>
          <w:rFonts w:ascii="Calibri" w:hAnsi="Calibri" w:cs="Calibri"/>
          <w:color w:val="0070C0"/>
        </w:rPr>
        <w:t xml:space="preserve">Second, we recognise that the protection of the public is the highest priority for Ahpra and the National Boards and is the mandate upon which founding and guiding principles are established. Public protection can still be maintained whilst also providing greater protections and reasonableness of process to assist practitioners.  For example: </w:t>
      </w:r>
    </w:p>
    <w:p w14:paraId="6BB879D5" w14:textId="77777777" w:rsidR="00E338FD" w:rsidRDefault="00E338FD" w:rsidP="00E338FD">
      <w:pPr>
        <w:pStyle w:val="Default"/>
        <w:numPr>
          <w:ilvl w:val="0"/>
          <w:numId w:val="1"/>
        </w:numPr>
        <w:rPr>
          <w:rFonts w:ascii="Calibri" w:eastAsia="Times New Roman" w:hAnsi="Calibri" w:cs="Calibri"/>
          <w:color w:val="0070C0"/>
        </w:rPr>
      </w:pPr>
      <w:r>
        <w:rPr>
          <w:rFonts w:ascii="Calibri" w:eastAsia="Times New Roman" w:hAnsi="Calibri" w:cs="Calibri"/>
          <w:color w:val="0070C0"/>
        </w:rPr>
        <w:t xml:space="preserve">requiring complainants to provide their name and contact details when lodging a complaint as a show of good faith could be implemented such that penalties would apply for knowingly making vexatious or misleading statements.  </w:t>
      </w:r>
    </w:p>
    <w:p w14:paraId="1F26C922" w14:textId="77777777" w:rsidR="00E338FD" w:rsidRDefault="00E338FD" w:rsidP="00E338FD">
      <w:pPr>
        <w:pStyle w:val="Default"/>
        <w:numPr>
          <w:ilvl w:val="0"/>
          <w:numId w:val="1"/>
        </w:numPr>
        <w:rPr>
          <w:rFonts w:ascii="Calibri" w:eastAsia="Times New Roman" w:hAnsi="Calibri" w:cs="Calibri"/>
          <w:color w:val="0070C0"/>
        </w:rPr>
      </w:pPr>
      <w:r>
        <w:rPr>
          <w:rFonts w:ascii="Calibri" w:eastAsia="Times New Roman" w:hAnsi="Calibri" w:cs="Calibri"/>
          <w:color w:val="0070C0"/>
        </w:rPr>
        <w:t xml:space="preserve">a right of review is provided to complainants at each aspect of the decision-making pathway.  This should negate the requirement for a statutory authority to re-visit the same complaint on multiple occasions. </w:t>
      </w:r>
    </w:p>
    <w:p w14:paraId="2DFECE6E" w14:textId="77777777" w:rsidR="00E338FD" w:rsidRDefault="00E338FD" w:rsidP="00E338FD">
      <w:pPr>
        <w:pStyle w:val="Default"/>
        <w:rPr>
          <w:rFonts w:ascii="Calibri" w:hAnsi="Calibri" w:cs="Calibri"/>
          <w:color w:val="1F497D"/>
        </w:rPr>
      </w:pPr>
    </w:p>
    <w:p w14:paraId="23422AD4" w14:textId="77777777" w:rsidR="00E338FD" w:rsidRDefault="00E338FD" w:rsidP="00E338FD">
      <w:pPr>
        <w:rPr>
          <w:sz w:val="24"/>
          <w:szCs w:val="24"/>
          <w:lang w:val="en-GB"/>
        </w:rPr>
      </w:pPr>
      <w:r>
        <w:rPr>
          <w:sz w:val="24"/>
          <w:szCs w:val="24"/>
          <w:lang w:val="en-GB"/>
        </w:rPr>
        <w:t>Thanks for allowing me some latitude with the date and apologies again.</w:t>
      </w:r>
    </w:p>
    <w:p w14:paraId="3C71CAD4" w14:textId="77777777" w:rsidR="00E338FD" w:rsidRDefault="00E338FD" w:rsidP="00E338FD">
      <w:pPr>
        <w:pStyle w:val="Default"/>
        <w:rPr>
          <w:rFonts w:ascii="Calibri" w:hAnsi="Calibri" w:cs="Calibri"/>
          <w:color w:val="70AD47"/>
        </w:rPr>
      </w:pPr>
    </w:p>
    <w:p w14:paraId="747EE940" w14:textId="77777777" w:rsidR="00E338FD" w:rsidRDefault="00E338FD" w:rsidP="00E338FD">
      <w:pPr>
        <w:rPr>
          <w:lang w:val="en-GB"/>
        </w:rPr>
      </w:pPr>
      <w:r>
        <w:rPr>
          <w:lang w:val="en-GB"/>
        </w:rPr>
        <w:t>Eithne</w:t>
      </w:r>
    </w:p>
    <w:p w14:paraId="43C72BF8" w14:textId="77777777" w:rsidR="00E338FD" w:rsidRDefault="00E338FD" w:rsidP="00E338FD">
      <w:pPr>
        <w:rPr>
          <w:lang w:val="en-GB"/>
        </w:rPr>
      </w:pPr>
    </w:p>
    <w:p w14:paraId="4AEE9C57" w14:textId="77777777" w:rsidR="00E338FD" w:rsidRDefault="00E338FD" w:rsidP="00E338FD">
      <w:pPr>
        <w:rPr>
          <w:b/>
          <w:bCs/>
          <w:color w:val="262626"/>
          <w:lang w:val="en-US"/>
        </w:rPr>
      </w:pPr>
      <w:r>
        <w:rPr>
          <w:b/>
          <w:bCs/>
          <w:color w:val="262626"/>
          <w:lang w:val="en-US"/>
        </w:rPr>
        <w:t>Eithne Irving</w:t>
      </w:r>
    </w:p>
    <w:p w14:paraId="3EF087E1" w14:textId="77777777" w:rsidR="00E338FD" w:rsidRDefault="00E338FD" w:rsidP="00E338FD">
      <w:pPr>
        <w:spacing w:after="240"/>
        <w:rPr>
          <w:rFonts w:ascii="Verdana" w:hAnsi="Verdana"/>
          <w:color w:val="262626"/>
          <w:sz w:val="20"/>
          <w:szCs w:val="20"/>
          <w:lang w:val="en-US"/>
        </w:rPr>
      </w:pPr>
      <w:r>
        <w:rPr>
          <w:color w:val="262626"/>
          <w:lang w:val="en-US"/>
        </w:rPr>
        <w:t>Deputy CEO</w:t>
      </w:r>
      <w:r>
        <w:rPr>
          <w:color w:val="262626"/>
          <w:lang w:val="en-US"/>
        </w:rPr>
        <w:br/>
        <w:t>General Manager, Policy &amp; Advocacy</w:t>
      </w:r>
      <w:r>
        <w:rPr>
          <w:color w:val="262626"/>
          <w:lang w:val="en-US"/>
        </w:rPr>
        <w:br/>
        <w:t>Australian Dental Association</w:t>
      </w:r>
    </w:p>
    <w:p w14:paraId="2C998726" w14:textId="43FF5FDB" w:rsidR="00E338FD" w:rsidRDefault="00E338FD" w:rsidP="00E338FD">
      <w:pPr>
        <w:rPr>
          <w:color w:val="262626"/>
          <w:sz w:val="18"/>
          <w:szCs w:val="18"/>
          <w:lang w:val="fr-FR"/>
        </w:rPr>
      </w:pPr>
      <w:r>
        <w:rPr>
          <w:b/>
          <w:bCs/>
          <w:color w:val="262626"/>
          <w:sz w:val="18"/>
          <w:szCs w:val="18"/>
          <w:lang w:val="fr-FR"/>
        </w:rPr>
        <w:t>T</w:t>
      </w:r>
      <w:r>
        <w:rPr>
          <w:color w:val="262626"/>
          <w:sz w:val="18"/>
          <w:szCs w:val="18"/>
          <w:lang w:val="fr-FR"/>
        </w:rPr>
        <w:t xml:space="preserve"> | </w:t>
      </w:r>
      <w:r w:rsidR="008E06E8" w:rsidRPr="00DD40C2">
        <w:rPr>
          <w:highlight w:val="black"/>
        </w:rPr>
        <w:t>[content redacted]</w:t>
      </w:r>
      <w:r w:rsidR="008E06E8" w:rsidRPr="00DD40C2">
        <w:t xml:space="preserve"> </w:t>
      </w:r>
      <w:r>
        <w:rPr>
          <w:b/>
          <w:bCs/>
          <w:color w:val="262626"/>
          <w:sz w:val="18"/>
          <w:szCs w:val="18"/>
          <w:lang w:val="fr-FR"/>
        </w:rPr>
        <w:t>F</w:t>
      </w:r>
      <w:r>
        <w:rPr>
          <w:color w:val="262626"/>
          <w:sz w:val="18"/>
          <w:szCs w:val="18"/>
          <w:lang w:val="fr-FR"/>
        </w:rPr>
        <w:t xml:space="preserve"> | </w:t>
      </w:r>
      <w:r w:rsidR="008E06E8" w:rsidRPr="00DD40C2">
        <w:rPr>
          <w:highlight w:val="black"/>
        </w:rPr>
        <w:t>[content redacted]</w:t>
      </w:r>
      <w:r w:rsidR="008E06E8" w:rsidRPr="00DD40C2">
        <w:t xml:space="preserve"> </w:t>
      </w:r>
      <w:r>
        <w:rPr>
          <w:b/>
          <w:bCs/>
          <w:color w:val="262626"/>
          <w:sz w:val="18"/>
          <w:szCs w:val="18"/>
          <w:lang w:val="fr-FR"/>
        </w:rPr>
        <w:t>M</w:t>
      </w:r>
      <w:r>
        <w:rPr>
          <w:color w:val="262626"/>
          <w:sz w:val="18"/>
          <w:szCs w:val="18"/>
          <w:lang w:val="fr-FR"/>
        </w:rPr>
        <w:t>|</w:t>
      </w:r>
      <w:r w:rsidR="008E06E8" w:rsidRPr="00DD40C2">
        <w:rPr>
          <w:highlight w:val="black"/>
        </w:rPr>
        <w:t>[content redacted]</w:t>
      </w:r>
    </w:p>
    <w:p w14:paraId="18E2906D" w14:textId="77777777" w:rsidR="00E338FD" w:rsidRDefault="00E338FD" w:rsidP="00E338FD">
      <w:pPr>
        <w:rPr>
          <w:color w:val="1F497D"/>
        </w:rPr>
      </w:pPr>
      <w:r>
        <w:rPr>
          <w:color w:val="262626"/>
          <w:sz w:val="18"/>
          <w:szCs w:val="18"/>
          <w:lang w:val="en-US"/>
        </w:rPr>
        <w:t>14-16 Chandos Street St Leonards NSW 2065</w:t>
      </w:r>
    </w:p>
    <w:p w14:paraId="46CB7459" w14:textId="77777777" w:rsidR="00E338FD" w:rsidRDefault="00E338FD" w:rsidP="00E338FD">
      <w:pPr>
        <w:spacing w:after="240"/>
        <w:rPr>
          <w:color w:val="262626"/>
          <w:sz w:val="24"/>
          <w:szCs w:val="24"/>
          <w:lang w:val="en-US"/>
        </w:rPr>
      </w:pPr>
      <w:r>
        <w:rPr>
          <w:color w:val="262626"/>
          <w:sz w:val="18"/>
          <w:szCs w:val="18"/>
          <w:lang w:val="en-US"/>
        </w:rPr>
        <w:t xml:space="preserve">PO Box 520 St Leonards NSW 1590 </w:t>
      </w:r>
    </w:p>
    <w:p w14:paraId="063B5081" w14:textId="22EF5BB1" w:rsidR="00E338FD" w:rsidRDefault="00E338FD" w:rsidP="00E338FD">
      <w:pPr>
        <w:shd w:val="clear" w:color="auto" w:fill="FFFFFF"/>
        <w:rPr>
          <w:lang w:eastAsia="en-GB"/>
        </w:rPr>
      </w:pPr>
      <w:r>
        <w:rPr>
          <w:noProof/>
          <w:color w:val="0000FF"/>
          <w:sz w:val="18"/>
          <w:szCs w:val="18"/>
          <w:lang w:val="en-US" w:eastAsia="en-GB"/>
        </w:rPr>
        <w:drawing>
          <wp:inline distT="0" distB="0" distL="0" distR="0" wp14:anchorId="0877B188" wp14:editId="2121A623">
            <wp:extent cx="374650" cy="361950"/>
            <wp:effectExtent l="0" t="0" r="6350" b="0"/>
            <wp:docPr id="5" name="Picture 5" descr="cid:image001.png@01D74E51.30E2DAD0">
              <a:hlinkClick xmlns:a="http://schemas.openxmlformats.org/drawingml/2006/main" r:id="rId5" tooltip="&quot;https://www.facebook.com/AustralianDentalAssociati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Picture 2" descr="cid:image001.png@01D74E51.30E2DA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4650" cy="361950"/>
                    </a:xfrm>
                    <a:prstGeom prst="rect">
                      <a:avLst/>
                    </a:prstGeom>
                    <a:noFill/>
                    <a:ln>
                      <a:noFill/>
                    </a:ln>
                  </pic:spPr>
                </pic:pic>
              </a:graphicData>
            </a:graphic>
          </wp:inline>
        </w:drawing>
      </w:r>
      <w:r>
        <w:rPr>
          <w:color w:val="262626"/>
          <w:sz w:val="18"/>
          <w:szCs w:val="18"/>
          <w:lang w:val="en-US" w:eastAsia="en-GB"/>
        </w:rPr>
        <w:t> </w:t>
      </w:r>
      <w:r>
        <w:rPr>
          <w:noProof/>
          <w:color w:val="0000FF"/>
          <w:sz w:val="18"/>
          <w:szCs w:val="18"/>
          <w:lang w:val="en-US" w:eastAsia="en-GB"/>
        </w:rPr>
        <w:drawing>
          <wp:inline distT="0" distB="0" distL="0" distR="0" wp14:anchorId="72E25870" wp14:editId="5622C22D">
            <wp:extent cx="374650" cy="361950"/>
            <wp:effectExtent l="0" t="0" r="6350" b="0"/>
            <wp:docPr id="4" name="Picture 4" descr="cid:image002.png@01D74E51.30E2DAD0">
              <a:hlinkClick xmlns:a="http://schemas.openxmlformats.org/drawingml/2006/main" r:id="rId8" tooltip="https://www.twitter.com/aus_den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Picture 3" descr="cid:image002.png@01D74E51.30E2DA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650" cy="361950"/>
                    </a:xfrm>
                    <a:prstGeom prst="rect">
                      <a:avLst/>
                    </a:prstGeom>
                    <a:noFill/>
                    <a:ln>
                      <a:noFill/>
                    </a:ln>
                  </pic:spPr>
                </pic:pic>
              </a:graphicData>
            </a:graphic>
          </wp:inline>
        </w:drawing>
      </w:r>
      <w:r>
        <w:rPr>
          <w:color w:val="262626"/>
          <w:sz w:val="18"/>
          <w:szCs w:val="18"/>
          <w:lang w:val="en-US" w:eastAsia="en-GB"/>
        </w:rPr>
        <w:t> </w:t>
      </w:r>
      <w:r>
        <w:rPr>
          <w:noProof/>
          <w:color w:val="0000FF"/>
          <w:sz w:val="18"/>
          <w:szCs w:val="18"/>
          <w:lang w:val="en-US" w:eastAsia="en-GB"/>
        </w:rPr>
        <w:drawing>
          <wp:inline distT="0" distB="0" distL="0" distR="0" wp14:anchorId="7067BD11" wp14:editId="67ED5CD1">
            <wp:extent cx="355600" cy="355600"/>
            <wp:effectExtent l="0" t="0" r="6350" b="6350"/>
            <wp:docPr id="3" name="Picture 3" descr="cid:image003.png@01D74E51.30E2DAD0">
              <a:hlinkClick xmlns:a="http://schemas.openxmlformats.org/drawingml/2006/main" r:id="rId11" tooltip="&quot;https://www.instagram.com/australiandentalassociati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Picture 4" descr="cid:image003.png@01D74E51.30E2DA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color w:val="262626"/>
          <w:sz w:val="18"/>
          <w:szCs w:val="18"/>
          <w:lang w:val="en-US" w:eastAsia="en-GB"/>
        </w:rPr>
        <w:t> </w:t>
      </w:r>
      <w:r>
        <w:rPr>
          <w:noProof/>
          <w:color w:val="0000FF"/>
          <w:sz w:val="18"/>
          <w:szCs w:val="18"/>
          <w:lang w:val="en-US" w:eastAsia="en-GB"/>
        </w:rPr>
        <w:drawing>
          <wp:inline distT="0" distB="0" distL="0" distR="0" wp14:anchorId="56CD2318" wp14:editId="081A40B7">
            <wp:extent cx="374650" cy="374650"/>
            <wp:effectExtent l="0" t="0" r="6350" b="6350"/>
            <wp:docPr id="2" name="Picture 2" descr="cid:image004.png@01D74E51.30E2DAD0">
              <a:hlinkClick xmlns:a="http://schemas.openxmlformats.org/drawingml/2006/main" r:id="rId14" tooltip="&quot;https://www.linkedin.com/company/australian-dental-association-inc-/&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Picture 5" descr="cid:image004.png@01D74E51.30E2DA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p w14:paraId="2C8C13FF" w14:textId="77777777" w:rsidR="00E338FD" w:rsidRDefault="00E338FD" w:rsidP="00E338FD">
      <w:pPr>
        <w:shd w:val="clear" w:color="auto" w:fill="FFFFFF"/>
        <w:rPr>
          <w:lang w:eastAsia="en-GB"/>
        </w:rPr>
      </w:pPr>
      <w:r>
        <w:rPr>
          <w:color w:val="000000"/>
          <w:lang w:eastAsia="en-GB"/>
        </w:rPr>
        <w:t> </w:t>
      </w:r>
    </w:p>
    <w:p w14:paraId="14E7DAC8" w14:textId="09814C36" w:rsidR="00E338FD" w:rsidRDefault="00E338FD" w:rsidP="00E338FD">
      <w:pPr>
        <w:shd w:val="clear" w:color="auto" w:fill="FFFFFF"/>
        <w:rPr>
          <w:lang w:eastAsia="en-GB"/>
        </w:rPr>
      </w:pPr>
      <w:r>
        <w:rPr>
          <w:color w:val="262626"/>
          <w:sz w:val="18"/>
          <w:szCs w:val="18"/>
          <w:lang w:val="en-US" w:eastAsia="en-GB"/>
        </w:rPr>
        <w:t> </w:t>
      </w:r>
      <w:r>
        <w:rPr>
          <w:noProof/>
          <w:color w:val="0000FF"/>
          <w:sz w:val="18"/>
          <w:szCs w:val="18"/>
          <w:lang w:val="en-US" w:eastAsia="en-GB"/>
        </w:rPr>
        <w:drawing>
          <wp:inline distT="0" distB="0" distL="0" distR="0" wp14:anchorId="16C83B8B" wp14:editId="26E710EE">
            <wp:extent cx="5731510" cy="1322705"/>
            <wp:effectExtent l="0" t="0" r="2540" b="0"/>
            <wp:docPr id="1" name="Picture 1" descr="cid:image005.jpg@01D74E51.30E2DAD0">
              <a:hlinkClick xmlns:a="http://schemas.openxmlformats.org/drawingml/2006/main" r:id="rId17" tooltip="&quot;www.world-dental-congress.or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Picture 6" descr="cid:image005.jpg@01D74E51.30E2DA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31510" cy="1322705"/>
                    </a:xfrm>
                    <a:prstGeom prst="rect">
                      <a:avLst/>
                    </a:prstGeom>
                    <a:noFill/>
                    <a:ln>
                      <a:noFill/>
                    </a:ln>
                  </pic:spPr>
                </pic:pic>
              </a:graphicData>
            </a:graphic>
          </wp:inline>
        </w:drawing>
      </w:r>
    </w:p>
    <w:p w14:paraId="1DC0E687" w14:textId="77777777" w:rsidR="00E338FD" w:rsidRDefault="00E338FD" w:rsidP="00E338FD">
      <w:pPr>
        <w:shd w:val="clear" w:color="auto" w:fill="FFFFFF"/>
        <w:rPr>
          <w:lang w:eastAsia="en-GB"/>
        </w:rPr>
      </w:pPr>
      <w:r>
        <w:rPr>
          <w:color w:val="000000"/>
          <w:lang w:eastAsia="en-GB"/>
        </w:rPr>
        <w:t> </w:t>
      </w:r>
    </w:p>
    <w:p w14:paraId="0C58818B" w14:textId="77777777" w:rsidR="00E338FD" w:rsidRDefault="00E338FD" w:rsidP="00E338FD">
      <w:pPr>
        <w:shd w:val="clear" w:color="auto" w:fill="FFFFFF"/>
        <w:rPr>
          <w:lang w:eastAsia="en-GB"/>
        </w:rPr>
      </w:pPr>
      <w:r>
        <w:rPr>
          <w:rFonts w:ascii="Verdana" w:hAnsi="Verdana"/>
          <w:b/>
          <w:bCs/>
          <w:color w:val="808080"/>
          <w:sz w:val="14"/>
          <w:szCs w:val="14"/>
          <w:lang w:val="en-US" w:eastAsia="en-GB"/>
        </w:rPr>
        <w:t>PRIVATE &amp; CONFIDENTIAL</w:t>
      </w:r>
      <w:r>
        <w:rPr>
          <w:rFonts w:ascii="Verdana" w:hAnsi="Verdana"/>
          <w:color w:val="1F497D"/>
          <w:sz w:val="14"/>
          <w:szCs w:val="14"/>
          <w:lang w:val="en-US" w:eastAsia="en-GB"/>
        </w:rPr>
        <w:br/>
      </w:r>
      <w:r>
        <w:rPr>
          <w:rFonts w:ascii="Verdana" w:hAnsi="Verdana"/>
          <w:color w:val="808080"/>
          <w:sz w:val="14"/>
          <w:szCs w:val="14"/>
          <w:shd w:val="clear" w:color="auto" w:fill="FFFFFF"/>
          <w:lang w:val="en-US" w:eastAsia="en-GB"/>
        </w:rPr>
        <w:t>This e-mail may contain privileged or confidential information which is intended for the use of the addressee only.  If you receive this e-mail in error, please delete it from your system immediately and notify us at either the above e-mail address or on 02 8815 3333.  The ADA respects your </w:t>
      </w:r>
      <w:hyperlink r:id="rId20" w:tgtFrame="_blank" w:history="1">
        <w:r>
          <w:rPr>
            <w:rStyle w:val="Hyperlink"/>
            <w:rFonts w:ascii="Verdana" w:hAnsi="Verdana"/>
            <w:b/>
            <w:bCs/>
            <w:sz w:val="14"/>
            <w:szCs w:val="14"/>
            <w:bdr w:val="none" w:sz="0" w:space="0" w:color="auto" w:frame="1"/>
            <w:shd w:val="clear" w:color="auto" w:fill="FFFFFF"/>
            <w:lang w:val="en-US" w:eastAsia="en-GB"/>
          </w:rPr>
          <w:t>privacy</w:t>
        </w:r>
      </w:hyperlink>
      <w:r>
        <w:rPr>
          <w:rFonts w:ascii="Verdana" w:hAnsi="Verdana"/>
          <w:color w:val="808080"/>
          <w:sz w:val="14"/>
          <w:szCs w:val="14"/>
          <w:shd w:val="clear" w:color="auto" w:fill="FFFFFF"/>
          <w:lang w:val="en-US" w:eastAsia="en-GB"/>
        </w:rPr>
        <w:t>. When using email to communicate with the ADA, please be aware that all the information contained in your email is stored in a </w:t>
      </w:r>
      <w:r>
        <w:rPr>
          <w:rFonts w:ascii="Verdana" w:hAnsi="Verdana"/>
          <w:color w:val="808080"/>
          <w:sz w:val="14"/>
          <w:szCs w:val="14"/>
          <w:bdr w:val="none" w:sz="0" w:space="0" w:color="auto" w:frame="1"/>
          <w:shd w:val="clear" w:color="auto" w:fill="FFFFFF"/>
          <w:lang w:val="en-US" w:eastAsia="en-GB"/>
        </w:rPr>
        <w:t>secure environment.</w:t>
      </w:r>
      <w:r>
        <w:rPr>
          <w:rFonts w:ascii="Verdana" w:hAnsi="Verdana"/>
          <w:color w:val="808080"/>
          <w:sz w:val="14"/>
          <w:szCs w:val="14"/>
          <w:shd w:val="clear" w:color="auto" w:fill="FFFFFF"/>
          <w:lang w:val="en-US" w:eastAsia="en-GB"/>
        </w:rPr>
        <w:t>  Access to that information by ADA personnel is strictly limited and controlled.</w:t>
      </w:r>
    </w:p>
    <w:p w14:paraId="3A6E6353" w14:textId="77777777" w:rsidR="00E338FD" w:rsidRDefault="00E338FD" w:rsidP="00E338FD">
      <w:pPr>
        <w:rPr>
          <w:lang w:eastAsia="en-GB"/>
        </w:rPr>
      </w:pPr>
      <w:r>
        <w:rPr>
          <w:color w:val="000000"/>
          <w:sz w:val="24"/>
          <w:szCs w:val="24"/>
          <w:lang w:eastAsia="en-GB"/>
        </w:rPr>
        <w:t> </w:t>
      </w:r>
    </w:p>
    <w:p w14:paraId="37E538FA" w14:textId="77777777" w:rsidR="00E338FD" w:rsidRDefault="00E338FD" w:rsidP="00E338FD">
      <w:pPr>
        <w:rPr>
          <w:lang w:val="en-GB"/>
        </w:rPr>
      </w:pPr>
    </w:p>
    <w:p w14:paraId="6FC78FC8" w14:textId="77777777" w:rsidR="00E338FD" w:rsidRDefault="00E338FD" w:rsidP="00E338FD">
      <w:pPr>
        <w:rPr>
          <w:lang w:val="en-GB"/>
        </w:rPr>
      </w:pPr>
    </w:p>
    <w:p w14:paraId="55E3D800" w14:textId="77777777" w:rsidR="00E338FD" w:rsidRDefault="00E338FD" w:rsidP="00E338FD">
      <w:pPr>
        <w:pStyle w:val="NormalWeb"/>
        <w:rPr>
          <w:lang w:val="en-GB"/>
        </w:rPr>
      </w:pPr>
      <w:r>
        <w:rPr>
          <w:lang w:val="en-GB"/>
        </w:rPr>
        <w:t>Message protected by MailGuard: e-mail anti-virus, anti-spam and content filtering.</w:t>
      </w:r>
      <w:r>
        <w:rPr>
          <w:lang w:val="en-GB"/>
        </w:rPr>
        <w:br/>
      </w:r>
      <w:hyperlink r:id="rId21" w:history="1">
        <w:r>
          <w:rPr>
            <w:rStyle w:val="Hyperlink"/>
            <w:lang w:val="en-GB"/>
          </w:rPr>
          <w:t>http://www.mailguard.com.au/mg</w:t>
        </w:r>
      </w:hyperlink>
    </w:p>
    <w:p w14:paraId="5EA656DB" w14:textId="77777777" w:rsidR="00E75973" w:rsidRDefault="00E75973"/>
    <w:sectPr w:rsidR="00E75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F6B0C"/>
    <w:multiLevelType w:val="hybridMultilevel"/>
    <w:tmpl w:val="EEFE2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E4"/>
    <w:rsid w:val="005E09E4"/>
    <w:rsid w:val="008E06E8"/>
    <w:rsid w:val="00C82E1A"/>
    <w:rsid w:val="00E338FD"/>
    <w:rsid w:val="00E75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C130E-625A-4CA6-AD33-DBF32123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8FD"/>
    <w:pPr>
      <w:spacing w:after="0" w:line="240" w:lineRule="auto"/>
    </w:pPr>
    <w:rPr>
      <w:rFonts w:ascii="Calibri" w:hAnsi="Calibri" w:cs="Calibri"/>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8FD"/>
    <w:rPr>
      <w:color w:val="0563C1"/>
      <w:u w:val="single"/>
    </w:rPr>
  </w:style>
  <w:style w:type="paragraph" w:styleId="NormalWeb">
    <w:name w:val="Normal (Web)"/>
    <w:basedOn w:val="Normal"/>
    <w:uiPriority w:val="99"/>
    <w:semiHidden/>
    <w:unhideWhenUsed/>
    <w:rsid w:val="00E338FD"/>
    <w:pPr>
      <w:spacing w:before="100" w:beforeAutospacing="1" w:after="100" w:afterAutospacing="1"/>
    </w:pPr>
  </w:style>
  <w:style w:type="paragraph" w:customStyle="1" w:styleId="Default">
    <w:name w:val="Default"/>
    <w:basedOn w:val="Normal"/>
    <w:uiPriority w:val="99"/>
    <w:semiHidden/>
    <w:rsid w:val="00E338FD"/>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33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F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KOD9C91W6GfkqW18IEMEqN?domain=twitter.com" TargetMode="External"/><Relationship Id="rId13" Type="http://schemas.openxmlformats.org/officeDocument/2006/relationships/image" Target="cid:image003.png@01D74E51.30E2DAD0"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protect-au.mimecast.com/s/LmN_CmO5R8Cjlo2vI3dj4W?domain=mailguard.com.au" TargetMode="External"/><Relationship Id="rId7" Type="http://schemas.openxmlformats.org/officeDocument/2006/relationships/image" Target="cid:image001.png@01D74E51.30E2DAD0" TargetMode="External"/><Relationship Id="rId12" Type="http://schemas.openxmlformats.org/officeDocument/2006/relationships/image" Target="media/image3.png"/><Relationship Id="rId17" Type="http://schemas.openxmlformats.org/officeDocument/2006/relationships/hyperlink" Target="https://protect-au.mimecast.com/s/_AmHCjZ1Q5fnm49gt1K-7y?domain=world-dental-congress.org/" TargetMode="External"/><Relationship Id="rId2" Type="http://schemas.openxmlformats.org/officeDocument/2006/relationships/styles" Target="styles.xml"/><Relationship Id="rId16" Type="http://schemas.openxmlformats.org/officeDocument/2006/relationships/image" Target="cid:image004.png@01D74E51.30E2DAD0" TargetMode="External"/><Relationship Id="rId20" Type="http://schemas.openxmlformats.org/officeDocument/2006/relationships/hyperlink" Target="https://protect-au.mimecast.com/s/xAZKCk81QBfOByNgu8kMWi?domain=ada.org.a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otect-au.mimecast.com/s/3TnOC0YKqEiGBX8jI2fyo2?domain=instagram.com/" TargetMode="External"/><Relationship Id="rId5" Type="http://schemas.openxmlformats.org/officeDocument/2006/relationships/hyperlink" Target="https://protect-au.mimecast.com/s/qG7fC81V8Wf6q5r9Hndz3B?domain=facebook.com"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cid:image002.png@01D74E51.30E2DAD0" TargetMode="External"/><Relationship Id="rId19" Type="http://schemas.openxmlformats.org/officeDocument/2006/relationships/image" Target="cid:image005.jpg@01D74E51.30E2DA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otect-au.mimecast.com/s/wEttCgZ0Y8fAy1k8T3YPWI?domain=linkedi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 Public consultation on revised Regulatory principles for the National Scheme - Australian Dental Association</vt:lpstr>
    </vt:vector>
  </TitlesOfParts>
  <Company>AHPRA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revised Regulatory principles for the National Scheme - Australian Dental Association</dc:title>
  <dc:subject>Submission</dc:subject>
  <dc:creator>Ahpra</dc:creator>
  <cp:keywords/>
  <dc:description/>
  <cp:lastModifiedBy>Emily Marshall</cp:lastModifiedBy>
  <cp:revision>4</cp:revision>
  <dcterms:created xsi:type="dcterms:W3CDTF">2021-05-27T22:45:00Z</dcterms:created>
  <dcterms:modified xsi:type="dcterms:W3CDTF">2021-09-27T05:53:00Z</dcterms:modified>
</cp:coreProperties>
</file>