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75357733"/>
    <w:bookmarkStart w:id="1" w:name="_Toc75357903"/>
    <w:p w14:paraId="3D880494" w14:textId="3617F9F8" w:rsidR="001025A5" w:rsidRPr="00C3795C" w:rsidRDefault="001025A5" w:rsidP="001025A5">
      <w:pPr>
        <w:pStyle w:val="AHPRADocumenttitle"/>
      </w:pPr>
      <w:r>
        <w:rPr>
          <w:noProof/>
        </w:rPr>
        <mc:AlternateContent>
          <mc:Choice Requires="wps">
            <w:drawing>
              <wp:anchor distT="0" distB="0" distL="114300" distR="114300" simplePos="0" relativeHeight="251658241" behindDoc="0" locked="0" layoutInCell="1" allowOverlap="1" wp14:anchorId="26247131" wp14:editId="5F172CF5">
                <wp:simplePos x="0" y="0"/>
                <wp:positionH relativeFrom="column">
                  <wp:posOffset>-802005</wp:posOffset>
                </wp:positionH>
                <wp:positionV relativeFrom="paragraph">
                  <wp:posOffset>462915</wp:posOffset>
                </wp:positionV>
                <wp:extent cx="3220085" cy="0"/>
                <wp:effectExtent l="8890" t="10795" r="952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CBFB6" id="_x0000_t32" coordsize="21600,21600" o:spt="32" o:oned="t" path="m,l21600,21600e" filled="f">
                <v:path arrowok="t" fillok="f" o:connecttype="none"/>
                <o:lock v:ext="edit" shapetype="t"/>
              </v:shapetype>
              <v:shape id="AutoShape 3" o:spid="_x0000_s1026" type="#_x0000_t32" style="position:absolute;margin-left:-63.15pt;margin-top:36.45pt;width:253.5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fZ2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"/>
            </w:pict>
          </mc:Fallback>
        </mc:AlternateContent>
      </w:r>
      <w:r>
        <w:rPr>
          <w:noProof/>
        </w:rPr>
        <w:t>Public consultation</w:t>
      </w:r>
      <w:bookmarkEnd w:id="0"/>
      <w:bookmarkEnd w:id="1"/>
    </w:p>
    <w:p w14:paraId="681C9A76" w14:textId="3248EF2D" w:rsidR="00E21690" w:rsidRPr="00BA14DA" w:rsidRDefault="001025A5" w:rsidP="0391C58A">
      <w:pPr>
        <w:pStyle w:val="Date"/>
        <w:rPr>
          <w:szCs w:val="20"/>
        </w:rPr>
      </w:pPr>
      <w:r>
        <w:br/>
      </w:r>
      <w:r w:rsidR="00FD267A">
        <w:rPr>
          <w:szCs w:val="20"/>
        </w:rPr>
        <w:t>8</w:t>
      </w:r>
      <w:r w:rsidR="00993435">
        <w:rPr>
          <w:szCs w:val="20"/>
        </w:rPr>
        <w:t xml:space="preserve"> </w:t>
      </w:r>
      <w:r w:rsidR="00881CD1">
        <w:rPr>
          <w:szCs w:val="20"/>
        </w:rPr>
        <w:t>September</w:t>
      </w:r>
      <w:r w:rsidR="00881CD1" w:rsidRPr="00BA14DA">
        <w:rPr>
          <w:szCs w:val="20"/>
        </w:rPr>
        <w:t xml:space="preserve"> </w:t>
      </w:r>
      <w:r w:rsidRPr="00BA14DA">
        <w:rPr>
          <w:szCs w:val="20"/>
        </w:rPr>
        <w:t>2021</w:t>
      </w:r>
    </w:p>
    <w:p w14:paraId="1E49C68D" w14:textId="26159698" w:rsidR="001025A5" w:rsidRPr="001025A5" w:rsidRDefault="001025A5" w:rsidP="00BA14DA">
      <w:pPr>
        <w:spacing w:after="0"/>
        <w:rPr>
          <w:lang w:eastAsia="en-AU"/>
        </w:rPr>
      </w:pPr>
    </w:p>
    <w:bookmarkStart w:id="2" w:name="_Toc75357734"/>
    <w:bookmarkStart w:id="3" w:name="_Toc75357904"/>
    <w:p w14:paraId="2C34E99C" w14:textId="115B9645" w:rsidR="00597278" w:rsidRPr="00C97F1C" w:rsidRDefault="00DD179A" w:rsidP="00C97F1C">
      <w:pPr>
        <w:rPr>
          <w:sz w:val="28"/>
          <w:szCs w:val="28"/>
        </w:rPr>
      </w:pPr>
      <w:r w:rsidRPr="008351E3">
        <w:rPr>
          <w:noProof/>
        </w:rPr>
        <mc:AlternateContent>
          <mc:Choice Requires="wps">
            <w:drawing>
              <wp:anchor distT="45720" distB="45720" distL="114300" distR="114300" simplePos="0" relativeHeight="251658242" behindDoc="0" locked="0" layoutInCell="1" allowOverlap="1" wp14:anchorId="639246D7" wp14:editId="00B8C19E">
                <wp:simplePos x="0" y="0"/>
                <wp:positionH relativeFrom="margin">
                  <wp:align>left</wp:align>
                </wp:positionH>
                <wp:positionV relativeFrom="paragraph">
                  <wp:posOffset>437515</wp:posOffset>
                </wp:positionV>
                <wp:extent cx="5951855" cy="637222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6372225"/>
                        </a:xfrm>
                        <a:prstGeom prst="rect">
                          <a:avLst/>
                        </a:prstGeom>
                        <a:solidFill>
                          <a:srgbClr val="C5EEFF"/>
                        </a:solidFill>
                        <a:ln w="12700" cap="flat" cmpd="sng" algn="ctr">
                          <a:noFill/>
                          <a:prstDash val="solid"/>
                          <a:miter lim="800000"/>
                          <a:headEnd/>
                          <a:tailEnd/>
                        </a:ln>
                        <a:effectLst/>
                      </wps:spPr>
                      <wps:txbx>
                        <w:txbxContent>
                          <w:p w14:paraId="444CBC0C" w14:textId="45E58827" w:rsidR="004B7B72" w:rsidRDefault="004B7B72" w:rsidP="00A133FB">
                            <w:pPr>
                              <w:pStyle w:val="AHPRASubheading"/>
                            </w:pPr>
                            <w:bookmarkStart w:id="4" w:name="_Toc77604571"/>
                            <w:r>
                              <w:t>Summary</w:t>
                            </w:r>
                            <w:bookmarkEnd w:id="4"/>
                          </w:p>
                          <w:p w14:paraId="4ED6F498" w14:textId="392BCABD" w:rsidR="004B7B72" w:rsidRDefault="004B7B72" w:rsidP="00A133FB">
                            <w:pPr>
                              <w:autoSpaceDE w:val="0"/>
                              <w:autoSpaceDN w:val="0"/>
                              <w:adjustRightInd w:val="0"/>
                              <w:spacing w:after="0"/>
                            </w:pPr>
                            <w:r>
                              <w:t>The Dental Board of Australia (the Board) develops policies, codes and guidelines to provide guidance to the profession and has published</w:t>
                            </w:r>
                            <w:r w:rsidRPr="0019344E">
                              <w:rPr>
                                <w:i/>
                              </w:rPr>
                              <w:t xml:space="preserve"> Guidelines on infection control</w:t>
                            </w:r>
                            <w:r>
                              <w:t xml:space="preserve"> (the guidelines). The guidelines describe </w:t>
                            </w:r>
                            <w:r w:rsidRPr="00855F33">
                              <w:t>how dental practitioners can prevent or minimise the risk of the spread of infectious diseases in the dental setting</w:t>
                            </w:r>
                            <w:r>
                              <w:t>.</w:t>
                            </w:r>
                          </w:p>
                          <w:p w14:paraId="27725C10" w14:textId="77777777" w:rsidR="004B7B72" w:rsidRDefault="004B7B72" w:rsidP="00A133FB">
                            <w:pPr>
                              <w:autoSpaceDE w:val="0"/>
                              <w:autoSpaceDN w:val="0"/>
                              <w:adjustRightInd w:val="0"/>
                              <w:spacing w:after="0"/>
                            </w:pPr>
                          </w:p>
                          <w:p w14:paraId="69429A6A" w14:textId="7EE4CB59" w:rsidR="004B7B72" w:rsidRDefault="004B7B72" w:rsidP="00A133FB">
                            <w:pPr>
                              <w:pStyle w:val="AHPRABody0"/>
                            </w:pPr>
                            <w:r>
                              <w:t>The guidelines set out obligations for all dental practitioners to keep certain documents at their place of practice, to practise in way that minimises or prevents the spread of infection and to make declarations upon their initial registration and when renewing their registration.</w:t>
                            </w:r>
                          </w:p>
                          <w:p w14:paraId="3B2AD516" w14:textId="2A5A0B59" w:rsidR="004B7B72" w:rsidRDefault="004B7B72" w:rsidP="00A133FB">
                            <w:pPr>
                              <w:pStyle w:val="AHPRABody0"/>
                            </w:pPr>
                            <w:r>
                              <w:t>Under the Health Practitioner Regulation National Law, as in force in each state and territory (the National Law), regulatory guidelines have a special status. They can be used as evidence of appropriate professional practice or conduct. To update or amend guidelines, wide ranging consultation is required. Consultation and review processes are lengthy. As a result, guidelines tend to be in force for long periods of time and are not easily updated in response to changes in practice or advances in knowledge.</w:t>
                            </w:r>
                          </w:p>
                          <w:p w14:paraId="753D7B24" w14:textId="5B7217A4" w:rsidR="004B7B72" w:rsidRDefault="004B7B72" w:rsidP="00A133FB">
                            <w:pPr>
                              <w:pStyle w:val="AHPRABody0"/>
                            </w:pPr>
                            <w:r>
                              <w:t>Since the guidelines were first developed, the way the Board uses regulatory guidelines has matured. The Board uses guidelines to explain its registration standards, the National Law and the way it regulates. It does not use guidelines to tell practitioners what to do in a specific area of practice.</w:t>
                            </w:r>
                          </w:p>
                          <w:p w14:paraId="6A97C0A2" w14:textId="3AC530C1" w:rsidR="004B7B72" w:rsidRDefault="004B7B72" w:rsidP="00A133FB">
                            <w:pPr>
                              <w:pStyle w:val="AHPRABody0"/>
                            </w:pPr>
                            <w:r>
                              <w:t xml:space="preserve">The Board believes its existing regulatory instruments (such as the </w:t>
                            </w:r>
                            <w:r w:rsidRPr="005334CB">
                              <w:rPr>
                                <w:i/>
                              </w:rPr>
                              <w:t>Code of Conduct</w:t>
                            </w:r>
                            <w:r>
                              <w:t xml:space="preserve"> and </w:t>
                            </w:r>
                            <w:r w:rsidRPr="005334CB">
                              <w:rPr>
                                <w:i/>
                              </w:rPr>
                              <w:t>Guidelines - Registered health practitioners and students in relation to blood-borne viruses</w:t>
                            </w:r>
                            <w:r>
                              <w:t>) are enough to fulfil the disciplinary or ‘enforcement’ role that achieves public protection.</w:t>
                            </w:r>
                          </w:p>
                          <w:p w14:paraId="52A9FF3A" w14:textId="39EC27CB" w:rsidR="004B7B72" w:rsidRDefault="004B7B72" w:rsidP="00A133FB">
                            <w:pPr>
                              <w:pStyle w:val="AHPRABody0"/>
                            </w:pPr>
                            <w:r>
                              <w:t>The Board is proposing to replace the guidelines with resources that support practitioners to practise professionally.</w:t>
                            </w:r>
                          </w:p>
                          <w:p w14:paraId="5EB12451" w14:textId="77777777" w:rsidR="004B7B72" w:rsidRDefault="004B7B72" w:rsidP="00A133FB">
                            <w:pPr>
                              <w:pStyle w:val="AHPRABody0"/>
                            </w:pPr>
                            <w:r>
                              <w:t>The main changes proposed are for the Board to:</w:t>
                            </w:r>
                          </w:p>
                          <w:p w14:paraId="4CCB25DF" w14:textId="4228868F" w:rsidR="004B7B72" w:rsidRDefault="004B7B72" w:rsidP="00A133FB">
                            <w:pPr>
                              <w:pStyle w:val="AHPRABulletlevel1"/>
                            </w:pPr>
                            <w:r>
                              <w:t xml:space="preserve">formally retire the </w:t>
                            </w:r>
                            <w:r w:rsidRPr="00AD64EA">
                              <w:rPr>
                                <w:i/>
                                <w:iCs/>
                              </w:rPr>
                              <w:t>Guidelines on infection control</w:t>
                            </w:r>
                          </w:p>
                          <w:p w14:paraId="2878ABD0" w14:textId="77777777" w:rsidR="004B7B72" w:rsidRDefault="004B7B72" w:rsidP="00A133FB">
                            <w:pPr>
                              <w:pStyle w:val="AHPRABulletlevel1"/>
                            </w:pPr>
                            <w:r>
                              <w:t>provide guidance to practitioners in the form of a fact sheet, a more adaptable and flexible document, and</w:t>
                            </w:r>
                          </w:p>
                          <w:p w14:paraId="38640F33" w14:textId="77777777" w:rsidR="004B7B72" w:rsidRDefault="004B7B72" w:rsidP="00A133FB">
                            <w:pPr>
                              <w:pStyle w:val="AHPRABulletlevel1last"/>
                            </w:pPr>
                            <w:r>
                              <w:t>release a self-reflective tool for infection prevention and control that prompts practitioners to think about their practice and identify areas for improvement.</w:t>
                            </w:r>
                          </w:p>
                          <w:p w14:paraId="71A7D9B0" w14:textId="33BF5BC2" w:rsidR="004B7B72" w:rsidRDefault="004B7B72" w:rsidP="00A133FB">
                            <w:pPr>
                              <w:pStyle w:val="AHPRABody0"/>
                            </w:pPr>
                            <w:r>
                              <w:t>As part of the Board’s review of its related infection prevention and control content, it also proposes to revise its resources for consumers. However, these resources are not the subject of this consultation.</w:t>
                            </w:r>
                          </w:p>
                          <w:p w14:paraId="4F571DB0" w14:textId="4AFD4DE3" w:rsidR="004B7B72" w:rsidRDefault="004B7B72" w:rsidP="00A133FB">
                            <w:r>
                              <w:t xml:space="preserve">More information about the proposed changes is included in this consultation paper. </w:t>
                            </w:r>
                            <w:r w:rsidRPr="00200E7C">
                              <w:t>The consultation is open until</w:t>
                            </w:r>
                            <w:r>
                              <w:t xml:space="preserve"> </w:t>
                            </w:r>
                            <w:r w:rsidR="00F759EA">
                              <w:t xml:space="preserve">close of business on </w:t>
                            </w:r>
                            <w:r w:rsidR="002622E7">
                              <w:rPr>
                                <w:b/>
                                <w:bCs/>
                              </w:rPr>
                              <w:t>Monday, 1</w:t>
                            </w:r>
                            <w:r w:rsidR="00F759EA">
                              <w:rPr>
                                <w:b/>
                                <w:bCs/>
                              </w:rPr>
                              <w:t>5</w:t>
                            </w:r>
                            <w:r w:rsidR="002622E7">
                              <w:rPr>
                                <w:b/>
                                <w:bCs/>
                              </w:rPr>
                              <w:t xml:space="preserve"> November</w:t>
                            </w:r>
                            <w:r w:rsidR="002622E7" w:rsidRPr="00E975EA">
                              <w:rPr>
                                <w:b/>
                                <w:bCs/>
                              </w:rPr>
                              <w:t xml:space="preserve"> </w:t>
                            </w:r>
                            <w:r w:rsidRPr="00E975EA">
                              <w:rPr>
                                <w:b/>
                              </w:rPr>
                              <w:t>2021</w:t>
                            </w:r>
                            <w:r w:rsidRPr="00E975EA">
                              <w:rPr>
                                <w:bCs/>
                              </w:rPr>
                              <w:t>.</w:t>
                            </w:r>
                          </w:p>
                          <w:p w14:paraId="4F10DC69" w14:textId="2F53BCE3" w:rsidR="004B7B72" w:rsidRDefault="004B7B72" w:rsidP="00A13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246D7" id="_x0000_t202" coordsize="21600,21600" o:spt="202" path="m,l,21600r21600,l21600,xe">
                <v:stroke joinstyle="miter"/>
                <v:path gradientshapeok="t" o:connecttype="rect"/>
              </v:shapetype>
              <v:shape id="Text Box 2" o:spid="_x0000_s1026" type="#_x0000_t202" style="position:absolute;margin-left:0;margin-top:34.45pt;width:468.65pt;height:501.7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" fillcolor="#c5eeff" stroked="f" strokeweight="1pt">
                <v:textbox>
                  <w:txbxContent>
                    <w:p w14:paraId="444CBC0C" w14:textId="45E58827" w:rsidR="004B7B72" w:rsidRDefault="004B7B72" w:rsidP="00A133FB">
                      <w:pPr>
                        <w:pStyle w:val="AHPRASubheading"/>
                      </w:pPr>
                      <w:bookmarkStart w:id="6" w:name="_Toc77604571"/>
                      <w:r>
                        <w:t>Summary</w:t>
                      </w:r>
                      <w:bookmarkEnd w:id="6"/>
                    </w:p>
                    <w:p w14:paraId="4ED6F498" w14:textId="392BCABD" w:rsidR="004B7B72" w:rsidRDefault="004B7B72" w:rsidP="00A133FB">
                      <w:pPr>
                        <w:autoSpaceDE w:val="0"/>
                        <w:autoSpaceDN w:val="0"/>
                        <w:adjustRightInd w:val="0"/>
                        <w:spacing w:after="0"/>
                      </w:pPr>
                      <w:r>
                        <w:t>The Dental Board of Australia (the Board) develops policies, codes and guidelines to provide guidance to the profession and has published</w:t>
                      </w:r>
                      <w:r w:rsidRPr="0019344E">
                        <w:rPr>
                          <w:i/>
                        </w:rPr>
                        <w:t xml:space="preserve"> Guidelines on infection control</w:t>
                      </w:r>
                      <w:r>
                        <w:t xml:space="preserve"> (the guidelines). The guidelines describe </w:t>
                      </w:r>
                      <w:r w:rsidRPr="00855F33">
                        <w:t>how dental practitioners can prevent or minimise the risk of the spread of infectious diseases in the dental setting</w:t>
                      </w:r>
                      <w:r>
                        <w:t>.</w:t>
                      </w:r>
                    </w:p>
                    <w:p w14:paraId="27725C10" w14:textId="77777777" w:rsidR="004B7B72" w:rsidRDefault="004B7B72" w:rsidP="00A133FB">
                      <w:pPr>
                        <w:autoSpaceDE w:val="0"/>
                        <w:autoSpaceDN w:val="0"/>
                        <w:adjustRightInd w:val="0"/>
                        <w:spacing w:after="0"/>
                      </w:pPr>
                    </w:p>
                    <w:p w14:paraId="69429A6A" w14:textId="7EE4CB59" w:rsidR="004B7B72" w:rsidRDefault="004B7B72" w:rsidP="00A133FB">
                      <w:pPr>
                        <w:pStyle w:val="AHPRABody0"/>
                      </w:pPr>
                      <w:r>
                        <w:t>The guidelines set out obligations for all dental practitioners to keep certain documents at their place of practice, to practise in way that minimises or prevents the spread of infection and to make declarations upon their initial registration and when renewing their registration.</w:t>
                      </w:r>
                    </w:p>
                    <w:p w14:paraId="3B2AD516" w14:textId="2A5A0B59" w:rsidR="004B7B72" w:rsidRDefault="004B7B72" w:rsidP="00A133FB">
                      <w:pPr>
                        <w:pStyle w:val="AHPRABody0"/>
                      </w:pPr>
                      <w:r>
                        <w:t>Under the Health Practitioner Regulation National Law, as in force in each state and territory (the National Law), regulatory guidelines have a special status. They can be used as evidence of appropriate professional practice or conduct. To update or amend guidelines, wide ranging consultation is required. Consultation and review processes are lengthy. As a result, guidelines tend to be in force for long periods of time and are not easily updated in response to changes in practice or advances in knowledge.</w:t>
                      </w:r>
                    </w:p>
                    <w:p w14:paraId="753D7B24" w14:textId="5B7217A4" w:rsidR="004B7B72" w:rsidRDefault="004B7B72" w:rsidP="00A133FB">
                      <w:pPr>
                        <w:pStyle w:val="AHPRABody0"/>
                      </w:pPr>
                      <w:r>
                        <w:t>Since the guidelines were first developed, the way the Board uses regulatory guidelines has matured. The Board uses guidelines to explain its registration standards, the National Law and the way it regulates. It does not use guidelines to tell practitioners what to do in a specific area of practice.</w:t>
                      </w:r>
                    </w:p>
                    <w:p w14:paraId="6A97C0A2" w14:textId="3AC530C1" w:rsidR="004B7B72" w:rsidRDefault="004B7B72" w:rsidP="00A133FB">
                      <w:pPr>
                        <w:pStyle w:val="AHPRABody0"/>
                      </w:pPr>
                      <w:r>
                        <w:t xml:space="preserve">The Board believes its existing regulatory instruments (such as the </w:t>
                      </w:r>
                      <w:r w:rsidRPr="005334CB">
                        <w:rPr>
                          <w:i/>
                        </w:rPr>
                        <w:t>Code of Conduct</w:t>
                      </w:r>
                      <w:r>
                        <w:t xml:space="preserve"> and </w:t>
                      </w:r>
                      <w:r w:rsidRPr="005334CB">
                        <w:rPr>
                          <w:i/>
                        </w:rPr>
                        <w:t>Guidelines - Registered health practitioners and students in relation to blood-borne viruses</w:t>
                      </w:r>
                      <w:r>
                        <w:t>) are enough to fulfil the disciplinary or ‘enforcement’ role that achieves public protection.</w:t>
                      </w:r>
                    </w:p>
                    <w:p w14:paraId="52A9FF3A" w14:textId="39EC27CB" w:rsidR="004B7B72" w:rsidRDefault="004B7B72" w:rsidP="00A133FB">
                      <w:pPr>
                        <w:pStyle w:val="AHPRABody0"/>
                      </w:pPr>
                      <w:r>
                        <w:t>The Board is proposing to replace the guidelines with resources that support practitioners to practise professionally.</w:t>
                      </w:r>
                    </w:p>
                    <w:p w14:paraId="5EB12451" w14:textId="77777777" w:rsidR="004B7B72" w:rsidRDefault="004B7B72" w:rsidP="00A133FB">
                      <w:pPr>
                        <w:pStyle w:val="AHPRABody0"/>
                      </w:pPr>
                      <w:r>
                        <w:t>The main changes proposed are for the Board to:</w:t>
                      </w:r>
                    </w:p>
                    <w:p w14:paraId="4CCB25DF" w14:textId="4228868F" w:rsidR="004B7B72" w:rsidRDefault="004B7B72" w:rsidP="00A133FB">
                      <w:pPr>
                        <w:pStyle w:val="AHPRABulletlevel1"/>
                      </w:pPr>
                      <w:r>
                        <w:t xml:space="preserve">formally retire the </w:t>
                      </w:r>
                      <w:r w:rsidRPr="00AD64EA">
                        <w:rPr>
                          <w:i/>
                          <w:iCs/>
                        </w:rPr>
                        <w:t>Guidelines on infection control</w:t>
                      </w:r>
                    </w:p>
                    <w:p w14:paraId="2878ABD0" w14:textId="77777777" w:rsidR="004B7B72" w:rsidRDefault="004B7B72" w:rsidP="00A133FB">
                      <w:pPr>
                        <w:pStyle w:val="AHPRABulletlevel1"/>
                      </w:pPr>
                      <w:r>
                        <w:t>provide guidance to practitioners in the form of a fact sheet, a more adaptable and flexible document, and</w:t>
                      </w:r>
                    </w:p>
                    <w:p w14:paraId="38640F33" w14:textId="77777777" w:rsidR="004B7B72" w:rsidRDefault="004B7B72" w:rsidP="00A133FB">
                      <w:pPr>
                        <w:pStyle w:val="AHPRABulletlevel1last"/>
                      </w:pPr>
                      <w:r>
                        <w:t>release a self-reflective tool for infection prevention and control that prompts practitioners to think about their practice and identify areas for improvement.</w:t>
                      </w:r>
                    </w:p>
                    <w:p w14:paraId="71A7D9B0" w14:textId="33BF5BC2" w:rsidR="004B7B72" w:rsidRDefault="004B7B72" w:rsidP="00A133FB">
                      <w:pPr>
                        <w:pStyle w:val="AHPRABody0"/>
                      </w:pPr>
                      <w:r>
                        <w:t>As part of the Board’s review of its related infection prevention and control content, it also proposes to revise its resources for consumers. However, these resources are not the subject of this consultation.</w:t>
                      </w:r>
                    </w:p>
                    <w:p w14:paraId="4F571DB0" w14:textId="4AFD4DE3" w:rsidR="004B7B72" w:rsidRDefault="004B7B72" w:rsidP="00A133FB">
                      <w:r>
                        <w:t xml:space="preserve">More information about the proposed changes is included in this consultation paper. </w:t>
                      </w:r>
                      <w:r w:rsidRPr="00200E7C">
                        <w:t>The consultation is open until</w:t>
                      </w:r>
                      <w:r>
                        <w:t xml:space="preserve"> </w:t>
                      </w:r>
                      <w:r w:rsidR="00F759EA">
                        <w:t xml:space="preserve">close of business on </w:t>
                      </w:r>
                      <w:r w:rsidR="002622E7">
                        <w:rPr>
                          <w:b/>
                          <w:bCs/>
                        </w:rPr>
                        <w:t>Monday, 1</w:t>
                      </w:r>
                      <w:r w:rsidR="00F759EA">
                        <w:rPr>
                          <w:b/>
                          <w:bCs/>
                        </w:rPr>
                        <w:t>5</w:t>
                      </w:r>
                      <w:r w:rsidR="002622E7">
                        <w:rPr>
                          <w:b/>
                          <w:bCs/>
                        </w:rPr>
                        <w:t xml:space="preserve"> November</w:t>
                      </w:r>
                      <w:r w:rsidR="002622E7" w:rsidRPr="00E975EA">
                        <w:rPr>
                          <w:b/>
                          <w:bCs/>
                        </w:rPr>
                        <w:t xml:space="preserve"> </w:t>
                      </w:r>
                      <w:r w:rsidRPr="00E975EA">
                        <w:rPr>
                          <w:b/>
                        </w:rPr>
                        <w:t>2021</w:t>
                      </w:r>
                      <w:r w:rsidRPr="00E975EA">
                        <w:rPr>
                          <w:bCs/>
                        </w:rPr>
                        <w:t>.</w:t>
                      </w:r>
                    </w:p>
                    <w:p w14:paraId="4F10DC69" w14:textId="2F53BCE3" w:rsidR="004B7B72" w:rsidRDefault="004B7B72" w:rsidP="00A133FB"/>
                  </w:txbxContent>
                </v:textbox>
                <w10:wrap type="square" anchorx="margin"/>
              </v:shape>
            </w:pict>
          </mc:Fallback>
        </mc:AlternateContent>
      </w:r>
      <w:r w:rsidR="1EFB074C" w:rsidRPr="00933463">
        <w:rPr>
          <w:sz w:val="28"/>
          <w:szCs w:val="28"/>
        </w:rPr>
        <w:t>Review of Guidelines on infection control</w:t>
      </w:r>
      <w:bookmarkStart w:id="5" w:name="_GoBack"/>
      <w:bookmarkEnd w:id="2"/>
      <w:bookmarkEnd w:id="3"/>
      <w:bookmarkEnd w:id="5"/>
      <w:r w:rsidR="00597278">
        <w:br w:type="page"/>
      </w:r>
    </w:p>
    <w:p w14:paraId="3053BF13" w14:textId="51FC4DF1" w:rsidR="001025A5" w:rsidRDefault="001025A5" w:rsidP="001025A5">
      <w:pPr>
        <w:pStyle w:val="AHPRASubheading"/>
      </w:pPr>
      <w:bookmarkStart w:id="6" w:name="_Toc77604572"/>
      <w:r>
        <w:lastRenderedPageBreak/>
        <w:t>Public consultation</w:t>
      </w:r>
      <w:bookmarkEnd w:id="6"/>
      <w:r>
        <w:t xml:space="preserve"> </w:t>
      </w:r>
    </w:p>
    <w:p w14:paraId="663F74C6" w14:textId="4AA97053" w:rsidR="00BB7B9E" w:rsidRDefault="6D37ABCE" w:rsidP="00BB7B9E">
      <w:pPr>
        <w:pStyle w:val="AHPRAbody"/>
      </w:pPr>
      <w:r>
        <w:t xml:space="preserve">The Board is releasing this public consultation paper for feedback on its proposal to replace the </w:t>
      </w:r>
      <w:r w:rsidR="00F3044A">
        <w:t>g</w:t>
      </w:r>
      <w:r>
        <w:t xml:space="preserve">uidelines </w:t>
      </w:r>
      <w:r w:rsidR="25437B2E">
        <w:t>with other supporting resources</w:t>
      </w:r>
      <w:r w:rsidR="26B58AAC">
        <w:t xml:space="preserve"> to help practitioners practise </w:t>
      </w:r>
      <w:r w:rsidR="005F11EF">
        <w:t xml:space="preserve">safely and </w:t>
      </w:r>
      <w:r w:rsidR="26B58AAC">
        <w:t>professionally</w:t>
      </w:r>
      <w:r w:rsidR="005F11EF">
        <w:t>.</w:t>
      </w:r>
    </w:p>
    <w:p w14:paraId="2B6FCEEF" w14:textId="0B0F36C2" w:rsidR="00BB7B9E" w:rsidRDefault="00BB7B9E" w:rsidP="00BB7B9E">
      <w:pPr>
        <w:pStyle w:val="AHPRAbody"/>
      </w:pPr>
      <w:r w:rsidRPr="00C01EBC">
        <w:t>You are invited to give feedback on</w:t>
      </w:r>
      <w:r w:rsidR="005F11EF">
        <w:t xml:space="preserve"> the</w:t>
      </w:r>
      <w:r w:rsidRPr="00C01EBC">
        <w:t xml:space="preserve"> </w:t>
      </w:r>
      <w:r w:rsidR="00595AE5" w:rsidRPr="00C01EBC">
        <w:t>Board’s proposal</w:t>
      </w:r>
      <w:r w:rsidR="00580E1C" w:rsidRPr="00C01EBC">
        <w:t xml:space="preserve">, </w:t>
      </w:r>
      <w:r w:rsidRPr="00C01EBC">
        <w:t xml:space="preserve">the draft </w:t>
      </w:r>
      <w:r w:rsidR="00AD65B9" w:rsidRPr="00C01EBC">
        <w:t xml:space="preserve">fact sheet and </w:t>
      </w:r>
      <w:r w:rsidR="00F8158B">
        <w:t xml:space="preserve">the </w:t>
      </w:r>
      <w:r w:rsidR="00AD65B9" w:rsidRPr="00C01EBC">
        <w:t>self-reflective tool</w:t>
      </w:r>
      <w:r w:rsidRPr="00C01EBC">
        <w:t xml:space="preserve"> at </w:t>
      </w:r>
      <w:r w:rsidR="00867755">
        <w:rPr>
          <w:rFonts w:ascii="ZWAdobeF" w:hAnsi="ZWAdobeF" w:cs="ZWAdobeF"/>
          <w:sz w:val="2"/>
          <w:szCs w:val="2"/>
        </w:rPr>
        <w:t>U</w:t>
      </w:r>
      <w:r w:rsidRPr="00C01EBC">
        <w:rPr>
          <w:u w:val="single"/>
        </w:rPr>
        <w:t>Attachment</w:t>
      </w:r>
      <w:r w:rsidR="00964401" w:rsidRPr="00C01EBC">
        <w:rPr>
          <w:u w:val="single"/>
        </w:rPr>
        <w:t xml:space="preserve">s </w:t>
      </w:r>
      <w:r w:rsidR="00C01EBC" w:rsidRPr="00C01EBC">
        <w:rPr>
          <w:u w:val="single"/>
        </w:rPr>
        <w:t>D and E</w:t>
      </w:r>
      <w:r w:rsidR="00867755">
        <w:rPr>
          <w:rFonts w:ascii="ZWAdobeF" w:hAnsi="ZWAdobeF" w:cs="ZWAdobeF"/>
          <w:sz w:val="2"/>
          <w:szCs w:val="2"/>
        </w:rPr>
        <w:t>U</w:t>
      </w:r>
      <w:r>
        <w:t xml:space="preserve">. </w:t>
      </w:r>
    </w:p>
    <w:p w14:paraId="2659ECFD" w14:textId="44DABA3E" w:rsidR="001025A5" w:rsidRDefault="001025A5" w:rsidP="001025A5">
      <w:pPr>
        <w:pStyle w:val="AHPRASubheading"/>
      </w:pPr>
      <w:bookmarkStart w:id="7" w:name="_Toc77604573"/>
      <w:r>
        <w:t>Providing feedback</w:t>
      </w:r>
      <w:bookmarkEnd w:id="7"/>
    </w:p>
    <w:p w14:paraId="12D3B7C8" w14:textId="0B76270D" w:rsidR="00531A8F" w:rsidRDefault="00531A8F" w:rsidP="00531A8F">
      <w:pPr>
        <w:pStyle w:val="AHPRAbody"/>
      </w:pPr>
      <w:r>
        <w:t xml:space="preserve">Feedback can be provided </w:t>
      </w:r>
      <w:r>
        <w:rPr>
          <w:szCs w:val="20"/>
        </w:rPr>
        <w:t xml:space="preserve">by completing the online survey available on the Board’s </w:t>
      </w:r>
      <w:hyperlink r:id="rId11" w:history="1">
        <w:r w:rsidR="00867755" w:rsidRPr="00CA053A">
          <w:rPr>
            <w:rStyle w:val="Hyperlink"/>
            <w:rFonts w:ascii="ZWAdobeF" w:hAnsi="ZWAdobeF" w:cs="ZWAdobeF"/>
            <w:sz w:val="2"/>
            <w:szCs w:val="2"/>
          </w:rPr>
          <w:t>39TU</w:t>
        </w:r>
        <w:r w:rsidRPr="00B1516A">
          <w:rPr>
            <w:rStyle w:val="Hyperlink"/>
            <w:szCs w:val="20"/>
          </w:rPr>
          <w:t>website</w:t>
        </w:r>
        <w:r w:rsidR="00867755" w:rsidRPr="00B1516A">
          <w:rPr>
            <w:rStyle w:val="Hyperlink"/>
            <w:rFonts w:ascii="ZWAdobeF" w:hAnsi="ZWAdobeF" w:cs="ZWAdobeF"/>
            <w:sz w:val="2"/>
            <w:szCs w:val="2"/>
          </w:rPr>
          <w:t>U39T</w:t>
        </w:r>
      </w:hyperlink>
      <w:r w:rsidRPr="00CA053A">
        <w:rPr>
          <w:szCs w:val="20"/>
        </w:rPr>
        <w:t>.</w:t>
      </w:r>
    </w:p>
    <w:p w14:paraId="5F3E39B6" w14:textId="356C184E" w:rsidR="00531A8F" w:rsidRDefault="00531A8F" w:rsidP="00531A8F">
      <w:pPr>
        <w:pStyle w:val="AHPRAbody"/>
      </w:pPr>
      <w:r>
        <w:rPr>
          <w:rFonts w:eastAsiaTheme="minorHAnsi"/>
        </w:rPr>
        <w:t xml:space="preserve">If you </w:t>
      </w:r>
      <w:r w:rsidR="00F8158B">
        <w:rPr>
          <w:rFonts w:eastAsiaTheme="minorHAnsi"/>
        </w:rPr>
        <w:t>cannot</w:t>
      </w:r>
      <w:r>
        <w:rPr>
          <w:rFonts w:eastAsiaTheme="minorHAnsi"/>
        </w:rPr>
        <w:t xml:space="preserve"> complete the online </w:t>
      </w:r>
      <w:r w:rsidR="00AE5E01">
        <w:rPr>
          <w:rFonts w:eastAsiaTheme="minorHAnsi"/>
        </w:rPr>
        <w:t>survey,</w:t>
      </w:r>
      <w:r>
        <w:rPr>
          <w:rFonts w:eastAsiaTheme="minorHAnsi"/>
        </w:rPr>
        <w:t xml:space="preserve"> </w:t>
      </w:r>
      <w:r w:rsidR="00B1516A">
        <w:rPr>
          <w:rFonts w:eastAsiaTheme="minorHAnsi"/>
        </w:rPr>
        <w:t xml:space="preserve">please contact us at </w:t>
      </w:r>
      <w:hyperlink r:id="rId12" w:history="1">
        <w:r w:rsidR="001E3697" w:rsidRPr="002B53C1">
          <w:rPr>
            <w:rStyle w:val="Hyperlink"/>
            <w:rFonts w:eastAsiaTheme="minorHAnsi"/>
          </w:rPr>
          <w:t>dentalboardconsultation@ahpra.gov.au</w:t>
        </w:r>
      </w:hyperlink>
      <w:r w:rsidR="001E3697">
        <w:rPr>
          <w:rFonts w:eastAsiaTheme="minorHAnsi"/>
        </w:rPr>
        <w:t xml:space="preserve"> </w:t>
      </w:r>
      <w:r w:rsidR="00F51C58">
        <w:rPr>
          <w:rFonts w:eastAsiaTheme="minorHAnsi"/>
        </w:rPr>
        <w:t xml:space="preserve">and we </w:t>
      </w:r>
      <w:r w:rsidR="00DC4ED2">
        <w:rPr>
          <w:rFonts w:eastAsiaTheme="minorHAnsi"/>
        </w:rPr>
        <w:t xml:space="preserve">can provide you with </w:t>
      </w:r>
      <w:r w:rsidRPr="004441F3">
        <w:rPr>
          <w:rFonts w:eastAsiaTheme="minorHAnsi"/>
        </w:rPr>
        <w:t xml:space="preserve">a </w:t>
      </w:r>
      <w:r w:rsidRPr="0098678C">
        <w:rPr>
          <w:rFonts w:eastAsiaTheme="minorHAnsi"/>
        </w:rPr>
        <w:t>Word document</w:t>
      </w:r>
      <w:r w:rsidR="001E3697">
        <w:rPr>
          <w:rFonts w:eastAsiaTheme="minorHAnsi"/>
        </w:rPr>
        <w:t xml:space="preserve"> template</w:t>
      </w:r>
      <w:r w:rsidR="00BA1E32">
        <w:rPr>
          <w:rFonts w:eastAsiaTheme="minorHAnsi"/>
        </w:rPr>
        <w:t xml:space="preserve"> </w:t>
      </w:r>
      <w:r w:rsidR="00F51C58">
        <w:rPr>
          <w:rFonts w:eastAsiaTheme="minorHAnsi"/>
        </w:rPr>
        <w:t>to complete</w:t>
      </w:r>
      <w:r w:rsidR="001E3697">
        <w:rPr>
          <w:rFonts w:eastAsiaTheme="minorHAnsi"/>
        </w:rPr>
        <w:t>.</w:t>
      </w:r>
      <w:r>
        <w:t xml:space="preserve"> </w:t>
      </w:r>
      <w:hyperlink r:id="rId13" w:history="1">
        <w:r w:rsidR="00867755">
          <w:rPr>
            <w:rFonts w:ascii="ZWAdobeF" w:hAnsi="ZWAdobeF" w:cs="ZWAdobeF"/>
            <w:sz w:val="2"/>
            <w:szCs w:val="2"/>
          </w:rPr>
          <w:t>39TU</w:t>
        </w:r>
      </w:hyperlink>
      <w:r w:rsidR="00867755" w:rsidRPr="00867755">
        <w:rPr>
          <w:rStyle w:val="Hyperlink"/>
          <w:rFonts w:ascii="ZWAdobeF" w:hAnsi="ZWAdobeF" w:cs="ZWAdobeF"/>
          <w:color w:val="auto"/>
          <w:sz w:val="2"/>
          <w:szCs w:val="2"/>
          <w:u w:val="none"/>
        </w:rPr>
        <w:t>U39T</w:t>
      </w:r>
      <w:r>
        <w:t xml:space="preserve">. </w:t>
      </w:r>
    </w:p>
    <w:p w14:paraId="7138F4F3" w14:textId="1B361EC8" w:rsidR="00531A8F" w:rsidRDefault="00531A8F" w:rsidP="00531A8F">
      <w:pPr>
        <w:pStyle w:val="AHPRAbody"/>
      </w:pPr>
      <w:r>
        <w:t xml:space="preserve">Feedback is required by </w:t>
      </w:r>
      <w:r w:rsidR="00F8158B">
        <w:t xml:space="preserve">the </w:t>
      </w:r>
      <w:r>
        <w:t xml:space="preserve">close of business </w:t>
      </w:r>
      <w:r w:rsidRPr="00126BBB">
        <w:t xml:space="preserve">on </w:t>
      </w:r>
      <w:r w:rsidR="00CA053A">
        <w:rPr>
          <w:b/>
        </w:rPr>
        <w:t>Monday, 1</w:t>
      </w:r>
      <w:r w:rsidR="00F759EA">
        <w:rPr>
          <w:b/>
        </w:rPr>
        <w:t>5</w:t>
      </w:r>
      <w:r w:rsidR="00CA053A">
        <w:rPr>
          <w:b/>
        </w:rPr>
        <w:t xml:space="preserve"> November </w:t>
      </w:r>
      <w:r w:rsidRPr="00E975EA">
        <w:rPr>
          <w:b/>
        </w:rPr>
        <w:t>2021</w:t>
      </w:r>
      <w:r w:rsidRPr="00E975EA">
        <w:t>.</w:t>
      </w:r>
      <w:r>
        <w:t xml:space="preserve"> </w:t>
      </w:r>
    </w:p>
    <w:p w14:paraId="1AFC5ADC" w14:textId="1437447D" w:rsidR="001025A5" w:rsidRDefault="001025A5" w:rsidP="001025A5">
      <w:pPr>
        <w:pStyle w:val="AHPRASubheading"/>
      </w:pPr>
      <w:bookmarkStart w:id="8" w:name="_Toc77604574"/>
      <w:r>
        <w:t>Publication of submissions</w:t>
      </w:r>
      <w:bookmarkEnd w:id="8"/>
    </w:p>
    <w:p w14:paraId="16476C12" w14:textId="6146FFD6" w:rsidR="00B504A0" w:rsidRDefault="00B504A0" w:rsidP="00B504A0">
      <w:pPr>
        <w:pStyle w:val="AHPRAbody"/>
      </w:pPr>
      <w:r>
        <w:t>The Board and</w:t>
      </w:r>
      <w:r w:rsidR="005F11EF">
        <w:t xml:space="preserve"> the Australian Health Practitioner Regulation Agency (</w:t>
      </w:r>
      <w:r>
        <w:t>Ahpra</w:t>
      </w:r>
      <w:r w:rsidR="005F11EF">
        <w:t>)</w:t>
      </w:r>
      <w:r>
        <w:t xml:space="preserve"> publish submissions at their discretion. We generally publish submissions on our websites to encourage discussion and inform the community and stakeholders. Please advise us if you do not want your submission published. </w:t>
      </w:r>
    </w:p>
    <w:p w14:paraId="4D099BB8" w14:textId="7096866F" w:rsidR="00B504A0" w:rsidRDefault="00B504A0" w:rsidP="00B504A0">
      <w:pPr>
        <w:pStyle w:val="AHPRAbody"/>
      </w:pPr>
      <w:r>
        <w:t xml:space="preserve">We will not place on our websites, or make available to the public, submissions that contain offensive or defamatory comments or </w:t>
      </w:r>
      <w:r w:rsidR="00102E58">
        <w:t>are</w:t>
      </w:r>
      <w:r>
        <w:t xml:space="preserve"> outside the scope of the subject of the consultation. Before publication, we may remove personally identifying information from submissions, including contact details. </w:t>
      </w:r>
    </w:p>
    <w:p w14:paraId="04A7CFFE" w14:textId="492221D6" w:rsidR="00B504A0" w:rsidRDefault="00B504A0" w:rsidP="00B504A0">
      <w:pPr>
        <w:pStyle w:val="AHPRAbody"/>
      </w:pPr>
      <w:r>
        <w:t>The Board and Ahpra can accept submissions made in confidence. These submissions will not be published on the website or elsewhere. Submissions may be confidential because they include personal experiences or other sensitive information. Any request for access to a confidential submission will be determined in accordance with the Freedom of Information Act 1982 (Cth), which has provisions designed to protect personal information and information given in confidence. Please let us know if you do not want us to publish your submission or want us to treat all or part of it as confidential.</w:t>
      </w:r>
    </w:p>
    <w:p w14:paraId="603DA7CB" w14:textId="77777777" w:rsidR="00811F96" w:rsidRDefault="00811F96" w:rsidP="00811F96">
      <w:pPr>
        <w:pStyle w:val="AHPRAbodybold"/>
      </w:pPr>
      <w:r>
        <w:t>Published submissions will include the names of the individuals and/or the organisations that made the submission unless confidentiality is requested.</w:t>
      </w:r>
    </w:p>
    <w:p w14:paraId="066A66F8" w14:textId="4A4FE336" w:rsidR="001025A5" w:rsidRPr="003958A4" w:rsidRDefault="001025A5" w:rsidP="001025A5">
      <w:pPr>
        <w:pStyle w:val="AHPRASubheading"/>
      </w:pPr>
      <w:bookmarkStart w:id="9" w:name="_Toc77604575"/>
      <w:r>
        <w:t>Next steps</w:t>
      </w:r>
      <w:bookmarkEnd w:id="9"/>
    </w:p>
    <w:p w14:paraId="02F36998" w14:textId="5F0E5D50" w:rsidR="007379CA" w:rsidRPr="000A25F3" w:rsidRDefault="68CBD2BD" w:rsidP="007379CA">
      <w:pPr>
        <w:spacing w:before="200"/>
      </w:pPr>
      <w:r>
        <w:t xml:space="preserve">After </w:t>
      </w:r>
      <w:r w:rsidR="08B302DE">
        <w:t xml:space="preserve">the </w:t>
      </w:r>
      <w:r>
        <w:t xml:space="preserve">public consultation closes, the Board will review and consider all feedback from this consultation before making decisions about </w:t>
      </w:r>
      <w:r w:rsidR="00C34211">
        <w:t xml:space="preserve">implementation </w:t>
      </w:r>
      <w:r>
        <w:t>and</w:t>
      </w:r>
      <w:r w:rsidR="00C34211">
        <w:t xml:space="preserve"> the</w:t>
      </w:r>
      <w:r>
        <w:t xml:space="preserve"> supporting documents.</w:t>
      </w:r>
    </w:p>
    <w:p w14:paraId="4090582D" w14:textId="77777777" w:rsidR="00E21690" w:rsidRDefault="00E21690">
      <w:pPr>
        <w:spacing w:after="0"/>
        <w:rPr>
          <w:b/>
          <w:color w:val="007DC3"/>
        </w:rPr>
      </w:pPr>
      <w:r>
        <w:br w:type="page"/>
      </w:r>
    </w:p>
    <w:sdt>
      <w:sdtPr>
        <w:rPr>
          <w:rFonts w:cs="Times New Roman"/>
          <w:color w:val="auto"/>
          <w:sz w:val="20"/>
          <w:szCs w:val="24"/>
        </w:rPr>
        <w:id w:val="669837722"/>
        <w:docPartObj>
          <w:docPartGallery w:val="Table of Contents"/>
          <w:docPartUnique/>
        </w:docPartObj>
      </w:sdtPr>
      <w:sdtEndPr>
        <w:rPr>
          <w:b/>
          <w:bCs/>
          <w:noProof/>
        </w:rPr>
      </w:sdtEndPr>
      <w:sdtContent>
        <w:p w14:paraId="6F8F0CEB" w14:textId="154589E5" w:rsidR="00E21690" w:rsidRDefault="00E21690">
          <w:pPr>
            <w:pStyle w:val="TOCHeading"/>
          </w:pPr>
          <w:r>
            <w:t>Contents</w:t>
          </w:r>
        </w:p>
        <w:p w14:paraId="2CE89E5D" w14:textId="4582B338" w:rsidR="006A4EEA" w:rsidRPr="00C34211" w:rsidRDefault="00B1443A" w:rsidP="165C0E97">
          <w:pPr>
            <w:pStyle w:val="TOC2"/>
            <w:tabs>
              <w:tab w:val="right" w:leader="dot" w:pos="9396"/>
            </w:tabs>
            <w:rPr>
              <w:rFonts w:asciiTheme="minorHAnsi" w:eastAsiaTheme="minorEastAsia" w:hAnsiTheme="minorHAnsi" w:cstheme="minorBidi"/>
              <w:b/>
              <w:noProof/>
              <w:sz w:val="22"/>
              <w:szCs w:val="22"/>
              <w:lang w:val="en-GB" w:eastAsia="ja-JP"/>
            </w:rPr>
          </w:pPr>
          <w:r w:rsidRPr="00510AA5">
            <w:rPr>
              <w:b/>
              <w:bCs/>
            </w:rPr>
            <w:fldChar w:fldCharType="begin"/>
          </w:r>
          <w:r w:rsidRPr="165C0E97">
            <w:rPr>
              <w:b/>
              <w:bCs/>
            </w:rPr>
            <w:instrText xml:space="preserve"> TOC \h \z \t "AHPRA Document subheading,1,</w:instrText>
          </w:r>
          <w:r w:rsidR="00517C54" w:rsidRPr="165C0E97">
            <w:rPr>
              <w:b/>
              <w:bCs/>
            </w:rPr>
            <w:instrText xml:space="preserve">AHPRA Subheading,2, </w:instrText>
          </w:r>
          <w:r w:rsidRPr="165C0E97">
            <w:rPr>
              <w:b/>
              <w:bCs/>
            </w:rPr>
            <w:instrText>AHPRA Subheading level 2,</w:instrText>
          </w:r>
          <w:r w:rsidR="00517C54" w:rsidRPr="165C0E97">
            <w:rPr>
              <w:b/>
              <w:bCs/>
            </w:rPr>
            <w:instrText>3</w:instrText>
          </w:r>
          <w:r w:rsidRPr="165C0E97">
            <w:rPr>
              <w:b/>
              <w:bCs/>
            </w:rPr>
            <w:instrText>,AHPRA Subheading level 3,</w:instrText>
          </w:r>
          <w:r w:rsidR="00517C54" w:rsidRPr="165C0E97">
            <w:rPr>
              <w:b/>
              <w:bCs/>
            </w:rPr>
            <w:instrText>4</w:instrText>
          </w:r>
          <w:r w:rsidRPr="165C0E97">
            <w:rPr>
              <w:b/>
              <w:bCs/>
            </w:rPr>
            <w:instrText xml:space="preserve">,Subtitle,1" </w:instrText>
          </w:r>
          <w:r w:rsidRPr="00510AA5">
            <w:rPr>
              <w:b/>
              <w:bCs/>
            </w:rPr>
            <w:fldChar w:fldCharType="separate"/>
          </w:r>
          <w:hyperlink r:id="rId14" w:anchor="_Toc77604571" w:history="1">
            <w:r w:rsidR="00867755">
              <w:rPr>
                <w:rFonts w:ascii="ZWAdobeF" w:hAnsi="ZWAdobeF" w:cs="ZWAdobeF"/>
                <w:sz w:val="2"/>
                <w:szCs w:val="2"/>
              </w:rPr>
              <w:t>39T</w:t>
            </w:r>
            <w:r w:rsidR="006A4EEA" w:rsidRPr="00C34211">
              <w:rPr>
                <w:rStyle w:val="Hyperlink"/>
                <w:b/>
                <w:noProof/>
              </w:rPr>
              <w:t>Summary</w:t>
            </w:r>
            <w:r w:rsidR="00867755">
              <w:rPr>
                <w:rStyle w:val="Hyperlink"/>
                <w:rFonts w:ascii="ZWAdobeF" w:hAnsi="ZWAdobeF" w:cs="ZWAdobeF"/>
                <w:noProof/>
                <w:color w:val="auto"/>
                <w:sz w:val="2"/>
                <w:szCs w:val="2"/>
                <w:u w:val="none"/>
              </w:rPr>
              <w:t>39T</w:t>
            </w:r>
            <w:r w:rsidRPr="00C34211">
              <w:rPr>
                <w:b/>
                <w:noProof/>
              </w:rPr>
              <w:tab/>
            </w:r>
            <w:r w:rsidRPr="00C34211">
              <w:rPr>
                <w:b/>
                <w:noProof/>
              </w:rPr>
              <w:fldChar w:fldCharType="begin"/>
            </w:r>
            <w:r w:rsidRPr="00C34211">
              <w:rPr>
                <w:b/>
                <w:noProof/>
              </w:rPr>
              <w:instrText xml:space="preserve"> PAGEREF _Toc77604571 \h </w:instrText>
            </w:r>
            <w:r w:rsidRPr="00C34211">
              <w:rPr>
                <w:b/>
                <w:noProof/>
              </w:rPr>
            </w:r>
            <w:r w:rsidRPr="00C34211">
              <w:rPr>
                <w:b/>
                <w:noProof/>
              </w:rPr>
              <w:fldChar w:fldCharType="separate"/>
            </w:r>
            <w:r w:rsidR="00867755">
              <w:rPr>
                <w:b/>
                <w:noProof/>
              </w:rPr>
              <w:t>1</w:t>
            </w:r>
            <w:r w:rsidRPr="00C34211">
              <w:rPr>
                <w:b/>
                <w:noProof/>
              </w:rPr>
              <w:fldChar w:fldCharType="end"/>
            </w:r>
          </w:hyperlink>
        </w:p>
        <w:p w14:paraId="73101A44" w14:textId="38578727" w:rsidR="006A4EEA" w:rsidRPr="00C34211" w:rsidRDefault="00317B31" w:rsidP="165C0E97">
          <w:pPr>
            <w:pStyle w:val="TOC2"/>
            <w:tabs>
              <w:tab w:val="right" w:leader="dot" w:pos="9396"/>
            </w:tabs>
            <w:rPr>
              <w:rFonts w:asciiTheme="minorHAnsi" w:eastAsiaTheme="minorEastAsia" w:hAnsiTheme="minorHAnsi" w:cstheme="minorBidi"/>
              <w:b/>
              <w:noProof/>
              <w:sz w:val="22"/>
              <w:szCs w:val="22"/>
              <w:lang w:val="en-GB" w:eastAsia="ja-JP"/>
            </w:rPr>
          </w:pPr>
          <w:hyperlink w:anchor="_Toc77604572" w:history="1">
            <w:r w:rsidR="00867755">
              <w:rPr>
                <w:rFonts w:ascii="ZWAdobeF" w:hAnsi="ZWAdobeF" w:cs="ZWAdobeF"/>
                <w:sz w:val="2"/>
                <w:szCs w:val="2"/>
              </w:rPr>
              <w:t>39T</w:t>
            </w:r>
            <w:r w:rsidR="006A4EEA" w:rsidRPr="00C34211">
              <w:rPr>
                <w:rStyle w:val="Hyperlink"/>
                <w:b/>
                <w:noProof/>
              </w:rPr>
              <w:t>Public consultation</w:t>
            </w:r>
            <w:r w:rsidR="00867755">
              <w:rPr>
                <w:rStyle w:val="Hyperlink"/>
                <w:rFonts w:ascii="ZWAdobeF" w:hAnsi="ZWAdobeF" w:cs="ZWAdobeF"/>
                <w:noProof/>
                <w:color w:val="auto"/>
                <w:sz w:val="2"/>
                <w:szCs w:val="2"/>
                <w:u w:val="none"/>
              </w:rPr>
              <w:t>39T</w:t>
            </w:r>
            <w:r w:rsidR="006A4EEA" w:rsidRPr="00C34211">
              <w:rPr>
                <w:b/>
                <w:noProof/>
              </w:rPr>
              <w:tab/>
            </w:r>
            <w:r w:rsidR="006A4EEA" w:rsidRPr="00C34211">
              <w:rPr>
                <w:b/>
                <w:noProof/>
              </w:rPr>
              <w:fldChar w:fldCharType="begin"/>
            </w:r>
            <w:r w:rsidR="006A4EEA" w:rsidRPr="00C34211">
              <w:rPr>
                <w:b/>
                <w:noProof/>
              </w:rPr>
              <w:instrText xml:space="preserve"> PAGEREF _Toc77604572 \h </w:instrText>
            </w:r>
            <w:r w:rsidR="006A4EEA" w:rsidRPr="00C34211">
              <w:rPr>
                <w:b/>
                <w:noProof/>
              </w:rPr>
            </w:r>
            <w:r w:rsidR="006A4EEA" w:rsidRPr="00C34211">
              <w:rPr>
                <w:b/>
                <w:noProof/>
              </w:rPr>
              <w:fldChar w:fldCharType="separate"/>
            </w:r>
            <w:r w:rsidR="00867755">
              <w:rPr>
                <w:b/>
                <w:noProof/>
              </w:rPr>
              <w:t>2</w:t>
            </w:r>
            <w:r w:rsidR="006A4EEA" w:rsidRPr="00C34211">
              <w:rPr>
                <w:b/>
                <w:noProof/>
              </w:rPr>
              <w:fldChar w:fldCharType="end"/>
            </w:r>
          </w:hyperlink>
        </w:p>
        <w:p w14:paraId="4BCCA3A8" w14:textId="48D647DC" w:rsidR="006A4EEA" w:rsidRPr="00C34211" w:rsidRDefault="00317B31" w:rsidP="165C0E97">
          <w:pPr>
            <w:pStyle w:val="TOC2"/>
            <w:tabs>
              <w:tab w:val="right" w:leader="dot" w:pos="9396"/>
            </w:tabs>
            <w:rPr>
              <w:rFonts w:asciiTheme="minorHAnsi" w:eastAsiaTheme="minorEastAsia" w:hAnsiTheme="minorHAnsi" w:cstheme="minorBidi"/>
              <w:b/>
              <w:noProof/>
              <w:sz w:val="22"/>
              <w:szCs w:val="22"/>
              <w:lang w:val="en-GB" w:eastAsia="ja-JP"/>
            </w:rPr>
          </w:pPr>
          <w:hyperlink w:anchor="_Toc77604573" w:history="1">
            <w:r w:rsidR="00867755">
              <w:rPr>
                <w:rFonts w:ascii="ZWAdobeF" w:hAnsi="ZWAdobeF" w:cs="ZWAdobeF"/>
                <w:sz w:val="2"/>
                <w:szCs w:val="2"/>
              </w:rPr>
              <w:t>39T</w:t>
            </w:r>
            <w:r w:rsidR="006A4EEA" w:rsidRPr="00C34211">
              <w:rPr>
                <w:rStyle w:val="Hyperlink"/>
                <w:b/>
                <w:noProof/>
              </w:rPr>
              <w:t>Providing feedback</w:t>
            </w:r>
            <w:r w:rsidR="00867755">
              <w:rPr>
                <w:rStyle w:val="Hyperlink"/>
                <w:rFonts w:ascii="ZWAdobeF" w:hAnsi="ZWAdobeF" w:cs="ZWAdobeF"/>
                <w:noProof/>
                <w:color w:val="auto"/>
                <w:sz w:val="2"/>
                <w:szCs w:val="2"/>
                <w:u w:val="none"/>
              </w:rPr>
              <w:t>39T</w:t>
            </w:r>
            <w:r w:rsidR="006A4EEA" w:rsidRPr="00C34211">
              <w:rPr>
                <w:b/>
                <w:noProof/>
              </w:rPr>
              <w:tab/>
            </w:r>
            <w:r w:rsidR="006A4EEA" w:rsidRPr="00C34211">
              <w:rPr>
                <w:b/>
                <w:noProof/>
              </w:rPr>
              <w:fldChar w:fldCharType="begin"/>
            </w:r>
            <w:r w:rsidR="006A4EEA" w:rsidRPr="00C34211">
              <w:rPr>
                <w:b/>
                <w:noProof/>
              </w:rPr>
              <w:instrText xml:space="preserve"> PAGEREF _Toc77604573 \h </w:instrText>
            </w:r>
            <w:r w:rsidR="006A4EEA" w:rsidRPr="00C34211">
              <w:rPr>
                <w:b/>
                <w:noProof/>
              </w:rPr>
            </w:r>
            <w:r w:rsidR="006A4EEA" w:rsidRPr="00C34211">
              <w:rPr>
                <w:b/>
                <w:noProof/>
              </w:rPr>
              <w:fldChar w:fldCharType="separate"/>
            </w:r>
            <w:r w:rsidR="00867755">
              <w:rPr>
                <w:b/>
                <w:noProof/>
              </w:rPr>
              <w:t>2</w:t>
            </w:r>
            <w:r w:rsidR="006A4EEA" w:rsidRPr="00C34211">
              <w:rPr>
                <w:b/>
                <w:noProof/>
              </w:rPr>
              <w:fldChar w:fldCharType="end"/>
            </w:r>
          </w:hyperlink>
        </w:p>
        <w:p w14:paraId="04AF2EBD" w14:textId="2335D9BF" w:rsidR="006A4EEA" w:rsidRPr="00C34211" w:rsidRDefault="00317B31" w:rsidP="165C0E97">
          <w:pPr>
            <w:pStyle w:val="TOC2"/>
            <w:tabs>
              <w:tab w:val="right" w:leader="dot" w:pos="9396"/>
            </w:tabs>
            <w:rPr>
              <w:rFonts w:asciiTheme="minorHAnsi" w:eastAsiaTheme="minorEastAsia" w:hAnsiTheme="minorHAnsi" w:cstheme="minorBidi"/>
              <w:b/>
              <w:noProof/>
              <w:sz w:val="22"/>
              <w:szCs w:val="22"/>
              <w:lang w:val="en-GB" w:eastAsia="ja-JP"/>
            </w:rPr>
          </w:pPr>
          <w:hyperlink w:anchor="_Toc77604574" w:history="1">
            <w:r w:rsidR="00867755">
              <w:rPr>
                <w:rFonts w:ascii="ZWAdobeF" w:hAnsi="ZWAdobeF" w:cs="ZWAdobeF"/>
                <w:sz w:val="2"/>
                <w:szCs w:val="2"/>
              </w:rPr>
              <w:t>39T</w:t>
            </w:r>
            <w:r w:rsidR="006A4EEA" w:rsidRPr="00C34211">
              <w:rPr>
                <w:rStyle w:val="Hyperlink"/>
                <w:b/>
                <w:noProof/>
              </w:rPr>
              <w:t>Publication of submissions</w:t>
            </w:r>
            <w:r w:rsidR="00867755">
              <w:rPr>
                <w:rStyle w:val="Hyperlink"/>
                <w:rFonts w:ascii="ZWAdobeF" w:hAnsi="ZWAdobeF" w:cs="ZWAdobeF"/>
                <w:noProof/>
                <w:color w:val="auto"/>
                <w:sz w:val="2"/>
                <w:szCs w:val="2"/>
                <w:u w:val="none"/>
              </w:rPr>
              <w:t>39T</w:t>
            </w:r>
            <w:r w:rsidR="006A4EEA" w:rsidRPr="00C34211">
              <w:rPr>
                <w:b/>
                <w:noProof/>
              </w:rPr>
              <w:tab/>
            </w:r>
            <w:r w:rsidR="006A4EEA" w:rsidRPr="00C34211">
              <w:rPr>
                <w:b/>
                <w:noProof/>
              </w:rPr>
              <w:fldChar w:fldCharType="begin"/>
            </w:r>
            <w:r w:rsidR="006A4EEA" w:rsidRPr="00C34211">
              <w:rPr>
                <w:b/>
                <w:noProof/>
              </w:rPr>
              <w:instrText xml:space="preserve"> PAGEREF _Toc77604574 \h </w:instrText>
            </w:r>
            <w:r w:rsidR="006A4EEA" w:rsidRPr="00C34211">
              <w:rPr>
                <w:b/>
                <w:noProof/>
              </w:rPr>
            </w:r>
            <w:r w:rsidR="006A4EEA" w:rsidRPr="00C34211">
              <w:rPr>
                <w:b/>
                <w:noProof/>
              </w:rPr>
              <w:fldChar w:fldCharType="separate"/>
            </w:r>
            <w:r w:rsidR="00867755">
              <w:rPr>
                <w:b/>
                <w:noProof/>
              </w:rPr>
              <w:t>2</w:t>
            </w:r>
            <w:r w:rsidR="006A4EEA" w:rsidRPr="00C34211">
              <w:rPr>
                <w:b/>
                <w:noProof/>
              </w:rPr>
              <w:fldChar w:fldCharType="end"/>
            </w:r>
          </w:hyperlink>
        </w:p>
        <w:p w14:paraId="4FA0BFCF" w14:textId="6CB8CE56" w:rsidR="006A4EEA" w:rsidRPr="00C34211" w:rsidRDefault="00317B31" w:rsidP="165C0E97">
          <w:pPr>
            <w:pStyle w:val="TOC2"/>
            <w:tabs>
              <w:tab w:val="right" w:leader="dot" w:pos="9396"/>
            </w:tabs>
            <w:rPr>
              <w:rFonts w:asciiTheme="minorHAnsi" w:eastAsiaTheme="minorEastAsia" w:hAnsiTheme="minorHAnsi" w:cstheme="minorBidi"/>
              <w:b/>
              <w:noProof/>
              <w:sz w:val="22"/>
              <w:szCs w:val="22"/>
              <w:lang w:val="en-GB" w:eastAsia="ja-JP"/>
            </w:rPr>
          </w:pPr>
          <w:hyperlink w:anchor="_Toc77604575" w:history="1">
            <w:r w:rsidR="00867755">
              <w:rPr>
                <w:rFonts w:ascii="ZWAdobeF" w:hAnsi="ZWAdobeF" w:cs="ZWAdobeF"/>
                <w:sz w:val="2"/>
                <w:szCs w:val="2"/>
              </w:rPr>
              <w:t>39T</w:t>
            </w:r>
            <w:r w:rsidR="006A4EEA" w:rsidRPr="00C34211">
              <w:rPr>
                <w:rStyle w:val="Hyperlink"/>
                <w:b/>
                <w:noProof/>
              </w:rPr>
              <w:t>Next steps</w:t>
            </w:r>
            <w:r w:rsidR="00867755">
              <w:rPr>
                <w:rStyle w:val="Hyperlink"/>
                <w:rFonts w:ascii="ZWAdobeF" w:hAnsi="ZWAdobeF" w:cs="ZWAdobeF"/>
                <w:noProof/>
                <w:color w:val="auto"/>
                <w:sz w:val="2"/>
                <w:szCs w:val="2"/>
                <w:u w:val="none"/>
              </w:rPr>
              <w:t>39T</w:t>
            </w:r>
            <w:r w:rsidR="006A4EEA" w:rsidRPr="00C34211">
              <w:rPr>
                <w:b/>
                <w:noProof/>
              </w:rPr>
              <w:tab/>
            </w:r>
            <w:r w:rsidR="006A4EEA" w:rsidRPr="00C34211">
              <w:rPr>
                <w:b/>
                <w:noProof/>
              </w:rPr>
              <w:fldChar w:fldCharType="begin"/>
            </w:r>
            <w:r w:rsidR="006A4EEA" w:rsidRPr="00C34211">
              <w:rPr>
                <w:b/>
                <w:noProof/>
              </w:rPr>
              <w:instrText xml:space="preserve"> PAGEREF _Toc77604575 \h </w:instrText>
            </w:r>
            <w:r w:rsidR="006A4EEA" w:rsidRPr="00C34211">
              <w:rPr>
                <w:b/>
                <w:noProof/>
              </w:rPr>
            </w:r>
            <w:r w:rsidR="006A4EEA" w:rsidRPr="00C34211">
              <w:rPr>
                <w:b/>
                <w:noProof/>
              </w:rPr>
              <w:fldChar w:fldCharType="separate"/>
            </w:r>
            <w:r w:rsidR="00867755">
              <w:rPr>
                <w:b/>
                <w:noProof/>
              </w:rPr>
              <w:t>2</w:t>
            </w:r>
            <w:r w:rsidR="006A4EEA" w:rsidRPr="00C34211">
              <w:rPr>
                <w:b/>
                <w:noProof/>
              </w:rPr>
              <w:fldChar w:fldCharType="end"/>
            </w:r>
          </w:hyperlink>
        </w:p>
        <w:p w14:paraId="64EB360C" w14:textId="49FCC105" w:rsidR="006A4EEA" w:rsidRPr="00C34211" w:rsidRDefault="00317B31" w:rsidP="165C0E97">
          <w:pPr>
            <w:pStyle w:val="TOC2"/>
            <w:tabs>
              <w:tab w:val="right" w:leader="dot" w:pos="9396"/>
            </w:tabs>
            <w:rPr>
              <w:rFonts w:asciiTheme="minorHAnsi" w:eastAsiaTheme="minorEastAsia" w:hAnsiTheme="minorHAnsi" w:cstheme="minorBidi"/>
              <w:b/>
              <w:noProof/>
              <w:sz w:val="22"/>
              <w:szCs w:val="22"/>
              <w:lang w:val="en-GB" w:eastAsia="ja-JP"/>
            </w:rPr>
          </w:pPr>
          <w:hyperlink w:anchor="_Toc77604576" w:history="1">
            <w:r w:rsidR="00867755">
              <w:rPr>
                <w:rFonts w:ascii="ZWAdobeF" w:hAnsi="ZWAdobeF" w:cs="ZWAdobeF"/>
                <w:sz w:val="2"/>
                <w:szCs w:val="2"/>
              </w:rPr>
              <w:t>39T</w:t>
            </w:r>
            <w:r w:rsidR="006A4EEA" w:rsidRPr="00C34211">
              <w:rPr>
                <w:rStyle w:val="Hyperlink"/>
                <w:b/>
                <w:noProof/>
              </w:rPr>
              <w:t>Background</w:t>
            </w:r>
            <w:r w:rsidR="00867755">
              <w:rPr>
                <w:rStyle w:val="Hyperlink"/>
                <w:rFonts w:ascii="ZWAdobeF" w:hAnsi="ZWAdobeF" w:cs="ZWAdobeF"/>
                <w:noProof/>
                <w:color w:val="auto"/>
                <w:sz w:val="2"/>
                <w:szCs w:val="2"/>
                <w:u w:val="none"/>
              </w:rPr>
              <w:t>39T</w:t>
            </w:r>
            <w:r w:rsidR="006A4EEA" w:rsidRPr="00C34211">
              <w:rPr>
                <w:b/>
                <w:noProof/>
              </w:rPr>
              <w:tab/>
            </w:r>
            <w:r w:rsidR="006A4EEA" w:rsidRPr="00C34211">
              <w:rPr>
                <w:b/>
                <w:noProof/>
              </w:rPr>
              <w:fldChar w:fldCharType="begin"/>
            </w:r>
            <w:r w:rsidR="006A4EEA" w:rsidRPr="00C34211">
              <w:rPr>
                <w:b/>
                <w:noProof/>
              </w:rPr>
              <w:instrText xml:space="preserve"> PAGEREF _Toc77604576 \h </w:instrText>
            </w:r>
            <w:r w:rsidR="006A4EEA" w:rsidRPr="00C34211">
              <w:rPr>
                <w:b/>
                <w:noProof/>
              </w:rPr>
            </w:r>
            <w:r w:rsidR="006A4EEA" w:rsidRPr="00C34211">
              <w:rPr>
                <w:b/>
                <w:noProof/>
              </w:rPr>
              <w:fldChar w:fldCharType="separate"/>
            </w:r>
            <w:r w:rsidR="00867755">
              <w:rPr>
                <w:b/>
                <w:noProof/>
              </w:rPr>
              <w:t>4</w:t>
            </w:r>
            <w:r w:rsidR="006A4EEA" w:rsidRPr="00C34211">
              <w:rPr>
                <w:b/>
                <w:noProof/>
              </w:rPr>
              <w:fldChar w:fldCharType="end"/>
            </w:r>
          </w:hyperlink>
        </w:p>
        <w:p w14:paraId="2E856000" w14:textId="269D271C" w:rsidR="006A4EEA" w:rsidRPr="00C34211" w:rsidRDefault="00317B31" w:rsidP="165C0E97">
          <w:pPr>
            <w:pStyle w:val="TOC2"/>
            <w:tabs>
              <w:tab w:val="right" w:leader="dot" w:pos="9396"/>
            </w:tabs>
            <w:rPr>
              <w:rFonts w:asciiTheme="minorHAnsi" w:eastAsiaTheme="minorEastAsia" w:hAnsiTheme="minorHAnsi" w:cstheme="minorBidi"/>
              <w:b/>
              <w:noProof/>
              <w:sz w:val="22"/>
              <w:szCs w:val="22"/>
              <w:lang w:val="en-GB" w:eastAsia="ja-JP"/>
            </w:rPr>
          </w:pPr>
          <w:hyperlink w:anchor="_Toc77604577" w:history="1">
            <w:r w:rsidR="00867755">
              <w:rPr>
                <w:rFonts w:ascii="ZWAdobeF" w:hAnsi="ZWAdobeF" w:cs="ZWAdobeF"/>
                <w:sz w:val="2"/>
                <w:szCs w:val="2"/>
              </w:rPr>
              <w:t>39T</w:t>
            </w:r>
            <w:r w:rsidR="006A4EEA" w:rsidRPr="00C34211">
              <w:rPr>
                <w:rStyle w:val="Hyperlink"/>
                <w:b/>
                <w:noProof/>
              </w:rPr>
              <w:t>Overview</w:t>
            </w:r>
            <w:r w:rsidR="00867755">
              <w:rPr>
                <w:rStyle w:val="Hyperlink"/>
                <w:rFonts w:ascii="ZWAdobeF" w:hAnsi="ZWAdobeF" w:cs="ZWAdobeF"/>
                <w:noProof/>
                <w:color w:val="auto"/>
                <w:sz w:val="2"/>
                <w:szCs w:val="2"/>
                <w:u w:val="none"/>
              </w:rPr>
              <w:t>39T</w:t>
            </w:r>
            <w:r w:rsidR="006A4EEA" w:rsidRPr="00C34211">
              <w:rPr>
                <w:b/>
                <w:noProof/>
              </w:rPr>
              <w:tab/>
            </w:r>
            <w:r w:rsidR="006A4EEA" w:rsidRPr="00C34211">
              <w:rPr>
                <w:b/>
                <w:noProof/>
              </w:rPr>
              <w:fldChar w:fldCharType="begin"/>
            </w:r>
            <w:r w:rsidR="006A4EEA" w:rsidRPr="00C34211">
              <w:rPr>
                <w:b/>
                <w:noProof/>
              </w:rPr>
              <w:instrText xml:space="preserve"> PAGEREF _Toc77604577 \h </w:instrText>
            </w:r>
            <w:r w:rsidR="006A4EEA" w:rsidRPr="00C34211">
              <w:rPr>
                <w:b/>
                <w:noProof/>
              </w:rPr>
            </w:r>
            <w:r w:rsidR="006A4EEA" w:rsidRPr="00C34211">
              <w:rPr>
                <w:b/>
                <w:noProof/>
              </w:rPr>
              <w:fldChar w:fldCharType="separate"/>
            </w:r>
            <w:r w:rsidR="00867755">
              <w:rPr>
                <w:b/>
                <w:noProof/>
              </w:rPr>
              <w:t>4</w:t>
            </w:r>
            <w:r w:rsidR="006A4EEA" w:rsidRPr="00C34211">
              <w:rPr>
                <w:b/>
                <w:noProof/>
              </w:rPr>
              <w:fldChar w:fldCharType="end"/>
            </w:r>
          </w:hyperlink>
        </w:p>
        <w:p w14:paraId="3DB0A3D3" w14:textId="62BD6A3E" w:rsidR="006A4EEA" w:rsidRPr="00C34211" w:rsidRDefault="00317B31" w:rsidP="165C0E97">
          <w:pPr>
            <w:pStyle w:val="TOC2"/>
            <w:tabs>
              <w:tab w:val="right" w:leader="dot" w:pos="9396"/>
            </w:tabs>
            <w:rPr>
              <w:rFonts w:asciiTheme="minorHAnsi" w:eastAsiaTheme="minorEastAsia" w:hAnsiTheme="minorHAnsi" w:cstheme="minorBidi"/>
              <w:b/>
              <w:noProof/>
              <w:sz w:val="22"/>
              <w:szCs w:val="22"/>
              <w:lang w:val="en-GB" w:eastAsia="ja-JP"/>
            </w:rPr>
          </w:pPr>
          <w:hyperlink w:anchor="_Toc77604580" w:history="1">
            <w:r w:rsidR="00867755">
              <w:rPr>
                <w:rFonts w:ascii="ZWAdobeF" w:hAnsi="ZWAdobeF" w:cs="ZWAdobeF"/>
                <w:sz w:val="2"/>
                <w:szCs w:val="2"/>
              </w:rPr>
              <w:t>39T</w:t>
            </w:r>
            <w:r w:rsidR="006A4EEA" w:rsidRPr="00C34211">
              <w:rPr>
                <w:rStyle w:val="Hyperlink"/>
                <w:b/>
                <w:noProof/>
              </w:rPr>
              <w:t>Broader regulatory framework of the profession</w:t>
            </w:r>
            <w:r w:rsidR="00867755">
              <w:rPr>
                <w:rStyle w:val="Hyperlink"/>
                <w:rFonts w:ascii="ZWAdobeF" w:hAnsi="ZWAdobeF" w:cs="ZWAdobeF"/>
                <w:noProof/>
                <w:color w:val="auto"/>
                <w:sz w:val="2"/>
                <w:szCs w:val="2"/>
                <w:u w:val="none"/>
              </w:rPr>
              <w:t>39T</w:t>
            </w:r>
            <w:r w:rsidR="006A4EEA" w:rsidRPr="00C34211">
              <w:rPr>
                <w:b/>
                <w:noProof/>
              </w:rPr>
              <w:tab/>
            </w:r>
            <w:r w:rsidR="006A4EEA" w:rsidRPr="00C34211">
              <w:rPr>
                <w:b/>
                <w:noProof/>
              </w:rPr>
              <w:fldChar w:fldCharType="begin"/>
            </w:r>
            <w:r w:rsidR="006A4EEA" w:rsidRPr="00C34211">
              <w:rPr>
                <w:b/>
                <w:noProof/>
              </w:rPr>
              <w:instrText xml:space="preserve"> PAGEREF _Toc77604580 \h </w:instrText>
            </w:r>
            <w:r w:rsidR="006A4EEA" w:rsidRPr="00C34211">
              <w:rPr>
                <w:b/>
                <w:noProof/>
              </w:rPr>
            </w:r>
            <w:r w:rsidR="006A4EEA" w:rsidRPr="00C34211">
              <w:rPr>
                <w:b/>
                <w:noProof/>
              </w:rPr>
              <w:fldChar w:fldCharType="separate"/>
            </w:r>
            <w:r w:rsidR="00867755">
              <w:rPr>
                <w:b/>
                <w:noProof/>
              </w:rPr>
              <w:t>5</w:t>
            </w:r>
            <w:r w:rsidR="006A4EEA" w:rsidRPr="00C34211">
              <w:rPr>
                <w:b/>
                <w:noProof/>
              </w:rPr>
              <w:fldChar w:fldCharType="end"/>
            </w:r>
          </w:hyperlink>
        </w:p>
        <w:p w14:paraId="2ECF6A30" w14:textId="336BE1EF" w:rsidR="006A4EEA" w:rsidRPr="00C34211" w:rsidRDefault="00317B31" w:rsidP="165C0E97">
          <w:pPr>
            <w:pStyle w:val="TOC2"/>
            <w:tabs>
              <w:tab w:val="right" w:leader="dot" w:pos="9396"/>
            </w:tabs>
            <w:rPr>
              <w:rFonts w:asciiTheme="minorHAnsi" w:eastAsiaTheme="minorEastAsia" w:hAnsiTheme="minorHAnsi" w:cstheme="minorBidi"/>
              <w:b/>
              <w:noProof/>
              <w:sz w:val="22"/>
              <w:szCs w:val="22"/>
              <w:lang w:val="en-GB" w:eastAsia="ja-JP"/>
            </w:rPr>
          </w:pPr>
          <w:hyperlink w:anchor="_Toc77604587" w:history="1">
            <w:r w:rsidR="00867755">
              <w:rPr>
                <w:rFonts w:ascii="ZWAdobeF" w:hAnsi="ZWAdobeF" w:cs="ZWAdobeF"/>
                <w:sz w:val="2"/>
                <w:szCs w:val="2"/>
              </w:rPr>
              <w:t>39T</w:t>
            </w:r>
            <w:r w:rsidR="006A4EEA" w:rsidRPr="00C34211">
              <w:rPr>
                <w:rStyle w:val="Hyperlink"/>
                <w:b/>
                <w:noProof/>
              </w:rPr>
              <w:t>Development of options for the review</w:t>
            </w:r>
            <w:r w:rsidR="00867755">
              <w:rPr>
                <w:rStyle w:val="Hyperlink"/>
                <w:rFonts w:ascii="ZWAdobeF" w:hAnsi="ZWAdobeF" w:cs="ZWAdobeF"/>
                <w:noProof/>
                <w:color w:val="auto"/>
                <w:sz w:val="2"/>
                <w:szCs w:val="2"/>
                <w:u w:val="none"/>
              </w:rPr>
              <w:t>39T</w:t>
            </w:r>
            <w:r w:rsidR="006A4EEA" w:rsidRPr="00C34211">
              <w:rPr>
                <w:b/>
                <w:noProof/>
              </w:rPr>
              <w:tab/>
            </w:r>
            <w:r w:rsidR="006A4EEA" w:rsidRPr="00C34211">
              <w:rPr>
                <w:b/>
                <w:noProof/>
              </w:rPr>
              <w:fldChar w:fldCharType="begin"/>
            </w:r>
            <w:r w:rsidR="006A4EEA" w:rsidRPr="00C34211">
              <w:rPr>
                <w:b/>
                <w:noProof/>
              </w:rPr>
              <w:instrText xml:space="preserve"> PAGEREF _Toc77604587 \h </w:instrText>
            </w:r>
            <w:r w:rsidR="006A4EEA" w:rsidRPr="00C34211">
              <w:rPr>
                <w:b/>
                <w:noProof/>
              </w:rPr>
            </w:r>
            <w:r w:rsidR="006A4EEA" w:rsidRPr="00C34211">
              <w:rPr>
                <w:b/>
                <w:noProof/>
              </w:rPr>
              <w:fldChar w:fldCharType="separate"/>
            </w:r>
            <w:r w:rsidR="00867755">
              <w:rPr>
                <w:b/>
                <w:noProof/>
              </w:rPr>
              <w:t>7</w:t>
            </w:r>
            <w:r w:rsidR="006A4EEA" w:rsidRPr="00C34211">
              <w:rPr>
                <w:b/>
                <w:noProof/>
              </w:rPr>
              <w:fldChar w:fldCharType="end"/>
            </w:r>
          </w:hyperlink>
        </w:p>
        <w:p w14:paraId="66298D59" w14:textId="19E36ACB" w:rsidR="006A4EEA" w:rsidRPr="00C34211" w:rsidRDefault="00317B31" w:rsidP="165C0E97">
          <w:pPr>
            <w:pStyle w:val="TOC2"/>
            <w:tabs>
              <w:tab w:val="right" w:leader="dot" w:pos="9396"/>
            </w:tabs>
            <w:rPr>
              <w:rFonts w:asciiTheme="minorHAnsi" w:eastAsiaTheme="minorEastAsia" w:hAnsiTheme="minorHAnsi" w:cstheme="minorBidi"/>
              <w:b/>
              <w:noProof/>
              <w:sz w:val="22"/>
              <w:szCs w:val="22"/>
              <w:lang w:val="en-GB" w:eastAsia="ja-JP"/>
            </w:rPr>
          </w:pPr>
          <w:hyperlink w:anchor="_Toc77604588" w:history="1">
            <w:r w:rsidR="00867755">
              <w:rPr>
                <w:rFonts w:ascii="ZWAdobeF" w:hAnsi="ZWAdobeF" w:cs="ZWAdobeF"/>
                <w:sz w:val="2"/>
                <w:szCs w:val="2"/>
              </w:rPr>
              <w:t>39T</w:t>
            </w:r>
            <w:r w:rsidR="006A4EEA" w:rsidRPr="00C34211">
              <w:rPr>
                <w:rStyle w:val="Hyperlink"/>
                <w:b/>
                <w:noProof/>
              </w:rPr>
              <w:t>Changes proposed by the Board</w:t>
            </w:r>
            <w:r w:rsidR="00867755">
              <w:rPr>
                <w:rStyle w:val="Hyperlink"/>
                <w:rFonts w:ascii="ZWAdobeF" w:hAnsi="ZWAdobeF" w:cs="ZWAdobeF"/>
                <w:noProof/>
                <w:color w:val="auto"/>
                <w:sz w:val="2"/>
                <w:szCs w:val="2"/>
                <w:u w:val="none"/>
              </w:rPr>
              <w:t>39T</w:t>
            </w:r>
            <w:r w:rsidR="006A4EEA" w:rsidRPr="00C34211">
              <w:rPr>
                <w:b/>
                <w:noProof/>
              </w:rPr>
              <w:tab/>
            </w:r>
            <w:r w:rsidR="006A4EEA" w:rsidRPr="00C34211">
              <w:rPr>
                <w:b/>
                <w:noProof/>
              </w:rPr>
              <w:fldChar w:fldCharType="begin"/>
            </w:r>
            <w:r w:rsidR="006A4EEA" w:rsidRPr="00C34211">
              <w:rPr>
                <w:b/>
                <w:noProof/>
              </w:rPr>
              <w:instrText xml:space="preserve"> PAGEREF _Toc77604588 \h </w:instrText>
            </w:r>
            <w:r w:rsidR="006A4EEA" w:rsidRPr="00C34211">
              <w:rPr>
                <w:b/>
                <w:noProof/>
              </w:rPr>
            </w:r>
            <w:r w:rsidR="006A4EEA" w:rsidRPr="00C34211">
              <w:rPr>
                <w:b/>
                <w:noProof/>
              </w:rPr>
              <w:fldChar w:fldCharType="separate"/>
            </w:r>
            <w:r w:rsidR="00867755">
              <w:rPr>
                <w:b/>
                <w:noProof/>
              </w:rPr>
              <w:t>7</w:t>
            </w:r>
            <w:r w:rsidR="006A4EEA" w:rsidRPr="00C34211">
              <w:rPr>
                <w:b/>
                <w:noProof/>
              </w:rPr>
              <w:fldChar w:fldCharType="end"/>
            </w:r>
          </w:hyperlink>
        </w:p>
        <w:p w14:paraId="3B190E1B" w14:textId="3101442C" w:rsidR="006A4EEA" w:rsidRPr="00C34211" w:rsidRDefault="00317B31" w:rsidP="165C0E97">
          <w:pPr>
            <w:pStyle w:val="TOC2"/>
            <w:tabs>
              <w:tab w:val="right" w:leader="dot" w:pos="9396"/>
            </w:tabs>
            <w:rPr>
              <w:rFonts w:asciiTheme="minorHAnsi" w:eastAsiaTheme="minorEastAsia" w:hAnsiTheme="minorHAnsi" w:cstheme="minorBidi"/>
              <w:b/>
              <w:noProof/>
              <w:sz w:val="22"/>
              <w:szCs w:val="22"/>
              <w:lang w:val="en-GB" w:eastAsia="ja-JP"/>
            </w:rPr>
          </w:pPr>
          <w:hyperlink w:anchor="_Toc77604592" w:history="1">
            <w:r w:rsidR="00867755">
              <w:rPr>
                <w:rFonts w:ascii="ZWAdobeF" w:hAnsi="ZWAdobeF" w:cs="ZWAdobeF"/>
                <w:sz w:val="2"/>
                <w:szCs w:val="2"/>
              </w:rPr>
              <w:t>39T</w:t>
            </w:r>
            <w:r w:rsidR="006A4EEA" w:rsidRPr="00C34211">
              <w:rPr>
                <w:rStyle w:val="Hyperlink"/>
                <w:b/>
                <w:noProof/>
              </w:rPr>
              <w:t>Rationale for changes proposed by the Board</w:t>
            </w:r>
            <w:r w:rsidR="00867755">
              <w:rPr>
                <w:rStyle w:val="Hyperlink"/>
                <w:rFonts w:ascii="ZWAdobeF" w:hAnsi="ZWAdobeF" w:cs="ZWAdobeF"/>
                <w:noProof/>
                <w:color w:val="auto"/>
                <w:sz w:val="2"/>
                <w:szCs w:val="2"/>
                <w:u w:val="none"/>
              </w:rPr>
              <w:t>39T</w:t>
            </w:r>
            <w:r w:rsidR="006A4EEA" w:rsidRPr="00C34211">
              <w:rPr>
                <w:b/>
                <w:noProof/>
              </w:rPr>
              <w:tab/>
            </w:r>
            <w:r w:rsidR="006A4EEA" w:rsidRPr="00C34211">
              <w:rPr>
                <w:b/>
                <w:noProof/>
              </w:rPr>
              <w:fldChar w:fldCharType="begin"/>
            </w:r>
            <w:r w:rsidR="006A4EEA" w:rsidRPr="00C34211">
              <w:rPr>
                <w:b/>
                <w:noProof/>
              </w:rPr>
              <w:instrText xml:space="preserve"> PAGEREF _Toc77604592 \h </w:instrText>
            </w:r>
            <w:r w:rsidR="006A4EEA" w:rsidRPr="00C34211">
              <w:rPr>
                <w:b/>
                <w:noProof/>
              </w:rPr>
            </w:r>
            <w:r w:rsidR="006A4EEA" w:rsidRPr="00C34211">
              <w:rPr>
                <w:b/>
                <w:noProof/>
              </w:rPr>
              <w:fldChar w:fldCharType="separate"/>
            </w:r>
            <w:r w:rsidR="00867755">
              <w:rPr>
                <w:b/>
                <w:noProof/>
              </w:rPr>
              <w:t>8</w:t>
            </w:r>
            <w:r w:rsidR="006A4EEA" w:rsidRPr="00C34211">
              <w:rPr>
                <w:b/>
                <w:noProof/>
              </w:rPr>
              <w:fldChar w:fldCharType="end"/>
            </w:r>
          </w:hyperlink>
        </w:p>
        <w:p w14:paraId="62A6DDD1" w14:textId="75974AF7" w:rsidR="006A4EEA" w:rsidRPr="00C34211" w:rsidRDefault="00317B31" w:rsidP="165C0E97">
          <w:pPr>
            <w:pStyle w:val="TOC2"/>
            <w:tabs>
              <w:tab w:val="right" w:leader="dot" w:pos="9396"/>
            </w:tabs>
            <w:rPr>
              <w:rFonts w:asciiTheme="minorHAnsi" w:eastAsiaTheme="minorEastAsia" w:hAnsiTheme="minorHAnsi" w:cstheme="minorBidi"/>
              <w:b/>
              <w:noProof/>
              <w:sz w:val="22"/>
              <w:szCs w:val="22"/>
              <w:lang w:val="en-GB" w:eastAsia="ja-JP"/>
            </w:rPr>
          </w:pPr>
          <w:hyperlink w:anchor="_Toc77604600" w:history="1">
            <w:r w:rsidR="00867755">
              <w:rPr>
                <w:rFonts w:ascii="ZWAdobeF" w:hAnsi="ZWAdobeF" w:cs="ZWAdobeF"/>
                <w:sz w:val="2"/>
                <w:szCs w:val="2"/>
              </w:rPr>
              <w:t>39T</w:t>
            </w:r>
            <w:r w:rsidR="006A4EEA" w:rsidRPr="00C34211">
              <w:rPr>
                <w:rStyle w:val="Hyperlink"/>
                <w:b/>
                <w:noProof/>
              </w:rPr>
              <w:t>Options</w:t>
            </w:r>
            <w:r w:rsidR="00867755">
              <w:rPr>
                <w:rStyle w:val="Hyperlink"/>
                <w:rFonts w:ascii="ZWAdobeF" w:hAnsi="ZWAdobeF" w:cs="ZWAdobeF"/>
                <w:noProof/>
                <w:color w:val="auto"/>
                <w:sz w:val="2"/>
                <w:szCs w:val="2"/>
                <w:u w:val="none"/>
              </w:rPr>
              <w:t>39T</w:t>
            </w:r>
            <w:r w:rsidR="006A4EEA" w:rsidRPr="00C34211">
              <w:rPr>
                <w:b/>
                <w:noProof/>
              </w:rPr>
              <w:tab/>
            </w:r>
            <w:r w:rsidR="006A4EEA" w:rsidRPr="00C34211">
              <w:rPr>
                <w:b/>
                <w:noProof/>
              </w:rPr>
              <w:fldChar w:fldCharType="begin"/>
            </w:r>
            <w:r w:rsidR="006A4EEA" w:rsidRPr="00C34211">
              <w:rPr>
                <w:b/>
                <w:noProof/>
              </w:rPr>
              <w:instrText xml:space="preserve"> PAGEREF _Toc77604600 \h </w:instrText>
            </w:r>
            <w:r w:rsidR="006A4EEA" w:rsidRPr="00C34211">
              <w:rPr>
                <w:b/>
                <w:noProof/>
              </w:rPr>
            </w:r>
            <w:r w:rsidR="006A4EEA" w:rsidRPr="00C34211">
              <w:rPr>
                <w:b/>
                <w:noProof/>
              </w:rPr>
              <w:fldChar w:fldCharType="separate"/>
            </w:r>
            <w:r w:rsidR="00867755">
              <w:rPr>
                <w:b/>
                <w:noProof/>
              </w:rPr>
              <w:t>10</w:t>
            </w:r>
            <w:r w:rsidR="006A4EEA" w:rsidRPr="00C34211">
              <w:rPr>
                <w:b/>
                <w:noProof/>
              </w:rPr>
              <w:fldChar w:fldCharType="end"/>
            </w:r>
          </w:hyperlink>
        </w:p>
        <w:p w14:paraId="36988A58" w14:textId="21CBEF82" w:rsidR="006A4EEA" w:rsidRPr="00C34211" w:rsidRDefault="00317B31" w:rsidP="165C0E97">
          <w:pPr>
            <w:pStyle w:val="TOC2"/>
            <w:tabs>
              <w:tab w:val="right" w:leader="dot" w:pos="9396"/>
            </w:tabs>
            <w:rPr>
              <w:rFonts w:asciiTheme="minorHAnsi" w:eastAsiaTheme="minorEastAsia" w:hAnsiTheme="minorHAnsi" w:cstheme="minorBidi"/>
              <w:b/>
              <w:noProof/>
              <w:sz w:val="22"/>
              <w:szCs w:val="22"/>
              <w:lang w:val="en-GB" w:eastAsia="ja-JP"/>
            </w:rPr>
          </w:pPr>
          <w:hyperlink w:anchor="_Toc77604601" w:history="1">
            <w:r w:rsidR="00867755">
              <w:rPr>
                <w:rFonts w:ascii="ZWAdobeF" w:hAnsi="ZWAdobeF" w:cs="ZWAdobeF"/>
                <w:sz w:val="2"/>
                <w:szCs w:val="2"/>
              </w:rPr>
              <w:t>39T</w:t>
            </w:r>
            <w:r w:rsidR="006A4EEA" w:rsidRPr="00C34211">
              <w:rPr>
                <w:rStyle w:val="Hyperlink"/>
                <w:b/>
                <w:noProof/>
              </w:rPr>
              <w:t>Preferred option</w:t>
            </w:r>
            <w:r w:rsidR="00867755">
              <w:rPr>
                <w:rStyle w:val="Hyperlink"/>
                <w:rFonts w:ascii="ZWAdobeF" w:hAnsi="ZWAdobeF" w:cs="ZWAdobeF"/>
                <w:noProof/>
                <w:color w:val="auto"/>
                <w:sz w:val="2"/>
                <w:szCs w:val="2"/>
                <w:u w:val="none"/>
              </w:rPr>
              <w:t>39T</w:t>
            </w:r>
            <w:r w:rsidR="006A4EEA" w:rsidRPr="00C34211">
              <w:rPr>
                <w:b/>
                <w:noProof/>
              </w:rPr>
              <w:tab/>
            </w:r>
            <w:r w:rsidR="006A4EEA" w:rsidRPr="00C34211">
              <w:rPr>
                <w:b/>
                <w:noProof/>
              </w:rPr>
              <w:fldChar w:fldCharType="begin"/>
            </w:r>
            <w:r w:rsidR="006A4EEA" w:rsidRPr="00C34211">
              <w:rPr>
                <w:b/>
                <w:noProof/>
              </w:rPr>
              <w:instrText xml:space="preserve"> PAGEREF _Toc77604601 \h </w:instrText>
            </w:r>
            <w:r w:rsidR="006A4EEA" w:rsidRPr="00C34211">
              <w:rPr>
                <w:b/>
                <w:noProof/>
              </w:rPr>
            </w:r>
            <w:r w:rsidR="006A4EEA" w:rsidRPr="00C34211">
              <w:rPr>
                <w:b/>
                <w:noProof/>
              </w:rPr>
              <w:fldChar w:fldCharType="separate"/>
            </w:r>
            <w:r w:rsidR="00867755">
              <w:rPr>
                <w:b/>
                <w:noProof/>
              </w:rPr>
              <w:t>11</w:t>
            </w:r>
            <w:r w:rsidR="006A4EEA" w:rsidRPr="00C34211">
              <w:rPr>
                <w:b/>
                <w:noProof/>
              </w:rPr>
              <w:fldChar w:fldCharType="end"/>
            </w:r>
          </w:hyperlink>
        </w:p>
        <w:p w14:paraId="15002FA2" w14:textId="28632F5D" w:rsidR="006A4EEA" w:rsidRPr="00C34211" w:rsidRDefault="00317B31" w:rsidP="165C0E97">
          <w:pPr>
            <w:pStyle w:val="TOC2"/>
            <w:tabs>
              <w:tab w:val="right" w:leader="dot" w:pos="9396"/>
            </w:tabs>
            <w:rPr>
              <w:rFonts w:asciiTheme="minorHAnsi" w:eastAsiaTheme="minorEastAsia" w:hAnsiTheme="minorHAnsi" w:cstheme="minorBidi"/>
              <w:b/>
              <w:noProof/>
              <w:sz w:val="22"/>
              <w:szCs w:val="22"/>
              <w:lang w:val="en-GB" w:eastAsia="ja-JP"/>
            </w:rPr>
          </w:pPr>
          <w:hyperlink w:anchor="_Toc77604602" w:history="1">
            <w:r w:rsidR="00867755">
              <w:rPr>
                <w:rFonts w:ascii="ZWAdobeF" w:hAnsi="ZWAdobeF" w:cs="ZWAdobeF"/>
                <w:sz w:val="2"/>
                <w:szCs w:val="2"/>
              </w:rPr>
              <w:t>39T</w:t>
            </w:r>
            <w:r w:rsidR="006A4EEA" w:rsidRPr="00C34211">
              <w:rPr>
                <w:rStyle w:val="Hyperlink"/>
                <w:b/>
                <w:noProof/>
              </w:rPr>
              <w:t xml:space="preserve">Estimated impacts of replacing </w:t>
            </w:r>
            <w:r w:rsidR="005F11EF">
              <w:rPr>
                <w:rStyle w:val="Hyperlink"/>
                <w:b/>
                <w:noProof/>
              </w:rPr>
              <w:t>the g</w:t>
            </w:r>
            <w:r w:rsidR="006A4EEA" w:rsidRPr="00C34211">
              <w:rPr>
                <w:rStyle w:val="Hyperlink"/>
                <w:b/>
                <w:noProof/>
              </w:rPr>
              <w:t>uidelines with other resources</w:t>
            </w:r>
            <w:r w:rsidR="00867755">
              <w:rPr>
                <w:rStyle w:val="Hyperlink"/>
                <w:rFonts w:ascii="ZWAdobeF" w:hAnsi="ZWAdobeF" w:cs="ZWAdobeF"/>
                <w:noProof/>
                <w:color w:val="auto"/>
                <w:sz w:val="2"/>
                <w:szCs w:val="2"/>
                <w:u w:val="none"/>
              </w:rPr>
              <w:t>39T</w:t>
            </w:r>
            <w:r w:rsidR="006A4EEA" w:rsidRPr="00C34211">
              <w:rPr>
                <w:b/>
                <w:noProof/>
              </w:rPr>
              <w:tab/>
            </w:r>
            <w:r w:rsidR="006A4EEA" w:rsidRPr="00C34211">
              <w:rPr>
                <w:b/>
                <w:noProof/>
              </w:rPr>
              <w:fldChar w:fldCharType="begin"/>
            </w:r>
            <w:r w:rsidR="006A4EEA" w:rsidRPr="00C34211">
              <w:rPr>
                <w:b/>
                <w:noProof/>
              </w:rPr>
              <w:instrText xml:space="preserve"> PAGEREF _Toc77604602 \h </w:instrText>
            </w:r>
            <w:r w:rsidR="006A4EEA" w:rsidRPr="00C34211">
              <w:rPr>
                <w:b/>
                <w:noProof/>
              </w:rPr>
            </w:r>
            <w:r w:rsidR="006A4EEA" w:rsidRPr="00C34211">
              <w:rPr>
                <w:b/>
                <w:noProof/>
              </w:rPr>
              <w:fldChar w:fldCharType="separate"/>
            </w:r>
            <w:r w:rsidR="00867755">
              <w:rPr>
                <w:b/>
                <w:noProof/>
              </w:rPr>
              <w:t>11</w:t>
            </w:r>
            <w:r w:rsidR="006A4EEA" w:rsidRPr="00C34211">
              <w:rPr>
                <w:b/>
                <w:noProof/>
              </w:rPr>
              <w:fldChar w:fldCharType="end"/>
            </w:r>
          </w:hyperlink>
        </w:p>
        <w:p w14:paraId="181CC76A" w14:textId="6B3DBAD8" w:rsidR="006A4EEA" w:rsidRPr="00C34211" w:rsidRDefault="00317B31" w:rsidP="165C0E97">
          <w:pPr>
            <w:pStyle w:val="TOC2"/>
            <w:tabs>
              <w:tab w:val="right" w:leader="dot" w:pos="9396"/>
            </w:tabs>
            <w:rPr>
              <w:rFonts w:asciiTheme="minorHAnsi" w:eastAsiaTheme="minorEastAsia" w:hAnsiTheme="minorHAnsi" w:cstheme="minorBidi"/>
              <w:b/>
              <w:noProof/>
              <w:sz w:val="22"/>
              <w:szCs w:val="22"/>
              <w:lang w:val="en-GB" w:eastAsia="ja-JP"/>
            </w:rPr>
          </w:pPr>
          <w:hyperlink w:anchor="_Toc77604608" w:history="1">
            <w:r w:rsidR="00867755">
              <w:rPr>
                <w:rFonts w:ascii="ZWAdobeF" w:hAnsi="ZWAdobeF" w:cs="ZWAdobeF"/>
                <w:sz w:val="2"/>
                <w:szCs w:val="2"/>
              </w:rPr>
              <w:t>39T</w:t>
            </w:r>
            <w:r w:rsidR="006A4EEA" w:rsidRPr="00C34211">
              <w:rPr>
                <w:rStyle w:val="Hyperlink"/>
                <w:b/>
                <w:noProof/>
              </w:rPr>
              <w:t>Questions for consideration</w:t>
            </w:r>
            <w:r w:rsidR="00867755">
              <w:rPr>
                <w:rStyle w:val="Hyperlink"/>
                <w:rFonts w:ascii="ZWAdobeF" w:hAnsi="ZWAdobeF" w:cs="ZWAdobeF"/>
                <w:noProof/>
                <w:color w:val="auto"/>
                <w:sz w:val="2"/>
                <w:szCs w:val="2"/>
                <w:u w:val="none"/>
              </w:rPr>
              <w:t>39T</w:t>
            </w:r>
            <w:r w:rsidR="006A4EEA" w:rsidRPr="00C34211">
              <w:rPr>
                <w:b/>
                <w:noProof/>
              </w:rPr>
              <w:tab/>
            </w:r>
            <w:r w:rsidR="006A4EEA" w:rsidRPr="00C34211">
              <w:rPr>
                <w:b/>
                <w:noProof/>
              </w:rPr>
              <w:fldChar w:fldCharType="begin"/>
            </w:r>
            <w:r w:rsidR="006A4EEA" w:rsidRPr="00C34211">
              <w:rPr>
                <w:b/>
                <w:noProof/>
              </w:rPr>
              <w:instrText xml:space="preserve"> PAGEREF _Toc77604608 \h </w:instrText>
            </w:r>
            <w:r w:rsidR="006A4EEA" w:rsidRPr="00C34211">
              <w:rPr>
                <w:b/>
                <w:noProof/>
              </w:rPr>
            </w:r>
            <w:r w:rsidR="006A4EEA" w:rsidRPr="00C34211">
              <w:rPr>
                <w:b/>
                <w:noProof/>
              </w:rPr>
              <w:fldChar w:fldCharType="separate"/>
            </w:r>
            <w:r w:rsidR="00867755">
              <w:rPr>
                <w:b/>
                <w:noProof/>
              </w:rPr>
              <w:t>12</w:t>
            </w:r>
            <w:r w:rsidR="006A4EEA" w:rsidRPr="00C34211">
              <w:rPr>
                <w:b/>
                <w:noProof/>
              </w:rPr>
              <w:fldChar w:fldCharType="end"/>
            </w:r>
          </w:hyperlink>
        </w:p>
        <w:p w14:paraId="231AF956" w14:textId="3D31B22A" w:rsidR="006A4EEA" w:rsidRPr="00C34211" w:rsidRDefault="00317B31" w:rsidP="165C0E97">
          <w:pPr>
            <w:pStyle w:val="TOC2"/>
            <w:tabs>
              <w:tab w:val="right" w:leader="dot" w:pos="9396"/>
            </w:tabs>
            <w:rPr>
              <w:rFonts w:asciiTheme="minorHAnsi" w:eastAsiaTheme="minorEastAsia" w:hAnsiTheme="minorHAnsi" w:cstheme="minorBidi"/>
              <w:b/>
              <w:noProof/>
              <w:sz w:val="22"/>
              <w:szCs w:val="22"/>
              <w:lang w:val="en-GB" w:eastAsia="ja-JP"/>
            </w:rPr>
          </w:pPr>
          <w:hyperlink w:anchor="_Toc77604609" w:history="1">
            <w:r w:rsidR="00867755">
              <w:rPr>
                <w:rFonts w:ascii="ZWAdobeF" w:hAnsi="ZWAdobeF" w:cs="ZWAdobeF"/>
                <w:sz w:val="2"/>
                <w:szCs w:val="2"/>
              </w:rPr>
              <w:t>39T</w:t>
            </w:r>
            <w:r w:rsidR="006A4EEA" w:rsidRPr="00C34211">
              <w:rPr>
                <w:rStyle w:val="Hyperlink"/>
                <w:b/>
                <w:noProof/>
              </w:rPr>
              <w:t>Relevant sections of the National Law</w:t>
            </w:r>
            <w:r w:rsidR="00867755">
              <w:rPr>
                <w:rStyle w:val="Hyperlink"/>
                <w:rFonts w:ascii="ZWAdobeF" w:hAnsi="ZWAdobeF" w:cs="ZWAdobeF"/>
                <w:noProof/>
                <w:color w:val="auto"/>
                <w:sz w:val="2"/>
                <w:szCs w:val="2"/>
                <w:u w:val="none"/>
              </w:rPr>
              <w:t>39T</w:t>
            </w:r>
            <w:r w:rsidR="006A4EEA" w:rsidRPr="00C34211">
              <w:rPr>
                <w:b/>
                <w:noProof/>
              </w:rPr>
              <w:tab/>
            </w:r>
            <w:r w:rsidR="006A4EEA" w:rsidRPr="00C34211">
              <w:rPr>
                <w:b/>
                <w:noProof/>
              </w:rPr>
              <w:fldChar w:fldCharType="begin"/>
            </w:r>
            <w:r w:rsidR="006A4EEA" w:rsidRPr="00C34211">
              <w:rPr>
                <w:b/>
                <w:noProof/>
              </w:rPr>
              <w:instrText xml:space="preserve"> PAGEREF _Toc77604609 \h </w:instrText>
            </w:r>
            <w:r w:rsidR="006A4EEA" w:rsidRPr="00C34211">
              <w:rPr>
                <w:b/>
                <w:noProof/>
              </w:rPr>
            </w:r>
            <w:r w:rsidR="006A4EEA" w:rsidRPr="00C34211">
              <w:rPr>
                <w:b/>
                <w:noProof/>
              </w:rPr>
              <w:fldChar w:fldCharType="separate"/>
            </w:r>
            <w:r w:rsidR="00867755">
              <w:rPr>
                <w:b/>
                <w:noProof/>
              </w:rPr>
              <w:t>13</w:t>
            </w:r>
            <w:r w:rsidR="006A4EEA" w:rsidRPr="00C34211">
              <w:rPr>
                <w:b/>
                <w:noProof/>
              </w:rPr>
              <w:fldChar w:fldCharType="end"/>
            </w:r>
          </w:hyperlink>
        </w:p>
        <w:p w14:paraId="5CDC2B30" w14:textId="4F684C7E" w:rsidR="006A4EEA" w:rsidRDefault="00317B31" w:rsidP="165C0E97">
          <w:pPr>
            <w:pStyle w:val="TOC2"/>
            <w:tabs>
              <w:tab w:val="right" w:leader="dot" w:pos="9396"/>
            </w:tabs>
            <w:rPr>
              <w:rFonts w:asciiTheme="minorHAnsi" w:eastAsiaTheme="minorEastAsia" w:hAnsiTheme="minorHAnsi" w:cstheme="minorBidi"/>
              <w:noProof/>
              <w:sz w:val="22"/>
              <w:szCs w:val="22"/>
              <w:lang w:val="en-GB" w:eastAsia="ja-JP"/>
            </w:rPr>
          </w:pPr>
          <w:hyperlink w:anchor="_Toc77604610" w:history="1">
            <w:r w:rsidR="00867755">
              <w:rPr>
                <w:rFonts w:ascii="ZWAdobeF" w:hAnsi="ZWAdobeF" w:cs="ZWAdobeF"/>
                <w:sz w:val="2"/>
                <w:szCs w:val="2"/>
              </w:rPr>
              <w:t>39T</w:t>
            </w:r>
            <w:r w:rsidR="006A4EEA" w:rsidRPr="00C34211">
              <w:rPr>
                <w:rStyle w:val="Hyperlink"/>
                <w:b/>
                <w:noProof/>
              </w:rPr>
              <w:t>Attachments</w:t>
            </w:r>
            <w:r w:rsidR="00867755">
              <w:rPr>
                <w:rStyle w:val="Hyperlink"/>
                <w:rFonts w:ascii="ZWAdobeF" w:hAnsi="ZWAdobeF" w:cs="ZWAdobeF"/>
                <w:noProof/>
                <w:color w:val="auto"/>
                <w:sz w:val="2"/>
                <w:szCs w:val="2"/>
                <w:u w:val="none"/>
              </w:rPr>
              <w:t>39T</w:t>
            </w:r>
            <w:r w:rsidR="006A4EEA" w:rsidRPr="00C34211">
              <w:rPr>
                <w:b/>
                <w:noProof/>
              </w:rPr>
              <w:tab/>
            </w:r>
            <w:r w:rsidR="006A4EEA" w:rsidRPr="00C34211">
              <w:rPr>
                <w:b/>
                <w:noProof/>
              </w:rPr>
              <w:fldChar w:fldCharType="begin"/>
            </w:r>
            <w:r w:rsidR="006A4EEA" w:rsidRPr="00C34211">
              <w:rPr>
                <w:b/>
                <w:noProof/>
              </w:rPr>
              <w:instrText xml:space="preserve"> PAGEREF _Toc77604610 \h </w:instrText>
            </w:r>
            <w:r w:rsidR="006A4EEA" w:rsidRPr="00C34211">
              <w:rPr>
                <w:b/>
                <w:noProof/>
              </w:rPr>
            </w:r>
            <w:r w:rsidR="006A4EEA" w:rsidRPr="00C34211">
              <w:rPr>
                <w:b/>
                <w:noProof/>
              </w:rPr>
              <w:fldChar w:fldCharType="separate"/>
            </w:r>
            <w:r w:rsidR="00867755">
              <w:rPr>
                <w:b/>
                <w:noProof/>
              </w:rPr>
              <w:t>13</w:t>
            </w:r>
            <w:r w:rsidR="006A4EEA" w:rsidRPr="00C34211">
              <w:rPr>
                <w:b/>
                <w:noProof/>
              </w:rPr>
              <w:fldChar w:fldCharType="end"/>
            </w:r>
          </w:hyperlink>
        </w:p>
        <w:p w14:paraId="49E94C90" w14:textId="50D5B6AC" w:rsidR="00E21690" w:rsidRDefault="00B1443A">
          <w:r w:rsidRPr="00510AA5">
            <w:rPr>
              <w:b/>
              <w:noProof/>
              <w:color w:val="007DC3"/>
            </w:rPr>
            <w:fldChar w:fldCharType="end"/>
          </w:r>
        </w:p>
      </w:sdtContent>
    </w:sdt>
    <w:p w14:paraId="4547301F" w14:textId="570DE07D" w:rsidR="00A078BA" w:rsidRDefault="00A078BA" w:rsidP="00A078BA">
      <w:pPr>
        <w:tabs>
          <w:tab w:val="left" w:pos="5850"/>
        </w:tabs>
      </w:pPr>
      <w:r>
        <w:tab/>
      </w:r>
    </w:p>
    <w:p w14:paraId="2FB418DF" w14:textId="4A6A0356" w:rsidR="00245D59" w:rsidRDefault="00E21690" w:rsidP="00A078BA">
      <w:pPr>
        <w:tabs>
          <w:tab w:val="left" w:pos="5850"/>
        </w:tabs>
        <w:sectPr w:rsidR="00245D59" w:rsidSect="008F66A8">
          <w:footerReference w:type="even" r:id="rId15"/>
          <w:footerReference w:type="default" r:id="rId16"/>
          <w:headerReference w:type="first" r:id="rId17"/>
          <w:footerReference w:type="first" r:id="rId18"/>
          <w:pgSz w:w="11900" w:h="16840"/>
          <w:pgMar w:top="1392" w:right="1247" w:bottom="992" w:left="1247" w:header="567" w:footer="567" w:gutter="0"/>
          <w:cols w:space="708"/>
          <w:titlePg/>
          <w:docGrid w:linePitch="326"/>
        </w:sectPr>
      </w:pPr>
      <w:r w:rsidRPr="00A078BA">
        <w:br w:type="page"/>
      </w:r>
    </w:p>
    <w:p w14:paraId="7666252A" w14:textId="44E4941C" w:rsidR="00245D59" w:rsidRPr="00C3795C" w:rsidRDefault="00245D59" w:rsidP="00245D59">
      <w:pPr>
        <w:pStyle w:val="AHPRADocumenttitle"/>
      </w:pPr>
      <w:r>
        <w:rPr>
          <w:noProof/>
        </w:rPr>
        <w:lastRenderedPageBreak/>
        <w:t>Consultation paper</w:t>
      </w:r>
    </w:p>
    <w:p w14:paraId="7265D047" w14:textId="1012BE7B" w:rsidR="00E21690" w:rsidRPr="00BF6F30" w:rsidRDefault="00245D59" w:rsidP="005C7716">
      <w:r>
        <w:rPr>
          <w:noProof/>
        </w:rPr>
        <mc:AlternateContent>
          <mc:Choice Requires="wps">
            <w:drawing>
              <wp:anchor distT="0" distB="0" distL="114300" distR="114300" simplePos="0" relativeHeight="251658240" behindDoc="0" locked="0" layoutInCell="1" allowOverlap="1" wp14:anchorId="63783AFA" wp14:editId="7B460443">
                <wp:simplePos x="0" y="0"/>
                <wp:positionH relativeFrom="page">
                  <wp:align>left</wp:align>
                </wp:positionH>
                <wp:positionV relativeFrom="paragraph">
                  <wp:posOffset>169649</wp:posOffset>
                </wp:positionV>
                <wp:extent cx="322008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47169" id="AutoShape 3" o:spid="_x0000_s1026" type="#_x0000_t32" style="position:absolute;margin-left:0;margin-top:13.35pt;width:253.55pt;height:0;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BE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">
                <w10:wrap anchorx="page"/>
              </v:shape>
            </w:pict>
          </mc:Fallback>
        </mc:AlternateContent>
      </w:r>
    </w:p>
    <w:p w14:paraId="784ED90F" w14:textId="0451549A" w:rsidR="00A928CD" w:rsidRDefault="00A928CD" w:rsidP="00F0401B">
      <w:pPr>
        <w:pStyle w:val="AHPRASubheading"/>
      </w:pPr>
      <w:bookmarkStart w:id="12" w:name="_Toc77604576"/>
      <w:r>
        <w:t>Background</w:t>
      </w:r>
      <w:bookmarkEnd w:id="12"/>
    </w:p>
    <w:p w14:paraId="03E9FEED" w14:textId="60BDD0F8" w:rsidR="00A928CD" w:rsidRDefault="00A928CD" w:rsidP="00DD0CB4">
      <w:pPr>
        <w:pStyle w:val="AHPRABody0"/>
      </w:pPr>
      <w:r w:rsidRPr="00880525">
        <w:t xml:space="preserve">The role of the Dental Board of Australia (the Board) is to work with </w:t>
      </w:r>
      <w:r w:rsidR="008E5D2C">
        <w:t xml:space="preserve">the </w:t>
      </w:r>
      <w:hyperlink r:id="rId19" w:history="1">
        <w:r w:rsidR="00867755">
          <w:rPr>
            <w:rFonts w:ascii="ZWAdobeF" w:hAnsi="ZWAdobeF" w:cs="ZWAdobeF"/>
            <w:sz w:val="2"/>
            <w:szCs w:val="2"/>
          </w:rPr>
          <w:t>39T</w:t>
        </w:r>
        <w:r w:rsidR="008E5D2C" w:rsidRPr="000A47D0">
          <w:rPr>
            <w:rStyle w:val="Hyperlink"/>
          </w:rPr>
          <w:t>Australian Health Practitioner Regulation Agency</w:t>
        </w:r>
      </w:hyperlink>
      <w:r w:rsidR="00867755" w:rsidRPr="00867755">
        <w:rPr>
          <w:rStyle w:val="Hyperlink"/>
          <w:rFonts w:ascii="ZWAdobeF" w:hAnsi="ZWAdobeF" w:cs="ZWAdobeF"/>
          <w:color w:val="auto"/>
          <w:sz w:val="2"/>
          <w:szCs w:val="2"/>
          <w:u w:val="none"/>
        </w:rPr>
        <w:t>39T</w:t>
      </w:r>
      <w:r w:rsidR="008E5D2C">
        <w:t xml:space="preserve"> (</w:t>
      </w:r>
      <w:r w:rsidRPr="00880525">
        <w:t>Ahpra</w:t>
      </w:r>
      <w:r w:rsidR="008E5D2C">
        <w:t>)</w:t>
      </w:r>
      <w:r w:rsidRPr="00880525">
        <w:t xml:space="preserve"> and other National Boards to achieve the objectives of the National Registration and Accreditation Scheme (the National Scheme)</w:t>
      </w:r>
      <w:r w:rsidR="009847BA">
        <w:t xml:space="preserve">, which has </w:t>
      </w:r>
      <w:r w:rsidR="001F177D">
        <w:t xml:space="preserve">public safety </w:t>
      </w:r>
      <w:r w:rsidR="0061561D">
        <w:t>at its heart</w:t>
      </w:r>
      <w:r w:rsidRPr="00880525">
        <w:t xml:space="preserve">. </w:t>
      </w:r>
    </w:p>
    <w:p w14:paraId="6C98EB9F" w14:textId="0313B813" w:rsidR="0007595C" w:rsidRDefault="00DD0CB4" w:rsidP="00DD0CB4">
      <w:pPr>
        <w:pStyle w:val="AHPRABody0"/>
      </w:pPr>
      <w:r w:rsidRPr="0391C58A">
        <w:rPr>
          <w:lang w:eastAsia="en-AU"/>
        </w:rPr>
        <w:t xml:space="preserve">The Board develops registration standards, codes and guidelines under the </w:t>
      </w:r>
      <w:r>
        <w:t>Health Practitioner Regulation National Law</w:t>
      </w:r>
      <w:r w:rsidR="005F11EF">
        <w:t>, as in force in each state and territory</w:t>
      </w:r>
      <w:r>
        <w:t xml:space="preserve"> (the National Law)</w:t>
      </w:r>
      <w:r w:rsidRPr="0391C58A">
        <w:rPr>
          <w:lang w:eastAsia="en-AU"/>
        </w:rPr>
        <w:t xml:space="preserve">. These </w:t>
      </w:r>
      <w:r>
        <w:t>documents</w:t>
      </w:r>
      <w:r w:rsidR="0007595C">
        <w:t>:</w:t>
      </w:r>
    </w:p>
    <w:p w14:paraId="6B351957" w14:textId="0A1A6B3E" w:rsidR="0007595C" w:rsidRDefault="00DD0CB4" w:rsidP="006D72BF">
      <w:pPr>
        <w:pStyle w:val="AHPRABody0"/>
        <w:numPr>
          <w:ilvl w:val="0"/>
          <w:numId w:val="33"/>
        </w:numPr>
        <w:rPr>
          <w:lang w:eastAsia="en-AU"/>
        </w:rPr>
      </w:pPr>
      <w:r w:rsidRPr="0391C58A">
        <w:rPr>
          <w:lang w:eastAsia="en-AU"/>
        </w:rPr>
        <w:t>set out the requirements for registration</w:t>
      </w:r>
    </w:p>
    <w:p w14:paraId="6016E0AD" w14:textId="26897431" w:rsidR="0007595C" w:rsidRDefault="00DD0CB4" w:rsidP="006D72BF">
      <w:pPr>
        <w:pStyle w:val="AHPRABody0"/>
        <w:numPr>
          <w:ilvl w:val="0"/>
          <w:numId w:val="33"/>
        </w:numPr>
        <w:rPr>
          <w:lang w:eastAsia="en-AU"/>
        </w:rPr>
      </w:pPr>
      <w:r w:rsidRPr="0391C58A">
        <w:rPr>
          <w:lang w:eastAsia="en-AU"/>
        </w:rPr>
        <w:t>establish obligations for professional practice</w:t>
      </w:r>
      <w:r w:rsidR="005F11EF">
        <w:rPr>
          <w:lang w:eastAsia="en-AU"/>
        </w:rPr>
        <w:t>,</w:t>
      </w:r>
      <w:r w:rsidRPr="0391C58A">
        <w:rPr>
          <w:lang w:eastAsia="en-AU"/>
        </w:rPr>
        <w:t xml:space="preserve"> and </w:t>
      </w:r>
    </w:p>
    <w:p w14:paraId="5C7BAAA1" w14:textId="593CB441" w:rsidR="00DD0CB4" w:rsidRDefault="00DD0CB4" w:rsidP="006D72BF">
      <w:pPr>
        <w:pStyle w:val="AHPRABody0"/>
        <w:numPr>
          <w:ilvl w:val="0"/>
          <w:numId w:val="33"/>
        </w:numPr>
        <w:rPr>
          <w:lang w:eastAsia="en-AU"/>
        </w:rPr>
      </w:pPr>
      <w:r w:rsidRPr="0391C58A">
        <w:rPr>
          <w:lang w:eastAsia="en-AU"/>
        </w:rPr>
        <w:t>can be used as evidence</w:t>
      </w:r>
      <w:r w:rsidR="00872BEA">
        <w:rPr>
          <w:lang w:eastAsia="en-AU"/>
        </w:rPr>
        <w:t xml:space="preserve"> in disciplinary proceedings</w:t>
      </w:r>
      <w:r w:rsidRPr="0391C58A">
        <w:rPr>
          <w:lang w:eastAsia="en-AU"/>
        </w:rPr>
        <w:t xml:space="preserve"> of what constitutes appropriate professional conduct or practice for the profession.</w:t>
      </w:r>
    </w:p>
    <w:p w14:paraId="42E581EB" w14:textId="4CFF8334" w:rsidR="00A928CD" w:rsidRDefault="00A928CD" w:rsidP="002C7784">
      <w:pPr>
        <w:pStyle w:val="AHPRABody0"/>
      </w:pPr>
      <w:r>
        <w:t>The Board regular</w:t>
      </w:r>
      <w:r w:rsidR="00120F56">
        <w:t>ly</w:t>
      </w:r>
      <w:r>
        <w:t xml:space="preserve"> reviews its standards,</w:t>
      </w:r>
      <w:r w:rsidR="00044417">
        <w:t xml:space="preserve"> codes and</w:t>
      </w:r>
      <w:r>
        <w:t xml:space="preserve"> guidelines</w:t>
      </w:r>
      <w:r w:rsidR="005772B8">
        <w:t xml:space="preserve"> </w:t>
      </w:r>
      <w:r w:rsidR="00ED0613">
        <w:t>to make sure they remain relevant</w:t>
      </w:r>
      <w:r w:rsidR="005772B8">
        <w:t>, contemporary and effective.</w:t>
      </w:r>
      <w:r w:rsidR="00ED0613">
        <w:t xml:space="preserve"> </w:t>
      </w:r>
    </w:p>
    <w:p w14:paraId="79B5FA92" w14:textId="2A8B9E2B" w:rsidR="00A928CD" w:rsidRDefault="00A928CD" w:rsidP="00F0401B">
      <w:pPr>
        <w:pStyle w:val="AHPRASubheading"/>
      </w:pPr>
      <w:bookmarkStart w:id="13" w:name="_Toc77604577"/>
      <w:bookmarkStart w:id="14" w:name="_Toc56080999"/>
      <w:r>
        <w:t>Overview</w:t>
      </w:r>
      <w:bookmarkEnd w:id="13"/>
    </w:p>
    <w:p w14:paraId="746F26F8" w14:textId="487DBCC6" w:rsidR="006B579D" w:rsidRPr="00965DCC" w:rsidRDefault="006B579D" w:rsidP="00F45025">
      <w:pPr>
        <w:pStyle w:val="AHPRASubheadinglevel2"/>
      </w:pPr>
      <w:bookmarkStart w:id="15" w:name="_Toc75851490"/>
      <w:bookmarkStart w:id="16" w:name="_Toc75858815"/>
      <w:bookmarkStart w:id="17" w:name="_Toc75858850"/>
      <w:bookmarkStart w:id="18" w:name="_Toc77604578"/>
      <w:r w:rsidRPr="00965DCC">
        <w:t xml:space="preserve">What </w:t>
      </w:r>
      <w:r>
        <w:t xml:space="preserve">are </w:t>
      </w:r>
      <w:r w:rsidRPr="00965DCC">
        <w:t>guidelines?</w:t>
      </w:r>
      <w:bookmarkEnd w:id="15"/>
      <w:bookmarkEnd w:id="16"/>
      <w:bookmarkEnd w:id="17"/>
      <w:bookmarkEnd w:id="18"/>
    </w:p>
    <w:p w14:paraId="6736FCF1" w14:textId="08DBF77C" w:rsidR="006B579D" w:rsidRDefault="006B579D" w:rsidP="006B579D">
      <w:pPr>
        <w:pStyle w:val="AHPRABody0"/>
      </w:pPr>
      <w:r>
        <w:t>When we refer to guidelines in</w:t>
      </w:r>
      <w:r w:rsidR="00F833A7">
        <w:t xml:space="preserve"> this paper, </w:t>
      </w:r>
      <w:r>
        <w:t>we mean guidelines developed under the National Law</w:t>
      </w:r>
      <w:r w:rsidR="00F833A7">
        <w:t xml:space="preserve"> in the context of practitioner regulation</w:t>
      </w:r>
      <w:r>
        <w:t>. The National Law says that guidelines have two purposes. They:</w:t>
      </w:r>
    </w:p>
    <w:p w14:paraId="43928557" w14:textId="77777777" w:rsidR="006B579D" w:rsidRDefault="006B579D" w:rsidP="006B579D">
      <w:pPr>
        <w:pStyle w:val="AHPRABulletlevel1"/>
      </w:pPr>
      <w:r>
        <w:t xml:space="preserve">can be used to guide the profession, and </w:t>
      </w:r>
    </w:p>
    <w:p w14:paraId="671221A3" w14:textId="77777777" w:rsidR="006B579D" w:rsidRDefault="006B579D" w:rsidP="006B579D">
      <w:pPr>
        <w:pStyle w:val="AHPRABulletlevel1last"/>
      </w:pPr>
      <w:r>
        <w:t>are evidence of appropriate professional practice or conduct in a disciplinary proceeding against a practitioner.</w:t>
      </w:r>
    </w:p>
    <w:p w14:paraId="3DA14B8C" w14:textId="600ED19B" w:rsidR="006B579D" w:rsidRDefault="006B579D" w:rsidP="006B579D">
      <w:pPr>
        <w:pStyle w:val="AHPRABody0"/>
      </w:pPr>
      <w:r>
        <w:t xml:space="preserve">Since 2010, the </w:t>
      </w:r>
      <w:r w:rsidR="00E93365">
        <w:t>Board’s approach to</w:t>
      </w:r>
      <w:r>
        <w:t xml:space="preserve"> guidelines has </w:t>
      </w:r>
      <w:r w:rsidR="07E7C563">
        <w:t>evolved</w:t>
      </w:r>
      <w:r>
        <w:t xml:space="preserve">. The Board typically uses guidelines to explain its registration standards, the National Law and the way it regulates. </w:t>
      </w:r>
      <w:r w:rsidR="51DED5EA">
        <w:t xml:space="preserve">Guidelines are </w:t>
      </w:r>
      <w:r w:rsidR="31314883">
        <w:t>generally</w:t>
      </w:r>
      <w:r>
        <w:t xml:space="preserve"> </w:t>
      </w:r>
      <w:r w:rsidR="0007595C">
        <w:t>high</w:t>
      </w:r>
      <w:r w:rsidR="009612E7">
        <w:t>-</w:t>
      </w:r>
      <w:r w:rsidR="0007595C">
        <w:t xml:space="preserve">level </w:t>
      </w:r>
      <w:r>
        <w:t>prescriptiv</w:t>
      </w:r>
      <w:r w:rsidR="0834AD77">
        <w:t>e</w:t>
      </w:r>
      <w:r w:rsidR="0007595C">
        <w:t xml:space="preserve"> documents</w:t>
      </w:r>
      <w:r>
        <w:t xml:space="preserve">, </w:t>
      </w:r>
      <w:r w:rsidR="507992E5">
        <w:t xml:space="preserve">but not </w:t>
      </w:r>
      <w:r w:rsidR="0007595C">
        <w:t xml:space="preserve">usually </w:t>
      </w:r>
      <w:r w:rsidR="507992E5">
        <w:t xml:space="preserve">about </w:t>
      </w:r>
      <w:r>
        <w:t>specific area</w:t>
      </w:r>
      <w:r w:rsidR="00453B90">
        <w:t>s</w:t>
      </w:r>
      <w:r>
        <w:t xml:space="preserve"> of </w:t>
      </w:r>
      <w:r w:rsidR="2B4EE441">
        <w:t xml:space="preserve">clinical </w:t>
      </w:r>
      <w:r>
        <w:t xml:space="preserve">practice. </w:t>
      </w:r>
    </w:p>
    <w:p w14:paraId="6FDC11D3" w14:textId="21371134" w:rsidR="006B579D" w:rsidRDefault="006B579D" w:rsidP="006B579D">
      <w:pPr>
        <w:pStyle w:val="AHPRABody0"/>
      </w:pPr>
      <w:r>
        <w:t xml:space="preserve">Guidelines under the National Law are distinct from practice guidelines </w:t>
      </w:r>
      <w:r w:rsidR="5D9AF2C2">
        <w:t xml:space="preserve">developed by professional associations </w:t>
      </w:r>
      <w:r w:rsidR="0007595C">
        <w:t>or</w:t>
      </w:r>
      <w:r w:rsidR="5D9AF2C2">
        <w:t xml:space="preserve"> other entities </w:t>
      </w:r>
      <w:r>
        <w:t xml:space="preserve">that provide detailed advice on a specific area of clinical practice. </w:t>
      </w:r>
    </w:p>
    <w:p w14:paraId="68A4AEEE" w14:textId="2374AE4E" w:rsidR="006B579D" w:rsidRDefault="006B579D" w:rsidP="006B579D">
      <w:pPr>
        <w:pStyle w:val="AHPRABody0"/>
      </w:pPr>
      <w:r>
        <w:t>Under the National Law, wide</w:t>
      </w:r>
      <w:r w:rsidR="0007595C">
        <w:t>-</w:t>
      </w:r>
      <w:r>
        <w:t xml:space="preserve">ranging consultation is required before guidelines are updated or amended. Consultation and review processes </w:t>
      </w:r>
      <w:r w:rsidR="0007595C">
        <w:t>take considerable time.</w:t>
      </w:r>
      <w:r>
        <w:t xml:space="preserve"> </w:t>
      </w:r>
      <w:r w:rsidR="00DD2D12">
        <w:t>As a result,</w:t>
      </w:r>
      <w:r>
        <w:t xml:space="preserve"> guidelines tend to be in force for long periods and are not easily updated in response to changes in practice or advances in knowledge.</w:t>
      </w:r>
    </w:p>
    <w:p w14:paraId="4BCED76C" w14:textId="15C04CE6" w:rsidR="00011D68" w:rsidRPr="00F45025" w:rsidRDefault="00011D68" w:rsidP="00F45025">
      <w:pPr>
        <w:pStyle w:val="AHPRASubheadinglevel2"/>
      </w:pPr>
      <w:bookmarkStart w:id="19" w:name="_Toc75851491"/>
      <w:bookmarkStart w:id="20" w:name="_Toc75858816"/>
      <w:bookmarkStart w:id="21" w:name="_Toc75858851"/>
      <w:bookmarkStart w:id="22" w:name="_Toc77604579"/>
      <w:r>
        <w:t>Review of the Guidelines on infection control</w:t>
      </w:r>
      <w:bookmarkEnd w:id="19"/>
      <w:bookmarkEnd w:id="20"/>
      <w:bookmarkEnd w:id="21"/>
      <w:bookmarkEnd w:id="22"/>
    </w:p>
    <w:p w14:paraId="283046F8" w14:textId="04AC42F1" w:rsidR="002F58F8" w:rsidRDefault="00FE4794" w:rsidP="002F58F8">
      <w:pPr>
        <w:pStyle w:val="AHPRABody0"/>
      </w:pPr>
      <w:r>
        <w:t xml:space="preserve">The Board is currently reviewing its </w:t>
      </w:r>
      <w:r w:rsidRPr="00BA14DA">
        <w:rPr>
          <w:i/>
          <w:iCs/>
        </w:rPr>
        <w:t>Guidelines on infection control</w:t>
      </w:r>
      <w:r>
        <w:t xml:space="preserve"> (the </w:t>
      </w:r>
      <w:r w:rsidR="00DD2D12">
        <w:t>g</w:t>
      </w:r>
      <w:r>
        <w:t>uidelines).</w:t>
      </w:r>
      <w:r w:rsidR="002F58F8" w:rsidRPr="002F58F8">
        <w:t xml:space="preserve"> </w:t>
      </w:r>
      <w:r w:rsidR="002F58F8" w:rsidRPr="006422EA">
        <w:t>The</w:t>
      </w:r>
      <w:r w:rsidR="002F58F8">
        <w:t xml:space="preserve"> Board developed the </w:t>
      </w:r>
      <w:r w:rsidR="00DD2D12">
        <w:t>g</w:t>
      </w:r>
      <w:r w:rsidR="002F58F8">
        <w:t xml:space="preserve">uidelines </w:t>
      </w:r>
      <w:r w:rsidR="00DD2D12">
        <w:t>when</w:t>
      </w:r>
      <w:r w:rsidR="002F58F8">
        <w:t xml:space="preserve"> the National Scheme</w:t>
      </w:r>
      <w:r w:rsidR="00DD2D12">
        <w:t xml:space="preserve"> started</w:t>
      </w:r>
      <w:r w:rsidR="002F58F8">
        <w:t xml:space="preserve"> in 2010 to set out the obligations of dental practitioners for maintaining good infection prevention and control and minimising the spread of infectious diseases. </w:t>
      </w:r>
    </w:p>
    <w:p w14:paraId="6BEF6D04" w14:textId="26FDEC11" w:rsidR="007733AA" w:rsidRDefault="007733AA" w:rsidP="0073444B">
      <w:pPr>
        <w:pStyle w:val="AHPRABody0"/>
      </w:pPr>
      <w:r>
        <w:t xml:space="preserve">The </w:t>
      </w:r>
      <w:r w:rsidR="00DD2D12">
        <w:t>g</w:t>
      </w:r>
      <w:r>
        <w:t>uidelines set out the minimum requirements expected for infection prevention and control for all dental practitioners</w:t>
      </w:r>
      <w:r w:rsidR="00DD2D12">
        <w:t xml:space="preserve"> and </w:t>
      </w:r>
      <w:r w:rsidR="00BA669A">
        <w:t xml:space="preserve">are </w:t>
      </w:r>
      <w:r>
        <w:t>divided into three domains:</w:t>
      </w:r>
    </w:p>
    <w:p w14:paraId="5B36282A" w14:textId="4B1A6035" w:rsidR="007733AA" w:rsidRDefault="007733AA" w:rsidP="007733AA">
      <w:pPr>
        <w:pStyle w:val="AHPRABulletlevel1"/>
      </w:pPr>
      <w:r>
        <w:t>Documentation</w:t>
      </w:r>
    </w:p>
    <w:p w14:paraId="47AFBAE2" w14:textId="76560B15" w:rsidR="007733AA" w:rsidRDefault="007733AA" w:rsidP="007733AA">
      <w:pPr>
        <w:pStyle w:val="AHPRABulletlevel1"/>
      </w:pPr>
      <w:r>
        <w:t>Behaviours</w:t>
      </w:r>
    </w:p>
    <w:p w14:paraId="3BA151F5" w14:textId="77777777" w:rsidR="007733AA" w:rsidRDefault="007733AA" w:rsidP="007733AA">
      <w:pPr>
        <w:pStyle w:val="AHPRABulletlevel1"/>
      </w:pPr>
      <w:r>
        <w:t>Declaration.</w:t>
      </w:r>
    </w:p>
    <w:p w14:paraId="36D20663" w14:textId="77777777" w:rsidR="007733AA" w:rsidRDefault="007733AA" w:rsidP="007733AA">
      <w:pPr>
        <w:pStyle w:val="AHPRABulletlevel1"/>
        <w:numPr>
          <w:ilvl w:val="0"/>
          <w:numId w:val="0"/>
        </w:numPr>
        <w:ind w:left="357"/>
      </w:pPr>
    </w:p>
    <w:p w14:paraId="324BCA66" w14:textId="5DF42CB2" w:rsidR="007733AA" w:rsidRDefault="007733AA" w:rsidP="0073444B">
      <w:pPr>
        <w:pStyle w:val="AHPRABody0"/>
      </w:pPr>
      <w:r>
        <w:t xml:space="preserve">The </w:t>
      </w:r>
      <w:r w:rsidRPr="00C6738E">
        <w:rPr>
          <w:i/>
        </w:rPr>
        <w:t>D</w:t>
      </w:r>
      <w:r>
        <w:rPr>
          <w:i/>
        </w:rPr>
        <w:t xml:space="preserve">ocumentation </w:t>
      </w:r>
      <w:r>
        <w:t>section requires guaranteed access to the following document</w:t>
      </w:r>
      <w:r w:rsidR="00DD2D12">
        <w:t>s</w:t>
      </w:r>
      <w:r>
        <w:t xml:space="preserve"> at every place where dental care is provided:</w:t>
      </w:r>
    </w:p>
    <w:p w14:paraId="20A07B01" w14:textId="77777777" w:rsidR="007733AA" w:rsidRDefault="007733AA" w:rsidP="007733AA">
      <w:pPr>
        <w:pStyle w:val="AHPRABulletlevel1"/>
      </w:pPr>
      <w:r>
        <w:t>a manual setting out the infection control protocols and procedures used in that practice</w:t>
      </w:r>
    </w:p>
    <w:p w14:paraId="479BA7EF" w14:textId="7B63A378" w:rsidR="007733AA" w:rsidRDefault="007733AA" w:rsidP="007733AA">
      <w:pPr>
        <w:pStyle w:val="AHPRABulletlevel1"/>
      </w:pPr>
      <w:r>
        <w:t>the</w:t>
      </w:r>
      <w:r w:rsidRPr="002B73DF">
        <w:rPr>
          <w:i/>
        </w:rPr>
        <w:t xml:space="preserve"> Australian </w:t>
      </w:r>
      <w:r>
        <w:rPr>
          <w:i/>
        </w:rPr>
        <w:t>g</w:t>
      </w:r>
      <w:r w:rsidRPr="002B73DF">
        <w:rPr>
          <w:i/>
        </w:rPr>
        <w:t xml:space="preserve">uidelines for the </w:t>
      </w:r>
      <w:r>
        <w:rPr>
          <w:i/>
        </w:rPr>
        <w:t>p</w:t>
      </w:r>
      <w:r w:rsidRPr="002B73DF">
        <w:rPr>
          <w:i/>
        </w:rPr>
        <w:t xml:space="preserve">revention and </w:t>
      </w:r>
      <w:r>
        <w:rPr>
          <w:i/>
        </w:rPr>
        <w:t>c</w:t>
      </w:r>
      <w:r w:rsidRPr="002B73DF">
        <w:rPr>
          <w:i/>
        </w:rPr>
        <w:t xml:space="preserve">ontrol of </w:t>
      </w:r>
      <w:r>
        <w:rPr>
          <w:i/>
        </w:rPr>
        <w:t>i</w:t>
      </w:r>
      <w:r w:rsidRPr="002B73DF">
        <w:rPr>
          <w:i/>
        </w:rPr>
        <w:t xml:space="preserve">nfection in </w:t>
      </w:r>
      <w:r>
        <w:rPr>
          <w:i/>
        </w:rPr>
        <w:t>h</w:t>
      </w:r>
      <w:r w:rsidRPr="002B73DF">
        <w:rPr>
          <w:i/>
        </w:rPr>
        <w:t xml:space="preserve">ealthcare </w:t>
      </w:r>
      <w:r>
        <w:t xml:space="preserve">published by the National Health and Medical Research Council (the NHMRC </w:t>
      </w:r>
      <w:r w:rsidR="00DD2D12">
        <w:t>g</w:t>
      </w:r>
      <w:r>
        <w:t xml:space="preserve">uidelines) </w:t>
      </w:r>
    </w:p>
    <w:p w14:paraId="39865C1C" w14:textId="388327A2" w:rsidR="007733AA" w:rsidRDefault="007733AA" w:rsidP="007733AA">
      <w:pPr>
        <w:pStyle w:val="AHPRABulletlevel1"/>
      </w:pPr>
      <w:r>
        <w:lastRenderedPageBreak/>
        <w:t xml:space="preserve">the Australian and New Zealand Standards </w:t>
      </w:r>
      <w:r w:rsidRPr="002B73DF">
        <w:t>AS/NZS 4815: Office-based healthcare facilities –Reprocessing of reusable medical and surgical instruments and equipment, and maintenance of the associated environment</w:t>
      </w:r>
      <w:r>
        <w:t xml:space="preserve"> and/or </w:t>
      </w:r>
      <w:r w:rsidRPr="002B73DF">
        <w:t>AS/NZS 4187: Cleaning, disinfecting and sterilising reusable medical and surgical instruments and equipment, and maintenance of associated environments in healthcare facilities</w:t>
      </w:r>
      <w:r>
        <w:t xml:space="preserve"> (the Australian and New Zealand Standards) </w:t>
      </w:r>
    </w:p>
    <w:p w14:paraId="7288614E" w14:textId="1A944134" w:rsidR="007733AA" w:rsidRDefault="007733AA" w:rsidP="007733AA">
      <w:pPr>
        <w:pStyle w:val="AHPRABulletlevel1"/>
      </w:pPr>
      <w:r>
        <w:t>the current Australian Dental Association</w:t>
      </w:r>
      <w:r w:rsidRPr="00C07D93">
        <w:rPr>
          <w:i/>
        </w:rPr>
        <w:t xml:space="preserve"> Guidelines for </w:t>
      </w:r>
      <w:r>
        <w:rPr>
          <w:i/>
        </w:rPr>
        <w:t>i</w:t>
      </w:r>
      <w:r w:rsidRPr="00C07D93">
        <w:rPr>
          <w:i/>
        </w:rPr>
        <w:t xml:space="preserve">nfection </w:t>
      </w:r>
      <w:r>
        <w:rPr>
          <w:i/>
        </w:rPr>
        <w:t>c</w:t>
      </w:r>
      <w:r w:rsidRPr="00C07D93">
        <w:rPr>
          <w:i/>
        </w:rPr>
        <w:t>ontrol</w:t>
      </w:r>
      <w:r>
        <w:t xml:space="preserve"> (the ADA </w:t>
      </w:r>
      <w:r w:rsidR="00DD2D12">
        <w:t>g</w:t>
      </w:r>
      <w:r>
        <w:t>uidelines).</w:t>
      </w:r>
    </w:p>
    <w:p w14:paraId="7509E3F2" w14:textId="77777777" w:rsidR="007733AA" w:rsidRDefault="007733AA" w:rsidP="007733AA">
      <w:pPr>
        <w:pStyle w:val="AHPRABulletlevel1"/>
        <w:numPr>
          <w:ilvl w:val="0"/>
          <w:numId w:val="0"/>
        </w:numPr>
        <w:ind w:left="357"/>
      </w:pPr>
    </w:p>
    <w:p w14:paraId="69D1DF1A" w14:textId="729F5205" w:rsidR="007733AA" w:rsidRPr="0073444B" w:rsidRDefault="007733AA" w:rsidP="0073444B">
      <w:pPr>
        <w:pStyle w:val="AHPRABody0"/>
      </w:pPr>
      <w:r w:rsidRPr="009C30A9">
        <w:t xml:space="preserve">The </w:t>
      </w:r>
      <w:r w:rsidRPr="009C30A9">
        <w:rPr>
          <w:i/>
        </w:rPr>
        <w:t xml:space="preserve">Behaviours </w:t>
      </w:r>
      <w:r w:rsidRPr="009C30A9">
        <w:t xml:space="preserve">section </w:t>
      </w:r>
      <w:r w:rsidR="00831330">
        <w:t>requires practitioners to ensure</w:t>
      </w:r>
      <w:r w:rsidRPr="009C30A9">
        <w:rPr>
          <w:bCs/>
          <w:lang w:eastAsia="en-AU"/>
        </w:rPr>
        <w:t xml:space="preserve"> premises are kept clean and hygienic and that steps are taken to </w:t>
      </w:r>
      <w:r w:rsidRPr="00A040D8">
        <w:rPr>
          <w:bCs/>
          <w:lang w:eastAsia="en-AU"/>
        </w:rPr>
        <w:t>minimise the spread of infectious disease in both the place of practice and with patients.</w:t>
      </w:r>
      <w:r w:rsidR="00831330">
        <w:rPr>
          <w:bCs/>
          <w:lang w:eastAsia="en-AU"/>
        </w:rPr>
        <w:t xml:space="preserve"> </w:t>
      </w:r>
      <w:r w:rsidR="00032367">
        <w:t>P</w:t>
      </w:r>
      <w:r w:rsidRPr="00A040D8">
        <w:rPr>
          <w:bCs/>
          <w:lang w:eastAsia="en-AU"/>
        </w:rPr>
        <w:t xml:space="preserve">ractitioners </w:t>
      </w:r>
      <w:r w:rsidR="00032367">
        <w:rPr>
          <w:bCs/>
          <w:lang w:eastAsia="en-AU"/>
        </w:rPr>
        <w:t xml:space="preserve">must also be </w:t>
      </w:r>
      <w:r w:rsidRPr="00A040D8">
        <w:rPr>
          <w:bCs/>
          <w:lang w:eastAsia="en-AU"/>
        </w:rPr>
        <w:t xml:space="preserve">aware of their infection status for blood-borne viruses, </w:t>
      </w:r>
      <w:r w:rsidR="00032367">
        <w:rPr>
          <w:bCs/>
          <w:lang w:eastAsia="en-AU"/>
        </w:rPr>
        <w:t xml:space="preserve">seek </w:t>
      </w:r>
      <w:r w:rsidR="00032367" w:rsidRPr="00A040D8">
        <w:rPr>
          <w:bCs/>
          <w:lang w:eastAsia="en-AU"/>
        </w:rPr>
        <w:t>appropriate</w:t>
      </w:r>
      <w:r w:rsidRPr="00A040D8">
        <w:rPr>
          <w:bCs/>
          <w:lang w:eastAsia="en-AU"/>
        </w:rPr>
        <w:t xml:space="preserve"> expert advice and cease perform</w:t>
      </w:r>
      <w:r>
        <w:rPr>
          <w:bCs/>
          <w:lang w:eastAsia="en-AU"/>
        </w:rPr>
        <w:t>ing</w:t>
      </w:r>
      <w:r w:rsidRPr="00A040D8">
        <w:rPr>
          <w:bCs/>
          <w:lang w:eastAsia="en-AU"/>
        </w:rPr>
        <w:t xml:space="preserve"> exposure-prone procedures if viraemic.</w:t>
      </w:r>
    </w:p>
    <w:p w14:paraId="2804C4EF" w14:textId="5B12D319" w:rsidR="004A4D44" w:rsidRDefault="007733AA" w:rsidP="00D57367">
      <w:pPr>
        <w:pStyle w:val="AHPRABody0"/>
      </w:pPr>
      <w:r w:rsidRPr="00A040D8">
        <w:rPr>
          <w:bCs/>
          <w:lang w:eastAsia="en-AU"/>
        </w:rPr>
        <w:t xml:space="preserve">The </w:t>
      </w:r>
      <w:r w:rsidRPr="00A040D8">
        <w:rPr>
          <w:bCs/>
          <w:i/>
          <w:lang w:eastAsia="en-AU"/>
        </w:rPr>
        <w:t>Declaration</w:t>
      </w:r>
      <w:r>
        <w:rPr>
          <w:bCs/>
          <w:lang w:eastAsia="en-AU"/>
        </w:rPr>
        <w:t xml:space="preserve"> </w:t>
      </w:r>
      <w:r w:rsidRPr="00A040D8">
        <w:rPr>
          <w:bCs/>
          <w:lang w:eastAsia="en-AU"/>
        </w:rPr>
        <w:t xml:space="preserve">section </w:t>
      </w:r>
      <w:r>
        <w:rPr>
          <w:bCs/>
          <w:lang w:eastAsia="en-AU"/>
        </w:rPr>
        <w:t>requires</w:t>
      </w:r>
      <w:r w:rsidRPr="00A040D8">
        <w:rPr>
          <w:bCs/>
          <w:lang w:eastAsia="en-AU"/>
        </w:rPr>
        <w:t xml:space="preserve"> students and practitioners applying or renewing their registration to declare that they are aware of their infection status for blood-borne viruses and that they will comply with the</w:t>
      </w:r>
      <w:r w:rsidRPr="00A040D8">
        <w:rPr>
          <w:rFonts w:ascii="HelveticaNeue" w:hAnsi="HelveticaNeue" w:cs="HelveticaNeue"/>
          <w:color w:val="636467"/>
          <w:sz w:val="18"/>
          <w:szCs w:val="18"/>
        </w:rPr>
        <w:t xml:space="preserve"> </w:t>
      </w:r>
      <w:r w:rsidRPr="00A040D8">
        <w:rPr>
          <w:bCs/>
          <w:lang w:eastAsia="en-AU"/>
        </w:rPr>
        <w:t xml:space="preserve">Communicable Diseases Network Australia’s (CDNA) </w:t>
      </w:r>
      <w:r w:rsidRPr="00A040D8">
        <w:rPr>
          <w:bCs/>
          <w:i/>
          <w:iCs/>
          <w:lang w:eastAsia="en-AU"/>
        </w:rPr>
        <w:t xml:space="preserve">Australian </w:t>
      </w:r>
      <w:r>
        <w:rPr>
          <w:bCs/>
          <w:i/>
          <w:iCs/>
          <w:lang w:eastAsia="en-AU"/>
        </w:rPr>
        <w:t>n</w:t>
      </w:r>
      <w:r w:rsidRPr="00A040D8">
        <w:rPr>
          <w:bCs/>
          <w:i/>
          <w:iCs/>
          <w:lang w:eastAsia="en-AU"/>
        </w:rPr>
        <w:t xml:space="preserve">ational </w:t>
      </w:r>
      <w:r>
        <w:rPr>
          <w:bCs/>
          <w:i/>
          <w:iCs/>
          <w:lang w:eastAsia="en-AU"/>
        </w:rPr>
        <w:t>g</w:t>
      </w:r>
      <w:r w:rsidRPr="00A040D8">
        <w:rPr>
          <w:bCs/>
          <w:i/>
          <w:iCs/>
          <w:lang w:eastAsia="en-AU"/>
        </w:rPr>
        <w:t xml:space="preserve">uidelines for the </w:t>
      </w:r>
      <w:r>
        <w:rPr>
          <w:bCs/>
          <w:i/>
          <w:iCs/>
          <w:lang w:eastAsia="en-AU"/>
        </w:rPr>
        <w:t>m</w:t>
      </w:r>
      <w:r w:rsidRPr="00A040D8">
        <w:rPr>
          <w:bCs/>
          <w:i/>
          <w:iCs/>
          <w:lang w:eastAsia="en-AU"/>
        </w:rPr>
        <w:t xml:space="preserve">anagement of </w:t>
      </w:r>
      <w:r>
        <w:rPr>
          <w:bCs/>
          <w:i/>
          <w:iCs/>
          <w:lang w:eastAsia="en-AU"/>
        </w:rPr>
        <w:t>h</w:t>
      </w:r>
      <w:r w:rsidRPr="00A040D8">
        <w:rPr>
          <w:bCs/>
          <w:i/>
          <w:iCs/>
          <w:lang w:eastAsia="en-AU"/>
        </w:rPr>
        <w:t>ealth</w:t>
      </w:r>
      <w:r>
        <w:rPr>
          <w:bCs/>
          <w:i/>
          <w:iCs/>
          <w:lang w:eastAsia="en-AU"/>
        </w:rPr>
        <w:t>c</w:t>
      </w:r>
      <w:r w:rsidRPr="00A040D8">
        <w:rPr>
          <w:bCs/>
          <w:i/>
          <w:iCs/>
          <w:lang w:eastAsia="en-AU"/>
        </w:rPr>
        <w:t xml:space="preserve">are </w:t>
      </w:r>
      <w:r>
        <w:rPr>
          <w:bCs/>
          <w:i/>
          <w:iCs/>
          <w:lang w:eastAsia="en-AU"/>
        </w:rPr>
        <w:t>w</w:t>
      </w:r>
      <w:r w:rsidRPr="00A040D8">
        <w:rPr>
          <w:bCs/>
          <w:i/>
          <w:iCs/>
          <w:lang w:eastAsia="en-AU"/>
        </w:rPr>
        <w:t xml:space="preserve">orkers known to be infected with </w:t>
      </w:r>
      <w:r>
        <w:rPr>
          <w:bCs/>
          <w:i/>
          <w:iCs/>
          <w:lang w:eastAsia="en-AU"/>
        </w:rPr>
        <w:t>b</w:t>
      </w:r>
      <w:r w:rsidRPr="00A040D8">
        <w:rPr>
          <w:bCs/>
          <w:i/>
          <w:iCs/>
          <w:lang w:eastAsia="en-AU"/>
        </w:rPr>
        <w:t>lood</w:t>
      </w:r>
      <w:r w:rsidR="0007595C">
        <w:rPr>
          <w:bCs/>
          <w:i/>
          <w:iCs/>
          <w:lang w:eastAsia="en-AU"/>
        </w:rPr>
        <w:t xml:space="preserve"> </w:t>
      </w:r>
      <w:r>
        <w:rPr>
          <w:bCs/>
          <w:i/>
          <w:iCs/>
          <w:lang w:eastAsia="en-AU"/>
        </w:rPr>
        <w:t>b</w:t>
      </w:r>
      <w:r w:rsidRPr="00A040D8">
        <w:rPr>
          <w:bCs/>
          <w:i/>
          <w:iCs/>
          <w:lang w:eastAsia="en-AU"/>
        </w:rPr>
        <w:t xml:space="preserve">orne </w:t>
      </w:r>
      <w:r>
        <w:rPr>
          <w:bCs/>
          <w:i/>
          <w:iCs/>
          <w:lang w:eastAsia="en-AU"/>
        </w:rPr>
        <w:t>v</w:t>
      </w:r>
      <w:r w:rsidRPr="00A040D8">
        <w:rPr>
          <w:bCs/>
          <w:i/>
          <w:iCs/>
          <w:lang w:eastAsia="en-AU"/>
        </w:rPr>
        <w:t>iruses</w:t>
      </w:r>
      <w:r w:rsidR="001E6489">
        <w:rPr>
          <w:bCs/>
          <w:i/>
          <w:iCs/>
          <w:lang w:eastAsia="en-AU"/>
        </w:rPr>
        <w:t xml:space="preserve"> </w:t>
      </w:r>
      <w:r w:rsidR="001E6489" w:rsidRPr="001E6489">
        <w:rPr>
          <w:bCs/>
          <w:lang w:eastAsia="en-AU"/>
        </w:rPr>
        <w:t>(</w:t>
      </w:r>
      <w:r w:rsidR="0001616D">
        <w:rPr>
          <w:bCs/>
          <w:lang w:eastAsia="en-AU"/>
        </w:rPr>
        <w:t xml:space="preserve">now known as </w:t>
      </w:r>
      <w:r w:rsidR="0001616D" w:rsidRPr="0001616D">
        <w:rPr>
          <w:bCs/>
          <w:i/>
          <w:iCs/>
          <w:lang w:eastAsia="en-AU"/>
        </w:rPr>
        <w:t xml:space="preserve">Australian </w:t>
      </w:r>
      <w:r w:rsidR="0001616D">
        <w:rPr>
          <w:bCs/>
          <w:i/>
          <w:iCs/>
          <w:lang w:eastAsia="en-AU"/>
        </w:rPr>
        <w:t>n</w:t>
      </w:r>
      <w:r w:rsidR="0001616D" w:rsidRPr="0001616D">
        <w:rPr>
          <w:bCs/>
          <w:i/>
          <w:iCs/>
          <w:lang w:eastAsia="en-AU"/>
        </w:rPr>
        <w:t xml:space="preserve">ational </w:t>
      </w:r>
      <w:r w:rsidR="0001616D">
        <w:rPr>
          <w:bCs/>
          <w:i/>
          <w:iCs/>
          <w:lang w:eastAsia="en-AU"/>
        </w:rPr>
        <w:t>g</w:t>
      </w:r>
      <w:r w:rsidR="0001616D" w:rsidRPr="0001616D">
        <w:rPr>
          <w:bCs/>
          <w:i/>
          <w:iCs/>
          <w:lang w:eastAsia="en-AU"/>
        </w:rPr>
        <w:t xml:space="preserve">uidelines for the </w:t>
      </w:r>
      <w:r w:rsidR="0001616D">
        <w:rPr>
          <w:bCs/>
          <w:i/>
          <w:iCs/>
          <w:lang w:eastAsia="en-AU"/>
        </w:rPr>
        <w:t>m</w:t>
      </w:r>
      <w:r w:rsidR="0001616D" w:rsidRPr="0001616D">
        <w:rPr>
          <w:bCs/>
          <w:i/>
          <w:iCs/>
          <w:lang w:eastAsia="en-AU"/>
        </w:rPr>
        <w:t xml:space="preserve">anagement of </w:t>
      </w:r>
      <w:r w:rsidR="0001616D">
        <w:rPr>
          <w:bCs/>
          <w:i/>
          <w:iCs/>
          <w:lang w:eastAsia="en-AU"/>
        </w:rPr>
        <w:t>h</w:t>
      </w:r>
      <w:r w:rsidR="0001616D" w:rsidRPr="0001616D">
        <w:rPr>
          <w:bCs/>
          <w:i/>
          <w:iCs/>
          <w:lang w:eastAsia="en-AU"/>
        </w:rPr>
        <w:t xml:space="preserve">ealthcare </w:t>
      </w:r>
      <w:r w:rsidR="0001616D">
        <w:rPr>
          <w:bCs/>
          <w:i/>
          <w:iCs/>
          <w:lang w:eastAsia="en-AU"/>
        </w:rPr>
        <w:t>w</w:t>
      </w:r>
      <w:r w:rsidR="0001616D" w:rsidRPr="0001616D">
        <w:rPr>
          <w:bCs/>
          <w:i/>
          <w:iCs/>
          <w:lang w:eastAsia="en-AU"/>
        </w:rPr>
        <w:t xml:space="preserve">orkers </w:t>
      </w:r>
      <w:r w:rsidR="0001616D">
        <w:rPr>
          <w:bCs/>
          <w:i/>
          <w:iCs/>
          <w:lang w:eastAsia="en-AU"/>
        </w:rPr>
        <w:t>l</w:t>
      </w:r>
      <w:r w:rsidR="0001616D" w:rsidRPr="0001616D">
        <w:rPr>
          <w:bCs/>
          <w:i/>
          <w:iCs/>
          <w:lang w:eastAsia="en-AU"/>
        </w:rPr>
        <w:t xml:space="preserve">iving with </w:t>
      </w:r>
      <w:r w:rsidR="0001616D">
        <w:rPr>
          <w:bCs/>
          <w:i/>
          <w:iCs/>
          <w:lang w:eastAsia="en-AU"/>
        </w:rPr>
        <w:t>b</w:t>
      </w:r>
      <w:r w:rsidR="0001616D" w:rsidRPr="0001616D">
        <w:rPr>
          <w:bCs/>
          <w:i/>
          <w:iCs/>
          <w:lang w:eastAsia="en-AU"/>
        </w:rPr>
        <w:t xml:space="preserve">lood </w:t>
      </w:r>
      <w:r w:rsidR="0001616D">
        <w:rPr>
          <w:bCs/>
          <w:i/>
          <w:iCs/>
          <w:lang w:eastAsia="en-AU"/>
        </w:rPr>
        <w:t>b</w:t>
      </w:r>
      <w:r w:rsidR="0001616D" w:rsidRPr="0001616D">
        <w:rPr>
          <w:bCs/>
          <w:i/>
          <w:iCs/>
          <w:lang w:eastAsia="en-AU"/>
        </w:rPr>
        <w:t xml:space="preserve">orne </w:t>
      </w:r>
      <w:r w:rsidR="0001616D">
        <w:rPr>
          <w:bCs/>
          <w:i/>
          <w:iCs/>
          <w:lang w:eastAsia="en-AU"/>
        </w:rPr>
        <w:t>vi</w:t>
      </w:r>
      <w:r w:rsidR="0001616D" w:rsidRPr="0001616D">
        <w:rPr>
          <w:bCs/>
          <w:i/>
          <w:iCs/>
          <w:lang w:eastAsia="en-AU"/>
        </w:rPr>
        <w:t xml:space="preserve">ruses and </w:t>
      </w:r>
      <w:r w:rsidR="0001616D">
        <w:rPr>
          <w:bCs/>
          <w:i/>
          <w:iCs/>
          <w:lang w:eastAsia="en-AU"/>
        </w:rPr>
        <w:t>h</w:t>
      </w:r>
      <w:r w:rsidR="0001616D" w:rsidRPr="0001616D">
        <w:rPr>
          <w:bCs/>
          <w:i/>
          <w:iCs/>
          <w:lang w:eastAsia="en-AU"/>
        </w:rPr>
        <w:t xml:space="preserve">ealthcare </w:t>
      </w:r>
      <w:r w:rsidR="0001616D">
        <w:rPr>
          <w:bCs/>
          <w:i/>
          <w:iCs/>
          <w:lang w:eastAsia="en-AU"/>
        </w:rPr>
        <w:t>w</w:t>
      </w:r>
      <w:r w:rsidR="0001616D" w:rsidRPr="0001616D">
        <w:rPr>
          <w:bCs/>
          <w:i/>
          <w:iCs/>
          <w:lang w:eastAsia="en-AU"/>
        </w:rPr>
        <w:t xml:space="preserve">orkers who </w:t>
      </w:r>
      <w:r w:rsidR="0001616D">
        <w:rPr>
          <w:bCs/>
          <w:i/>
          <w:iCs/>
          <w:lang w:eastAsia="en-AU"/>
        </w:rPr>
        <w:t>p</w:t>
      </w:r>
      <w:r w:rsidR="0001616D" w:rsidRPr="0001616D">
        <w:rPr>
          <w:bCs/>
          <w:i/>
          <w:iCs/>
          <w:lang w:eastAsia="en-AU"/>
        </w:rPr>
        <w:t xml:space="preserve">erform </w:t>
      </w:r>
      <w:r w:rsidR="0001616D">
        <w:rPr>
          <w:bCs/>
          <w:i/>
          <w:iCs/>
          <w:lang w:eastAsia="en-AU"/>
        </w:rPr>
        <w:t>e</w:t>
      </w:r>
      <w:r w:rsidR="0001616D" w:rsidRPr="0001616D">
        <w:rPr>
          <w:bCs/>
          <w:i/>
          <w:iCs/>
          <w:lang w:eastAsia="en-AU"/>
        </w:rPr>
        <w:t xml:space="preserve">xposure </w:t>
      </w:r>
      <w:r w:rsidR="0001616D">
        <w:rPr>
          <w:bCs/>
          <w:i/>
          <w:iCs/>
          <w:lang w:eastAsia="en-AU"/>
        </w:rPr>
        <w:t>p</w:t>
      </w:r>
      <w:r w:rsidR="0001616D" w:rsidRPr="0001616D">
        <w:rPr>
          <w:bCs/>
          <w:i/>
          <w:iCs/>
          <w:lang w:eastAsia="en-AU"/>
        </w:rPr>
        <w:t xml:space="preserve">rone </w:t>
      </w:r>
      <w:r w:rsidR="0001616D">
        <w:rPr>
          <w:bCs/>
          <w:i/>
          <w:iCs/>
          <w:lang w:eastAsia="en-AU"/>
        </w:rPr>
        <w:t>p</w:t>
      </w:r>
      <w:r w:rsidR="0001616D" w:rsidRPr="0001616D">
        <w:rPr>
          <w:bCs/>
          <w:i/>
          <w:iCs/>
          <w:lang w:eastAsia="en-AU"/>
        </w:rPr>
        <w:t xml:space="preserve">rocedures at </w:t>
      </w:r>
      <w:r w:rsidR="0001616D">
        <w:rPr>
          <w:bCs/>
          <w:i/>
          <w:iCs/>
          <w:lang w:eastAsia="en-AU"/>
        </w:rPr>
        <w:t>r</w:t>
      </w:r>
      <w:r w:rsidR="0001616D" w:rsidRPr="0001616D">
        <w:rPr>
          <w:bCs/>
          <w:i/>
          <w:iCs/>
          <w:lang w:eastAsia="en-AU"/>
        </w:rPr>
        <w:t xml:space="preserve">isk of </w:t>
      </w:r>
      <w:r w:rsidR="0001616D">
        <w:rPr>
          <w:bCs/>
          <w:i/>
          <w:iCs/>
          <w:lang w:eastAsia="en-AU"/>
        </w:rPr>
        <w:t>e</w:t>
      </w:r>
      <w:r w:rsidR="0001616D" w:rsidRPr="0001616D">
        <w:rPr>
          <w:bCs/>
          <w:i/>
          <w:iCs/>
          <w:lang w:eastAsia="en-AU"/>
        </w:rPr>
        <w:t xml:space="preserve">xposure to </w:t>
      </w:r>
      <w:r w:rsidR="0001616D">
        <w:rPr>
          <w:bCs/>
          <w:i/>
          <w:iCs/>
          <w:lang w:eastAsia="en-AU"/>
        </w:rPr>
        <w:t>b</w:t>
      </w:r>
      <w:r w:rsidR="0001616D" w:rsidRPr="0001616D">
        <w:rPr>
          <w:bCs/>
          <w:i/>
          <w:iCs/>
          <w:lang w:eastAsia="en-AU"/>
        </w:rPr>
        <w:t xml:space="preserve">lood </w:t>
      </w:r>
      <w:r w:rsidR="0001616D">
        <w:rPr>
          <w:bCs/>
          <w:i/>
          <w:iCs/>
          <w:lang w:eastAsia="en-AU"/>
        </w:rPr>
        <w:t>b</w:t>
      </w:r>
      <w:r w:rsidR="0001616D" w:rsidRPr="0001616D">
        <w:rPr>
          <w:bCs/>
          <w:i/>
          <w:iCs/>
          <w:lang w:eastAsia="en-AU"/>
        </w:rPr>
        <w:t xml:space="preserve">orne </w:t>
      </w:r>
      <w:r w:rsidR="0001616D">
        <w:rPr>
          <w:bCs/>
          <w:i/>
          <w:iCs/>
          <w:lang w:eastAsia="en-AU"/>
        </w:rPr>
        <w:t>v</w:t>
      </w:r>
      <w:r w:rsidR="0001616D" w:rsidRPr="0001616D">
        <w:rPr>
          <w:bCs/>
          <w:i/>
          <w:iCs/>
          <w:lang w:eastAsia="en-AU"/>
        </w:rPr>
        <w:t>iruses</w:t>
      </w:r>
      <w:r w:rsidR="001E6489" w:rsidRPr="001E6489">
        <w:rPr>
          <w:bCs/>
          <w:lang w:eastAsia="en-AU"/>
        </w:rPr>
        <w:t>)</w:t>
      </w:r>
      <w:r w:rsidRPr="00A040D8">
        <w:rPr>
          <w:bCs/>
          <w:i/>
          <w:iCs/>
          <w:lang w:eastAsia="en-AU"/>
        </w:rPr>
        <w:t xml:space="preserve"> </w:t>
      </w:r>
      <w:r w:rsidRPr="00A040D8">
        <w:rPr>
          <w:bCs/>
          <w:lang w:eastAsia="en-AU"/>
        </w:rPr>
        <w:t>and</w:t>
      </w:r>
      <w:r w:rsidRPr="00A040D8">
        <w:rPr>
          <w:b/>
          <w:bCs/>
          <w:lang w:eastAsia="en-AU"/>
        </w:rPr>
        <w:t xml:space="preserve"> </w:t>
      </w:r>
      <w:r w:rsidRPr="00A040D8">
        <w:rPr>
          <w:bCs/>
          <w:lang w:eastAsia="en-AU"/>
        </w:rPr>
        <w:t xml:space="preserve">with the </w:t>
      </w:r>
      <w:r w:rsidR="00DD2D12">
        <w:rPr>
          <w:bCs/>
          <w:lang w:eastAsia="en-AU"/>
        </w:rPr>
        <w:t>g</w:t>
      </w:r>
      <w:r w:rsidR="004A4D44">
        <w:rPr>
          <w:bCs/>
          <w:lang w:eastAsia="en-AU"/>
        </w:rPr>
        <w:t>uidelines.</w:t>
      </w:r>
      <w:r w:rsidRPr="00A040D8">
        <w:rPr>
          <w:bCs/>
          <w:lang w:eastAsia="en-AU"/>
        </w:rPr>
        <w:t xml:space="preserve"> </w:t>
      </w:r>
    </w:p>
    <w:p w14:paraId="67C2A657" w14:textId="33122AB8" w:rsidR="00D57367" w:rsidRDefault="004A4D44" w:rsidP="00D57367">
      <w:pPr>
        <w:pStyle w:val="AHPRABody0"/>
      </w:pPr>
      <w:r w:rsidRPr="002C7784">
        <w:t>The</w:t>
      </w:r>
      <w:r w:rsidR="00D57367">
        <w:t xml:space="preserve"> Board has developed and published other material to support practitioner and patient awareness of infection prevention and control issues. These resources have a </w:t>
      </w:r>
      <w:r w:rsidR="00867755">
        <w:rPr>
          <w:rFonts w:ascii="ZWAdobeF" w:hAnsi="ZWAdobeF" w:cs="ZWAdobeF"/>
          <w:sz w:val="2"/>
          <w:szCs w:val="2"/>
        </w:rPr>
        <w:t>39T</w:t>
      </w:r>
      <w:hyperlink r:id="rId20" w:history="1">
        <w:r w:rsidR="00D57367">
          <w:rPr>
            <w:rFonts w:ascii="ZWAdobeF" w:hAnsi="ZWAdobeF" w:cs="ZWAdobeF"/>
            <w:sz w:val="2"/>
            <w:szCs w:val="2"/>
          </w:rPr>
          <w:t>40T</w:t>
        </w:r>
        <w:r w:rsidR="00D57367" w:rsidRPr="00BF3B10">
          <w:rPr>
            <w:rStyle w:val="Hyperlink"/>
          </w:rPr>
          <w:t xml:space="preserve">dedicated </w:t>
        </w:r>
        <w:r w:rsidR="00D57367">
          <w:rPr>
            <w:rStyle w:val="Hyperlink"/>
          </w:rPr>
          <w:t>web</w:t>
        </w:r>
        <w:r w:rsidR="00D57367" w:rsidRPr="00BF3B10">
          <w:rPr>
            <w:rStyle w:val="Hyperlink"/>
          </w:rPr>
          <w:t>page</w:t>
        </w:r>
      </w:hyperlink>
      <w:r w:rsidR="00D57367" w:rsidRPr="00875B16">
        <w:rPr>
          <w:rStyle w:val="Hyperlink"/>
          <w:rFonts w:ascii="ZWAdobeF" w:hAnsi="ZWAdobeF" w:cs="ZWAdobeF"/>
          <w:color w:val="auto"/>
          <w:sz w:val="2"/>
          <w:szCs w:val="2"/>
          <w:u w:val="none"/>
        </w:rPr>
        <w:t>40T</w:t>
      </w:r>
      <w:r w:rsidR="00867755">
        <w:rPr>
          <w:rStyle w:val="Hyperlink"/>
          <w:rFonts w:ascii="ZWAdobeF" w:hAnsi="ZWAdobeF" w:cs="ZWAdobeF"/>
          <w:color w:val="auto"/>
          <w:sz w:val="2"/>
          <w:szCs w:val="2"/>
          <w:u w:val="none"/>
        </w:rPr>
        <w:t>39T</w:t>
      </w:r>
      <w:r w:rsidR="00D57367">
        <w:t xml:space="preserve"> on the Board’s website and include a </w:t>
      </w:r>
      <w:r w:rsidR="00D57367" w:rsidRPr="00852875">
        <w:t>self-audit checklist</w:t>
      </w:r>
      <w:r w:rsidR="00D57367">
        <w:t xml:space="preserve">, </w:t>
      </w:r>
      <w:r w:rsidR="00D57367" w:rsidRPr="00852875">
        <w:t>fact sheet</w:t>
      </w:r>
      <w:r w:rsidR="00D57367">
        <w:t xml:space="preserve"> and video for patients (the video has been withdrawn as it is currently under review). </w:t>
      </w:r>
    </w:p>
    <w:p w14:paraId="409E295C" w14:textId="08C34B41" w:rsidR="00BC5C5F" w:rsidRDefault="00D00D6A" w:rsidP="00F45025">
      <w:pPr>
        <w:pStyle w:val="AHPRASubheading"/>
      </w:pPr>
      <w:bookmarkStart w:id="23" w:name="_Toc77604580"/>
      <w:r>
        <w:t xml:space="preserve">Broader regulatory framework </w:t>
      </w:r>
      <w:r w:rsidR="00BB540C">
        <w:t>of the profession</w:t>
      </w:r>
      <w:bookmarkEnd w:id="23"/>
    </w:p>
    <w:p w14:paraId="031A0E5F" w14:textId="77777777" w:rsidR="00C22032" w:rsidRDefault="00C22032" w:rsidP="00F45025">
      <w:pPr>
        <w:pStyle w:val="AHPRASubheadinglevel2"/>
      </w:pPr>
      <w:bookmarkStart w:id="24" w:name="_Toc75851493"/>
      <w:bookmarkStart w:id="25" w:name="_Toc75858853"/>
      <w:bookmarkStart w:id="26" w:name="_Toc77604581"/>
      <w:r>
        <w:t>Accreditation and professional competencies</w:t>
      </w:r>
      <w:bookmarkEnd w:id="24"/>
      <w:bookmarkEnd w:id="25"/>
      <w:bookmarkEnd w:id="26"/>
    </w:p>
    <w:p w14:paraId="5FB55323" w14:textId="6E60E9D0" w:rsidR="00E108FB" w:rsidRDefault="00DD6124" w:rsidP="00DD6124">
      <w:pPr>
        <w:pStyle w:val="AHPRABody0"/>
      </w:pPr>
      <w:r>
        <w:t>Under the National Law, the Board approves accreditation standards developed by the Australian Dental Council (ADC)</w:t>
      </w:r>
      <w:r w:rsidR="00643BF3">
        <w:t xml:space="preserve">. The standards </w:t>
      </w:r>
      <w:r>
        <w:t>are used to assess whether programs of study leading to registration</w:t>
      </w:r>
      <w:r w:rsidR="00E108FB">
        <w:t xml:space="preserve"> as a dental practitioner</w:t>
      </w:r>
      <w:r>
        <w:t xml:space="preserve"> provide individuals with the knowledge, skills and professional attributes </w:t>
      </w:r>
      <w:r w:rsidR="00C874E5">
        <w:t>needed</w:t>
      </w:r>
      <w:r>
        <w:t xml:space="preserve"> to practise the profession in Australia. </w:t>
      </w:r>
    </w:p>
    <w:p w14:paraId="41E5CFFF" w14:textId="665FA64B" w:rsidR="00C35958" w:rsidRDefault="00DD6124" w:rsidP="00DD6124">
      <w:pPr>
        <w:pStyle w:val="AHPRABody0"/>
      </w:pPr>
      <w:r>
        <w:t xml:space="preserve">The ADC has developed professional competencies for </w:t>
      </w:r>
      <w:r w:rsidR="00930DF0">
        <w:t xml:space="preserve">dental practitioners </w:t>
      </w:r>
      <w:r w:rsidR="00DB6848">
        <w:t xml:space="preserve">in </w:t>
      </w:r>
      <w:r>
        <w:t>each of the five divisions and accredits all programs in accordance with these competencies and the approved accreditation standard</w:t>
      </w:r>
      <w:r w:rsidR="00C35958">
        <w:t>s</w:t>
      </w:r>
      <w:r>
        <w:t xml:space="preserve">. </w:t>
      </w:r>
    </w:p>
    <w:p w14:paraId="198A03D8" w14:textId="186347A4" w:rsidR="00C35958" w:rsidRDefault="00DD6124" w:rsidP="00DD6124">
      <w:pPr>
        <w:pStyle w:val="AHPRABody0"/>
      </w:pPr>
      <w:r>
        <w:t xml:space="preserve">An individual who graduates from an accredited and Board-approved program of study is deemed qualified for registration and to have the required professional </w:t>
      </w:r>
      <w:r w:rsidR="2E280E9F">
        <w:t xml:space="preserve">entry-level </w:t>
      </w:r>
      <w:r>
        <w:t xml:space="preserve">competencies to practise. </w:t>
      </w:r>
      <w:r w:rsidR="00AB0613">
        <w:t>O</w:t>
      </w:r>
      <w:r>
        <w:t>verseas-trained dental practitioners are</w:t>
      </w:r>
      <w:r w:rsidR="00AB0613">
        <w:t xml:space="preserve"> currently</w:t>
      </w:r>
      <w:r>
        <w:t xml:space="preserve"> assessed through the examination process set up by the ADC. This process is based on the same professional competencies used</w:t>
      </w:r>
      <w:r w:rsidR="00324C80">
        <w:t xml:space="preserve"> for </w:t>
      </w:r>
      <w:r>
        <w:t>Australian programs of study.</w:t>
      </w:r>
    </w:p>
    <w:p w14:paraId="25C9291D" w14:textId="31321262" w:rsidR="00BB416E" w:rsidRDefault="45D425ED" w:rsidP="00DD6124">
      <w:pPr>
        <w:pStyle w:val="AHPRABody0"/>
      </w:pPr>
      <w:r>
        <w:t>Under the professional competencies</w:t>
      </w:r>
      <w:r w:rsidR="4F30FEEC">
        <w:t xml:space="preserve">, </w:t>
      </w:r>
      <w:r w:rsidR="4B12C757">
        <w:t>it is expected that</w:t>
      </w:r>
      <w:r>
        <w:t xml:space="preserve"> all dental</w:t>
      </w:r>
      <w:r w:rsidR="4B12C757">
        <w:t xml:space="preserve"> practitioners have </w:t>
      </w:r>
      <w:r w:rsidR="5A8AFAFC" w:rsidRPr="291FE545">
        <w:rPr>
          <w:lang w:val="en-US"/>
        </w:rPr>
        <w:t>knowledge and understanding of the scientific principles and application of infection prevention and control</w:t>
      </w:r>
      <w:r w:rsidR="300713FE" w:rsidRPr="291FE545">
        <w:rPr>
          <w:lang w:val="en-US"/>
        </w:rPr>
        <w:t xml:space="preserve"> on entry to practice</w:t>
      </w:r>
      <w:r w:rsidR="5A8AFAFC" w:rsidRPr="291FE545">
        <w:rPr>
          <w:lang w:val="en-US"/>
        </w:rPr>
        <w:t>.</w:t>
      </w:r>
      <w:r w:rsidR="43701C9E" w:rsidRPr="291FE545">
        <w:rPr>
          <w:lang w:val="en-US"/>
        </w:rPr>
        <w:t xml:space="preserve"> </w:t>
      </w:r>
      <w:r w:rsidR="7F4D91BA" w:rsidRPr="291FE545">
        <w:rPr>
          <w:lang w:val="en-US"/>
        </w:rPr>
        <w:t xml:space="preserve">Accreditation and professional competencies are </w:t>
      </w:r>
      <w:r w:rsidR="4CFB2451" w:rsidRPr="291FE545">
        <w:rPr>
          <w:lang w:val="en-US"/>
        </w:rPr>
        <w:t>important</w:t>
      </w:r>
      <w:r w:rsidR="7F4D91BA" w:rsidRPr="291FE545">
        <w:rPr>
          <w:lang w:val="en-US"/>
        </w:rPr>
        <w:t xml:space="preserve"> </w:t>
      </w:r>
      <w:r w:rsidR="663DC1D3" w:rsidRPr="291FE545">
        <w:rPr>
          <w:lang w:val="en-US"/>
        </w:rPr>
        <w:t xml:space="preserve">mechanisms </w:t>
      </w:r>
      <w:r w:rsidR="27BBF3C8" w:rsidRPr="291FE545">
        <w:rPr>
          <w:lang w:val="en-US"/>
        </w:rPr>
        <w:t>to ensure that practitioners practi</w:t>
      </w:r>
      <w:r w:rsidR="00384F42">
        <w:rPr>
          <w:lang w:val="en-US"/>
        </w:rPr>
        <w:t>s</w:t>
      </w:r>
      <w:r w:rsidR="27BBF3C8" w:rsidRPr="291FE545">
        <w:rPr>
          <w:lang w:val="en-US"/>
        </w:rPr>
        <w:t>e safely and the public is protected.</w:t>
      </w:r>
      <w:r w:rsidR="5A8AFAFC" w:rsidRPr="291FE545">
        <w:rPr>
          <w:lang w:val="en-US"/>
        </w:rPr>
        <w:t xml:space="preserve"> </w:t>
      </w:r>
      <w:r w:rsidR="6B7AB2CA">
        <w:t xml:space="preserve"> </w:t>
      </w:r>
    </w:p>
    <w:p w14:paraId="38FD62F9" w14:textId="77777777" w:rsidR="00C22032" w:rsidRDefault="00C22032" w:rsidP="00F45025">
      <w:pPr>
        <w:pStyle w:val="AHPRASubheadinglevel2"/>
      </w:pPr>
      <w:bookmarkStart w:id="27" w:name="_Toc75851494"/>
      <w:bookmarkStart w:id="28" w:name="_Toc75858854"/>
      <w:bookmarkStart w:id="29" w:name="_Toc77604582"/>
      <w:r>
        <w:t>Registration standards</w:t>
      </w:r>
      <w:bookmarkEnd w:id="27"/>
      <w:bookmarkEnd w:id="28"/>
      <w:bookmarkEnd w:id="29"/>
    </w:p>
    <w:p w14:paraId="5D7774E9" w14:textId="2B9AA100" w:rsidR="00616BF1" w:rsidRDefault="00DD6124" w:rsidP="00DD6124">
      <w:pPr>
        <w:pStyle w:val="AHPRABody0"/>
      </w:pPr>
      <w:r>
        <w:t xml:space="preserve">The Board has developed </w:t>
      </w:r>
      <w:hyperlink r:id="rId21" w:history="1">
        <w:r w:rsidR="00867755">
          <w:rPr>
            <w:rFonts w:ascii="ZWAdobeF" w:hAnsi="ZWAdobeF" w:cs="ZWAdobeF"/>
            <w:sz w:val="2"/>
            <w:szCs w:val="2"/>
          </w:rPr>
          <w:t>39T</w:t>
        </w:r>
        <w:r w:rsidRPr="004170DF">
          <w:rPr>
            <w:rStyle w:val="Hyperlink"/>
          </w:rPr>
          <w:t>registration standards</w:t>
        </w:r>
      </w:hyperlink>
      <w:r w:rsidR="00867755" w:rsidRPr="00867755">
        <w:rPr>
          <w:rStyle w:val="Hyperlink"/>
          <w:rFonts w:ascii="ZWAdobeF" w:hAnsi="ZWAdobeF" w:cs="ZWAdobeF"/>
          <w:color w:val="auto"/>
          <w:sz w:val="2"/>
          <w:szCs w:val="2"/>
          <w:u w:val="none"/>
        </w:rPr>
        <w:t>39T</w:t>
      </w:r>
      <w:r>
        <w:t xml:space="preserve"> </w:t>
      </w:r>
      <w:r w:rsidR="00DB6848">
        <w:t xml:space="preserve">that </w:t>
      </w:r>
      <w:r>
        <w:t xml:space="preserve">are relevant to </w:t>
      </w:r>
      <w:r w:rsidR="00616BF1">
        <w:t>aspects of infection prevention and control, such as:</w:t>
      </w:r>
    </w:p>
    <w:p w14:paraId="37B995AF" w14:textId="63263260" w:rsidR="00616BF1" w:rsidRDefault="00DD6124" w:rsidP="0073444B">
      <w:pPr>
        <w:pStyle w:val="AHPRABulletlevel1"/>
      </w:pPr>
      <w:r w:rsidRPr="0064356C">
        <w:rPr>
          <w:i/>
          <w:iCs/>
        </w:rPr>
        <w:t>Professional indemnity insurance registration standard</w:t>
      </w:r>
      <w:r>
        <w:t xml:space="preserve"> which requires dental practitioners to have the necessary level of insurance cover for all areas of their practice</w:t>
      </w:r>
      <w:r w:rsidR="00384F42">
        <w:t>,</w:t>
      </w:r>
      <w:r>
        <w:t xml:space="preserve"> and </w:t>
      </w:r>
    </w:p>
    <w:p w14:paraId="24BD42F6" w14:textId="51215EC8" w:rsidR="00616BF1" w:rsidRDefault="00DD6124" w:rsidP="0073444B">
      <w:pPr>
        <w:pStyle w:val="AHPRABulletlevel1"/>
      </w:pPr>
      <w:r w:rsidRPr="0064356C">
        <w:rPr>
          <w:i/>
          <w:iCs/>
        </w:rPr>
        <w:t>Registration standard: continuing professional development</w:t>
      </w:r>
      <w:r>
        <w:t xml:space="preserve"> (CPD) and the associated guidelines which require dental practitioners to complete a specific amount of CPD activities. </w:t>
      </w:r>
    </w:p>
    <w:p w14:paraId="35523486" w14:textId="77777777" w:rsidR="007E18B5" w:rsidRDefault="007E18B5" w:rsidP="003A164F">
      <w:pPr>
        <w:pStyle w:val="AHPRASubheadinglevel2"/>
        <w:keepNext/>
      </w:pPr>
      <w:bookmarkStart w:id="30" w:name="_Toc75851495"/>
      <w:bookmarkStart w:id="31" w:name="_Toc75858855"/>
      <w:bookmarkStart w:id="32" w:name="_Toc77604583"/>
      <w:r>
        <w:t>Code of conduct</w:t>
      </w:r>
      <w:bookmarkEnd w:id="30"/>
      <w:bookmarkEnd w:id="31"/>
      <w:bookmarkEnd w:id="32"/>
    </w:p>
    <w:p w14:paraId="24F0D5EE" w14:textId="5A33D4B5" w:rsidR="00B41D0A" w:rsidRDefault="00DD6124" w:rsidP="00DD6124">
      <w:pPr>
        <w:pStyle w:val="AHPRABody0"/>
        <w:rPr>
          <w:highlight w:val="yellow"/>
        </w:rPr>
      </w:pPr>
      <w:r>
        <w:t>T</w:t>
      </w:r>
      <w:r w:rsidRPr="0052185F">
        <w:t xml:space="preserve">he Board’s </w:t>
      </w:r>
      <w:r w:rsidR="00867755">
        <w:rPr>
          <w:rFonts w:ascii="ZWAdobeF" w:hAnsi="ZWAdobeF" w:cs="ZWAdobeF"/>
          <w:sz w:val="2"/>
          <w:szCs w:val="2"/>
        </w:rPr>
        <w:t>39T</w:t>
      </w:r>
      <w:hyperlink r:id="rId22" w:history="1">
        <w:r w:rsidRPr="004170DF">
          <w:rPr>
            <w:rStyle w:val="Hyperlink"/>
          </w:rPr>
          <w:t xml:space="preserve">Code of </w:t>
        </w:r>
        <w:r w:rsidR="00681003" w:rsidRPr="004170DF">
          <w:rPr>
            <w:rStyle w:val="Hyperlink"/>
          </w:rPr>
          <w:t>c</w:t>
        </w:r>
        <w:r w:rsidRPr="004170DF">
          <w:rPr>
            <w:rStyle w:val="Hyperlink"/>
          </w:rPr>
          <w:t xml:space="preserve">onduct </w:t>
        </w:r>
      </w:hyperlink>
      <w:r w:rsidR="007C4E89">
        <w:rPr>
          <w:rStyle w:val="Hyperlink"/>
        </w:rPr>
        <w:t xml:space="preserve">(currently under review) </w:t>
      </w:r>
      <w:r w:rsidR="00867755">
        <w:rPr>
          <w:rStyle w:val="Hyperlink"/>
          <w:rFonts w:ascii="ZWAdobeF" w:hAnsi="ZWAdobeF" w:cs="ZWAdobeF"/>
          <w:color w:val="auto"/>
          <w:sz w:val="2"/>
          <w:szCs w:val="2"/>
          <w:u w:val="none"/>
        </w:rPr>
        <w:t>39T</w:t>
      </w:r>
      <w:r w:rsidRPr="0052185F">
        <w:t xml:space="preserve">describes professional standards for practitioners’ behaviour, including the importance of maintaining a high level of professional competence </w:t>
      </w:r>
      <w:r w:rsidRPr="00792888">
        <w:t xml:space="preserve">to provide the best dental </w:t>
      </w:r>
      <w:r w:rsidRPr="007C0E5E">
        <w:t>care to patients.</w:t>
      </w:r>
      <w:r w:rsidR="00B41D0A" w:rsidRPr="0052185F">
        <w:t xml:space="preserve"> The </w:t>
      </w:r>
      <w:r w:rsidR="00384F42">
        <w:t>c</w:t>
      </w:r>
      <w:r w:rsidR="00B41D0A" w:rsidRPr="0052185F">
        <w:t>ode also requires practitioners to:</w:t>
      </w:r>
    </w:p>
    <w:p w14:paraId="3003B106" w14:textId="13690EDF" w:rsidR="00D8213D" w:rsidRDefault="00D8213D" w:rsidP="00D8213D">
      <w:pPr>
        <w:pStyle w:val="AHPRABulletlevel1"/>
      </w:pPr>
      <w:r>
        <w:lastRenderedPageBreak/>
        <w:t>be aware of their legal obligations and act in accordance with the law</w:t>
      </w:r>
    </w:p>
    <w:p w14:paraId="476F87EE" w14:textId="77777777" w:rsidR="00B41D0A" w:rsidRPr="009F195B" w:rsidRDefault="00B41D0A" w:rsidP="00B41D0A">
      <w:pPr>
        <w:pStyle w:val="AHPRABulletlevel1"/>
      </w:pPr>
      <w:r w:rsidRPr="009F195B">
        <w:t xml:space="preserve">maintain adequate knowledge and skills to provide safe and effective care </w:t>
      </w:r>
    </w:p>
    <w:p w14:paraId="1CBEA03C" w14:textId="77777777" w:rsidR="00B41D0A" w:rsidRPr="009F195B" w:rsidRDefault="00B41D0A" w:rsidP="00B41D0A">
      <w:pPr>
        <w:pStyle w:val="AHPRABulletlevel1"/>
      </w:pPr>
      <w:r w:rsidRPr="009F195B">
        <w:t xml:space="preserve">practise in accordance with the current and accepted evidence base of the health profession </w:t>
      </w:r>
    </w:p>
    <w:p w14:paraId="5815F16A" w14:textId="77777777" w:rsidR="00B41D0A" w:rsidRPr="009F195B" w:rsidRDefault="00B41D0A" w:rsidP="00B41D0A">
      <w:pPr>
        <w:pStyle w:val="AHPRABulletlevel1"/>
      </w:pPr>
      <w:r w:rsidRPr="009F195B">
        <w:t>retain personal accountability for professional conduct and the care provided even when working in a team</w:t>
      </w:r>
    </w:p>
    <w:p w14:paraId="5CDB649F" w14:textId="77777777" w:rsidR="00B41D0A" w:rsidRPr="009F195B" w:rsidRDefault="00B41D0A" w:rsidP="00B41D0A">
      <w:pPr>
        <w:pStyle w:val="AHPRABulletlevel1"/>
      </w:pPr>
      <w:r w:rsidRPr="009F195B">
        <w:t xml:space="preserve">promote the health of the community through disease prevention and control, education and, where relevant, screening </w:t>
      </w:r>
    </w:p>
    <w:p w14:paraId="67AFFDED" w14:textId="77777777" w:rsidR="00B41D0A" w:rsidRPr="009F195B" w:rsidRDefault="00B41D0A" w:rsidP="00B41D0A">
      <w:pPr>
        <w:pStyle w:val="AHPRABulletlevel1"/>
      </w:pPr>
      <w:r w:rsidRPr="009F195B">
        <w:t>understand and apply the key principles of risk minimisation and management in practice,</w:t>
      </w:r>
    </w:p>
    <w:p w14:paraId="65AD68F4" w14:textId="77777777" w:rsidR="00B41D0A" w:rsidRPr="00BD0CDB" w:rsidRDefault="00B41D0A" w:rsidP="00B41D0A">
      <w:pPr>
        <w:pStyle w:val="AHPRABulletlevel1"/>
      </w:pPr>
      <w:r w:rsidRPr="009F195B">
        <w:t>understand the princip</w:t>
      </w:r>
      <w:r w:rsidRPr="00BD0CDB">
        <w:t>les of immunisation against communicable diseases, and</w:t>
      </w:r>
    </w:p>
    <w:p w14:paraId="11295954" w14:textId="77777777" w:rsidR="00426431" w:rsidRPr="00C20955" w:rsidRDefault="56376E50" w:rsidP="0391C58A">
      <w:pPr>
        <w:pStyle w:val="AHPRABulletlevel1last"/>
      </w:pPr>
      <w:r>
        <w:t>be aware of any health condition that could affect the health of patients and take adequate steps to address this.</w:t>
      </w:r>
      <w:r w:rsidRPr="617D3029">
        <w:rPr>
          <w:rFonts w:ascii="ZWAdobeF" w:hAnsi="ZWAdobeF" w:cs="ZWAdobeF"/>
          <w:sz w:val="2"/>
          <w:szCs w:val="2"/>
        </w:rPr>
        <w:t>P24F</w:t>
      </w:r>
    </w:p>
    <w:p w14:paraId="2599449C" w14:textId="70010485" w:rsidR="00B41D0A" w:rsidRPr="00B41D0A" w:rsidRDefault="00426431" w:rsidP="00C20955">
      <w:pPr>
        <w:pStyle w:val="AHPRABody0"/>
      </w:pPr>
      <w:r>
        <w:t xml:space="preserve">The </w:t>
      </w:r>
      <w:r w:rsidR="007C4E89" w:rsidRPr="0064356C">
        <w:rPr>
          <w:i/>
          <w:iCs/>
        </w:rPr>
        <w:t>Code of conduct</w:t>
      </w:r>
      <w:r w:rsidR="007C4E89">
        <w:t xml:space="preserve"> is another important </w:t>
      </w:r>
      <w:r w:rsidR="00D210E9">
        <w:t xml:space="preserve">tool the Board uses to ensure the public is protected and that practitioners </w:t>
      </w:r>
      <w:r w:rsidR="00AB523E">
        <w:t xml:space="preserve">behave ethically and </w:t>
      </w:r>
      <w:r w:rsidR="00D210E9">
        <w:t xml:space="preserve">practise safely. It has broad application to </w:t>
      </w:r>
      <w:r w:rsidR="00AB523E">
        <w:t xml:space="preserve">all areas of practice, and clear relevance to infection prevention and control, as outlined </w:t>
      </w:r>
      <w:r w:rsidR="00BC2BE7">
        <w:t xml:space="preserve">in the examples </w:t>
      </w:r>
      <w:r w:rsidR="00AB523E">
        <w:t>above.</w:t>
      </w:r>
      <w:r w:rsidR="005C7F34">
        <w:t xml:space="preserve"> </w:t>
      </w:r>
      <w:r w:rsidR="00DB6848">
        <w:t xml:space="preserve">As with </w:t>
      </w:r>
      <w:r w:rsidR="005C7F34">
        <w:t xml:space="preserve">guidelines, the </w:t>
      </w:r>
      <w:r w:rsidR="00384F42">
        <w:t>c</w:t>
      </w:r>
      <w:r w:rsidR="005C7F34">
        <w:t>ode can be used as evidence of appropriate professional conduct or practice in disciplinary proceedings.</w:t>
      </w:r>
    </w:p>
    <w:p w14:paraId="21F3EBDF" w14:textId="423F2DA3" w:rsidR="007E18B5" w:rsidRDefault="007E18B5" w:rsidP="00F45025">
      <w:pPr>
        <w:pStyle w:val="AHPRASubheadinglevel2"/>
      </w:pPr>
      <w:bookmarkStart w:id="33" w:name="_Toc75851496"/>
      <w:bookmarkStart w:id="34" w:name="_Toc75858856"/>
      <w:bookmarkStart w:id="35" w:name="_Toc77604584"/>
      <w:r>
        <w:t>Guidelines</w:t>
      </w:r>
      <w:bookmarkEnd w:id="33"/>
      <w:bookmarkEnd w:id="34"/>
      <w:bookmarkEnd w:id="35"/>
    </w:p>
    <w:p w14:paraId="1507C002" w14:textId="2E2823AB" w:rsidR="00801BDF" w:rsidRDefault="00801BDF" w:rsidP="00DD6124">
      <w:pPr>
        <w:pStyle w:val="AHPRABody0"/>
      </w:pPr>
      <w:r>
        <w:t xml:space="preserve">As described above, guidelines help explain regulatory matters relevant to dental practitioners. They </w:t>
      </w:r>
      <w:r w:rsidR="68F750F9">
        <w:t>are</w:t>
      </w:r>
      <w:r>
        <w:t xml:space="preserve"> not </w:t>
      </w:r>
      <w:r w:rsidR="00AF2B55">
        <w:t xml:space="preserve">intended to be </w:t>
      </w:r>
      <w:r>
        <w:t>prescriptive about clinical practice.</w:t>
      </w:r>
      <w:r w:rsidR="00215077">
        <w:t xml:space="preserve"> Guidelines can also be used as evidence in disciplinary proceedings.</w:t>
      </w:r>
    </w:p>
    <w:p w14:paraId="7898F2FA" w14:textId="41551B67" w:rsidR="00200513" w:rsidRDefault="006D5A5E" w:rsidP="00DD6124">
      <w:pPr>
        <w:pStyle w:val="AHPRABody0"/>
      </w:pPr>
      <w:r>
        <w:t xml:space="preserve">The Board publishes guidelines (other than the </w:t>
      </w:r>
      <w:r w:rsidRPr="00F4766C">
        <w:rPr>
          <w:i/>
          <w:iCs/>
        </w:rPr>
        <w:t>Guidelines on infection control</w:t>
      </w:r>
      <w:r>
        <w:t xml:space="preserve">) that relate to </w:t>
      </w:r>
      <w:r w:rsidR="697B831B">
        <w:t xml:space="preserve">the conduct of practitioners related to </w:t>
      </w:r>
      <w:r>
        <w:t xml:space="preserve">infection prevention and control. </w:t>
      </w:r>
      <w:r w:rsidR="00200513">
        <w:t xml:space="preserve">The Board’s </w:t>
      </w:r>
      <w:hyperlink r:id="rId23">
        <w:r w:rsidR="00867755">
          <w:rPr>
            <w:rFonts w:ascii="ZWAdobeF" w:hAnsi="ZWAdobeF" w:cs="ZWAdobeF"/>
            <w:sz w:val="2"/>
            <w:szCs w:val="2"/>
          </w:rPr>
          <w:t>39T</w:t>
        </w:r>
        <w:r w:rsidRPr="0391C58A">
          <w:rPr>
            <w:rStyle w:val="Hyperlink"/>
          </w:rPr>
          <w:t>Guidelines: registered health practitioners and students in relation to blood-borne viruses</w:t>
        </w:r>
      </w:hyperlink>
      <w:r w:rsidR="00867755" w:rsidRPr="00867755">
        <w:rPr>
          <w:rStyle w:val="Hyperlink"/>
          <w:rFonts w:ascii="ZWAdobeF" w:hAnsi="ZWAdobeF" w:cs="ZWAdobeF"/>
          <w:color w:val="auto"/>
          <w:sz w:val="2"/>
          <w:szCs w:val="2"/>
          <w:u w:val="none"/>
        </w:rPr>
        <w:t>39T</w:t>
      </w:r>
      <w:r w:rsidR="00B80C5D">
        <w:t xml:space="preserve"> (the BBV </w:t>
      </w:r>
      <w:r w:rsidR="00384F42">
        <w:t>g</w:t>
      </w:r>
      <w:r w:rsidR="00B80C5D">
        <w:t>uidelines)</w:t>
      </w:r>
      <w:r>
        <w:t xml:space="preserve"> </w:t>
      </w:r>
      <w:r w:rsidR="00200513">
        <w:t xml:space="preserve">were published in 2020. </w:t>
      </w:r>
      <w:r w:rsidR="00B80C5D">
        <w:t xml:space="preserve">The BBV </w:t>
      </w:r>
      <w:r w:rsidR="00384F42">
        <w:t>g</w:t>
      </w:r>
      <w:r w:rsidR="00B80C5D">
        <w:t>uidelines:</w:t>
      </w:r>
    </w:p>
    <w:p w14:paraId="77999AE3" w14:textId="0F7A7257" w:rsidR="00B80C5D" w:rsidRPr="0037426D" w:rsidRDefault="00B80C5D" w:rsidP="007E0520">
      <w:pPr>
        <w:pStyle w:val="AHPRABulletlevel1"/>
      </w:pPr>
      <w:bookmarkStart w:id="36" w:name="_Hlk12977921"/>
      <w:r w:rsidRPr="0037426D">
        <w:t xml:space="preserve">inform all practitioners </w:t>
      </w:r>
      <w:r>
        <w:t xml:space="preserve">and students </w:t>
      </w:r>
      <w:r w:rsidRPr="0037426D">
        <w:t xml:space="preserve">that they must comply with the Communicable Diseases Network Australia (CDNA) </w:t>
      </w:r>
      <w:r w:rsidRPr="0001616D">
        <w:rPr>
          <w:i/>
          <w:iCs/>
        </w:rPr>
        <w:t>Australian national guidelines for the management of healthcare workers living with blood borne viruses</w:t>
      </w:r>
      <w:r w:rsidRPr="0037426D">
        <w:t xml:space="preserve"> </w:t>
      </w:r>
      <w:r w:rsidRPr="0001616D">
        <w:rPr>
          <w:i/>
          <w:iCs/>
        </w:rPr>
        <w:t>and healthcare workers who perform exposure prone procedures at risk of exposure to blood borne viruses</w:t>
      </w:r>
      <w:r w:rsidRPr="0037426D">
        <w:t xml:space="preserve"> </w:t>
      </w:r>
    </w:p>
    <w:p w14:paraId="5AD7E7AE" w14:textId="67E1682B" w:rsidR="00B80C5D" w:rsidRPr="0037426D" w:rsidRDefault="00B80C5D" w:rsidP="007E0520">
      <w:pPr>
        <w:pStyle w:val="AHPRABulletlevel1"/>
      </w:pPr>
      <w:r w:rsidRPr="0037426D">
        <w:t xml:space="preserve">explain when a practitioner treating a registered health practitioner or student </w:t>
      </w:r>
      <w:r>
        <w:t xml:space="preserve">who performs </w:t>
      </w:r>
      <w:r w:rsidR="007E0520">
        <w:t>exposure prone procedures</w:t>
      </w:r>
      <w:r>
        <w:t xml:space="preserve"> </w:t>
      </w:r>
      <w:r w:rsidRPr="0037426D">
        <w:t>may have a responsibility to notify A</w:t>
      </w:r>
      <w:r>
        <w:t>hpra</w:t>
      </w:r>
      <w:r w:rsidRPr="0037426D">
        <w:t>, and</w:t>
      </w:r>
    </w:p>
    <w:p w14:paraId="78E1557D" w14:textId="5674E69B" w:rsidR="00B80C5D" w:rsidRPr="0052185F" w:rsidRDefault="00B80C5D" w:rsidP="007E0520">
      <w:pPr>
        <w:pStyle w:val="AHPRABulletlevel1"/>
      </w:pPr>
      <w:r w:rsidRPr="0037426D">
        <w:t>provide information on the range of actions th</w:t>
      </w:r>
      <w:r w:rsidR="007E0520">
        <w:t xml:space="preserve">e </w:t>
      </w:r>
      <w:r w:rsidRPr="0037426D">
        <w:t xml:space="preserve">Board may take if it receives a notification </w:t>
      </w:r>
      <w:r w:rsidR="00DB6848">
        <w:t>about</w:t>
      </w:r>
      <w:r w:rsidRPr="0037426D">
        <w:t xml:space="preserve"> a registered health practitioner or student with a </w:t>
      </w:r>
      <w:r w:rsidR="007E0520">
        <w:t>blood-borne virus</w:t>
      </w:r>
      <w:r w:rsidRPr="0037426D">
        <w:t xml:space="preserve"> </w:t>
      </w:r>
      <w:r>
        <w:t xml:space="preserve">who performs </w:t>
      </w:r>
      <w:r w:rsidR="007E0520">
        <w:t xml:space="preserve">exposure prone procedures </w:t>
      </w:r>
      <w:r w:rsidR="00DB6848">
        <w:t>and does not comply</w:t>
      </w:r>
      <w:r>
        <w:t xml:space="preserve"> with the CDNA guidelines and </w:t>
      </w:r>
      <w:r w:rsidRPr="0037426D">
        <w:t>may</w:t>
      </w:r>
      <w:r>
        <w:t xml:space="preserve"> </w:t>
      </w:r>
      <w:r w:rsidRPr="0037426D">
        <w:t>pose a risk to the public.</w:t>
      </w:r>
      <w:bookmarkEnd w:id="36"/>
    </w:p>
    <w:p w14:paraId="6884717B" w14:textId="1703EDE2" w:rsidR="007E18B5" w:rsidRDefault="009B1294" w:rsidP="00F45025">
      <w:pPr>
        <w:pStyle w:val="AHPRASubheadinglevel2"/>
      </w:pPr>
      <w:bookmarkStart w:id="37" w:name="_Toc75851497"/>
      <w:bookmarkStart w:id="38" w:name="_Toc75858857"/>
      <w:bookmarkStart w:id="39" w:name="_Toc77604585"/>
      <w:r>
        <w:t>Other legislative obligations</w:t>
      </w:r>
      <w:bookmarkEnd w:id="37"/>
      <w:bookmarkEnd w:id="38"/>
      <w:bookmarkEnd w:id="39"/>
      <w:r>
        <w:t xml:space="preserve"> </w:t>
      </w:r>
    </w:p>
    <w:p w14:paraId="16729B8B" w14:textId="21B1E48F" w:rsidR="00650D1E" w:rsidRDefault="12383847" w:rsidP="00DD6124">
      <w:pPr>
        <w:pStyle w:val="AHPRABody0"/>
      </w:pPr>
      <w:r>
        <w:t>There are other</w:t>
      </w:r>
      <w:r w:rsidR="00DD6124">
        <w:t xml:space="preserve"> state and territory legislative requirements</w:t>
      </w:r>
      <w:r w:rsidR="70FE5130">
        <w:t xml:space="preserve"> to protect the public</w:t>
      </w:r>
      <w:r w:rsidR="00DD6124">
        <w:t xml:space="preserve"> </w:t>
      </w:r>
      <w:r w:rsidR="66C37AE1">
        <w:t xml:space="preserve">around infection prevention and control </w:t>
      </w:r>
      <w:r w:rsidR="00DD6124">
        <w:t>including (but not limited to)</w:t>
      </w:r>
      <w:r w:rsidR="00650D1E">
        <w:t>:</w:t>
      </w:r>
    </w:p>
    <w:p w14:paraId="51EC3F1E" w14:textId="77777777" w:rsidR="00AB7EE8" w:rsidRDefault="00AB7EE8" w:rsidP="00650D1E">
      <w:pPr>
        <w:pStyle w:val="AHPRABulletlevel1"/>
      </w:pPr>
      <w:r>
        <w:t>work health and safety laws</w:t>
      </w:r>
    </w:p>
    <w:p w14:paraId="08AEB7CC" w14:textId="77777777" w:rsidR="007C6876" w:rsidRDefault="007C6876" w:rsidP="00650D1E">
      <w:pPr>
        <w:pStyle w:val="AHPRABulletlevel1"/>
      </w:pPr>
      <w:r>
        <w:t>public health laws or directives</w:t>
      </w:r>
    </w:p>
    <w:p w14:paraId="4F776BFD" w14:textId="77777777" w:rsidR="004A3E02" w:rsidRDefault="004A3E02" w:rsidP="00650D1E">
      <w:pPr>
        <w:pStyle w:val="AHPRABulletlevel1"/>
      </w:pPr>
      <w:r>
        <w:t>environmental laws</w:t>
      </w:r>
    </w:p>
    <w:p w14:paraId="51405433" w14:textId="7C834659" w:rsidR="001C2209" w:rsidRDefault="00DD6124" w:rsidP="002565F4">
      <w:pPr>
        <w:pStyle w:val="AHPRABulletlevel1last"/>
      </w:pPr>
      <w:r>
        <w:t>any other relevant legislation and/or regulatory requirements</w:t>
      </w:r>
      <w:r w:rsidR="00BC356A">
        <w:t xml:space="preserve"> relating to infection prevention and control</w:t>
      </w:r>
      <w:r>
        <w:t xml:space="preserve">. </w:t>
      </w:r>
    </w:p>
    <w:p w14:paraId="5042D69F" w14:textId="52CFD4EB" w:rsidR="00282A79" w:rsidRDefault="00282A79" w:rsidP="00D41CDA">
      <w:pPr>
        <w:pStyle w:val="AHPRABody0"/>
      </w:pPr>
      <w:r>
        <w:t>For example</w:t>
      </w:r>
      <w:r w:rsidR="002565F4">
        <w:t xml:space="preserve">, </w:t>
      </w:r>
      <w:r w:rsidR="00E46960">
        <w:t>dental practices</w:t>
      </w:r>
      <w:r w:rsidR="002565F4">
        <w:t xml:space="preserve"> in the Australian Capital Territory </w:t>
      </w:r>
      <w:r w:rsidR="00D66866">
        <w:t>are required to</w:t>
      </w:r>
      <w:r w:rsidR="00E46960">
        <w:t xml:space="preserve"> be licenced and comply with </w:t>
      </w:r>
      <w:r w:rsidR="00D41CDA">
        <w:t>t</w:t>
      </w:r>
      <w:r w:rsidR="00D41CDA" w:rsidRPr="00D41CDA">
        <w:t xml:space="preserve">he ACT Health </w:t>
      </w:r>
      <w:r w:rsidR="00D41CDA" w:rsidRPr="00D41CDA">
        <w:rPr>
          <w:i/>
        </w:rPr>
        <w:t xml:space="preserve">Infection Control for office practices and other community-based services Code of Practice </w:t>
      </w:r>
      <w:r w:rsidR="00D41CDA" w:rsidRPr="00B553A2">
        <w:rPr>
          <w:iCs/>
        </w:rPr>
        <w:t>2005</w:t>
      </w:r>
      <w:r w:rsidR="00D41CDA">
        <w:t xml:space="preserve">. </w:t>
      </w:r>
      <w:r w:rsidR="001070EA">
        <w:t>Owner/operators of d</w:t>
      </w:r>
      <w:r w:rsidR="00D732FC">
        <w:t>ental practices</w:t>
      </w:r>
      <w:r w:rsidR="002565F4">
        <w:t xml:space="preserve"> in Queensland</w:t>
      </w:r>
      <w:r w:rsidR="007D625E">
        <w:t xml:space="preserve"> </w:t>
      </w:r>
      <w:r w:rsidR="00F4510B">
        <w:t xml:space="preserve">are required to </w:t>
      </w:r>
      <w:r w:rsidR="00527D1E">
        <w:t xml:space="preserve">have Infection Control Management Plans under the </w:t>
      </w:r>
      <w:r w:rsidR="009D1651" w:rsidRPr="009D1651">
        <w:rPr>
          <w:i/>
        </w:rPr>
        <w:t xml:space="preserve">Public Health Act </w:t>
      </w:r>
      <w:r w:rsidR="009D1651" w:rsidRPr="00B553A2">
        <w:rPr>
          <w:iCs/>
        </w:rPr>
        <w:t>2005</w:t>
      </w:r>
      <w:r w:rsidR="009D1651" w:rsidRPr="009D1651">
        <w:rPr>
          <w:i/>
        </w:rPr>
        <w:t xml:space="preserve"> </w:t>
      </w:r>
      <w:r w:rsidR="009D1651" w:rsidRPr="009D1651">
        <w:t>(Queensland)</w:t>
      </w:r>
      <w:r w:rsidR="009D1651">
        <w:t>.</w:t>
      </w:r>
    </w:p>
    <w:p w14:paraId="72115E74" w14:textId="1C11680F" w:rsidR="001C2209" w:rsidRDefault="00784E4A" w:rsidP="00A54E2A">
      <w:pPr>
        <w:pStyle w:val="AHPRASubheadinglevel2"/>
        <w:keepNext/>
      </w:pPr>
      <w:bookmarkStart w:id="40" w:name="_Toc75851498"/>
      <w:bookmarkStart w:id="41" w:name="_Toc75858858"/>
      <w:bookmarkStart w:id="42" w:name="_Toc77604586"/>
      <w:r>
        <w:t>Other risk control</w:t>
      </w:r>
      <w:r w:rsidR="001C2209">
        <w:t>s</w:t>
      </w:r>
      <w:bookmarkEnd w:id="40"/>
      <w:bookmarkEnd w:id="41"/>
      <w:bookmarkEnd w:id="42"/>
    </w:p>
    <w:p w14:paraId="786CD28C" w14:textId="7C393C2C" w:rsidR="00D00D6A" w:rsidRDefault="754585A7" w:rsidP="00A54E2A">
      <w:pPr>
        <w:pStyle w:val="AHPRABody0"/>
        <w:keepNext/>
      </w:pPr>
      <w:r>
        <w:t>Public and private e</w:t>
      </w:r>
      <w:r w:rsidR="00DD6124">
        <w:t xml:space="preserve">mployers (e.g. health services and/or individuals) </w:t>
      </w:r>
      <w:r w:rsidR="006733D0">
        <w:t>often</w:t>
      </w:r>
      <w:r w:rsidR="00DD6124">
        <w:t xml:space="preserve"> have in place workplace requirement</w:t>
      </w:r>
      <w:r w:rsidR="001C2209">
        <w:t xml:space="preserve">s, policies and procedures </w:t>
      </w:r>
      <w:r w:rsidR="00384F42">
        <w:t xml:space="preserve">about </w:t>
      </w:r>
      <w:r w:rsidR="001C2209">
        <w:t>infection prevention and control</w:t>
      </w:r>
      <w:r w:rsidR="00DD6124">
        <w:t>.</w:t>
      </w:r>
    </w:p>
    <w:p w14:paraId="5F884AE7" w14:textId="7FF05A36" w:rsidR="0029593A" w:rsidRPr="00DD6124" w:rsidRDefault="002565F4" w:rsidP="00DD6124">
      <w:pPr>
        <w:pStyle w:val="AHPRABody0"/>
      </w:pPr>
      <w:r>
        <w:t xml:space="preserve">The development of </w:t>
      </w:r>
      <w:r w:rsidR="00400F5A">
        <w:t>r</w:t>
      </w:r>
      <w:r w:rsidR="003C2CFF">
        <w:t xml:space="preserve">esources and guidance by other entities, including </w:t>
      </w:r>
      <w:r w:rsidR="00677DA9">
        <w:t xml:space="preserve">professional associations, </w:t>
      </w:r>
      <w:r w:rsidR="003C2CFF">
        <w:t xml:space="preserve">quality and safety </w:t>
      </w:r>
      <w:r w:rsidR="00400F5A">
        <w:t>organisations and standard-setting organisations</w:t>
      </w:r>
      <w:r w:rsidR="003C2CFF">
        <w:t xml:space="preserve"> </w:t>
      </w:r>
      <w:r w:rsidR="00400F5A">
        <w:t>also play an important role in educating and guiding dental practitioners to achieve good infection prevention and control.</w:t>
      </w:r>
      <w:r w:rsidR="006F5142">
        <w:t xml:space="preserve"> </w:t>
      </w:r>
      <w:r w:rsidR="0029593A">
        <w:t xml:space="preserve">Examples of these resources </w:t>
      </w:r>
      <w:r w:rsidR="0029593A">
        <w:lastRenderedPageBreak/>
        <w:t xml:space="preserve">include (but are not limited to) documents referenced in the Boards current </w:t>
      </w:r>
      <w:r w:rsidR="00384F42">
        <w:t>g</w:t>
      </w:r>
      <w:r w:rsidR="0029593A">
        <w:t xml:space="preserve">uidelines, such as the </w:t>
      </w:r>
      <w:r w:rsidR="0029593A" w:rsidRPr="0029593A">
        <w:rPr>
          <w:iCs/>
        </w:rPr>
        <w:t xml:space="preserve">NHMRC </w:t>
      </w:r>
      <w:r w:rsidR="00384F42">
        <w:rPr>
          <w:iCs/>
        </w:rPr>
        <w:t>g</w:t>
      </w:r>
      <w:r w:rsidR="0029593A" w:rsidRPr="0029593A">
        <w:rPr>
          <w:iCs/>
        </w:rPr>
        <w:t>uidelines,</w:t>
      </w:r>
      <w:r w:rsidR="0029593A">
        <w:rPr>
          <w:iCs/>
        </w:rPr>
        <w:t xml:space="preserve"> the Australian and New Zealand Standards and </w:t>
      </w:r>
      <w:r w:rsidR="00677DA9">
        <w:rPr>
          <w:iCs/>
        </w:rPr>
        <w:t xml:space="preserve">the ADA </w:t>
      </w:r>
      <w:r w:rsidR="00384F42">
        <w:rPr>
          <w:iCs/>
        </w:rPr>
        <w:t>g</w:t>
      </w:r>
      <w:r w:rsidR="00677DA9">
        <w:rPr>
          <w:iCs/>
        </w:rPr>
        <w:t>uidelines.</w:t>
      </w:r>
      <w:r w:rsidR="0029593A">
        <w:rPr>
          <w:i/>
          <w:iCs/>
        </w:rPr>
        <w:t xml:space="preserve"> </w:t>
      </w:r>
    </w:p>
    <w:p w14:paraId="01A08816" w14:textId="19C83A84" w:rsidR="00916667" w:rsidRDefault="00916667" w:rsidP="004170DF">
      <w:pPr>
        <w:pStyle w:val="AHPRASubheading"/>
        <w:keepNext/>
      </w:pPr>
      <w:bookmarkStart w:id="43" w:name="_Toc77604587"/>
      <w:r>
        <w:t>Development of options</w:t>
      </w:r>
      <w:r w:rsidR="00FE2489">
        <w:t xml:space="preserve"> for the review</w:t>
      </w:r>
      <w:bookmarkEnd w:id="43"/>
      <w:r w:rsidR="00D522F9">
        <w:t xml:space="preserve"> </w:t>
      </w:r>
    </w:p>
    <w:p w14:paraId="30D345A9" w14:textId="42C1BAD6" w:rsidR="002B7377" w:rsidRPr="00DD3B35" w:rsidRDefault="002B7377" w:rsidP="004170DF">
      <w:pPr>
        <w:pStyle w:val="AHPRAbodybold"/>
        <w:keepNext/>
      </w:pPr>
      <w:r w:rsidRPr="00DD3B35">
        <w:t xml:space="preserve">Principles for review of the </w:t>
      </w:r>
      <w:r w:rsidR="00384F42">
        <w:t>g</w:t>
      </w:r>
      <w:r w:rsidRPr="00DD3B35">
        <w:t>uidelines</w:t>
      </w:r>
    </w:p>
    <w:p w14:paraId="34242249" w14:textId="1D2968E7" w:rsidR="002B7377" w:rsidRDefault="005737D5" w:rsidP="00215BD9">
      <w:pPr>
        <w:pStyle w:val="AHPRABody0"/>
        <w:rPr>
          <w:lang w:val="en-US"/>
        </w:rPr>
      </w:pPr>
      <w:r>
        <w:rPr>
          <w:lang w:val="en-US"/>
        </w:rPr>
        <w:t xml:space="preserve">The Board developed a set of principles to underpin its review of the </w:t>
      </w:r>
      <w:r w:rsidR="00384F42">
        <w:rPr>
          <w:lang w:val="en-US"/>
        </w:rPr>
        <w:t>g</w:t>
      </w:r>
      <w:r>
        <w:rPr>
          <w:lang w:val="en-US"/>
        </w:rPr>
        <w:t>uidelines</w:t>
      </w:r>
      <w:r w:rsidR="00CB769B">
        <w:rPr>
          <w:lang w:val="en-US"/>
        </w:rPr>
        <w:t xml:space="preserve"> and to embody the Board’s </w:t>
      </w:r>
      <w:r w:rsidR="002B7377">
        <w:rPr>
          <w:lang w:val="en-US"/>
        </w:rPr>
        <w:t>risk-based</w:t>
      </w:r>
      <w:r w:rsidR="00CB769B">
        <w:rPr>
          <w:lang w:val="en-US"/>
        </w:rPr>
        <w:t xml:space="preserve"> approach to regulation.</w:t>
      </w:r>
      <w:r w:rsidR="002B7377">
        <w:rPr>
          <w:lang w:val="en-US"/>
        </w:rPr>
        <w:t xml:space="preserve"> </w:t>
      </w:r>
    </w:p>
    <w:p w14:paraId="31799260" w14:textId="4C4A0BA2" w:rsidR="00FE2489" w:rsidRDefault="007B6CDC" w:rsidP="001B34F0">
      <w:pPr>
        <w:pStyle w:val="AHPRAbody"/>
      </w:pPr>
      <w:r>
        <w:rPr>
          <w:noProof/>
          <w:lang w:val="en-US"/>
        </w:rPr>
        <w:drawing>
          <wp:inline distT="0" distB="0" distL="0" distR="0" wp14:anchorId="6D633CB1" wp14:editId="3F15E170">
            <wp:extent cx="5822950" cy="2178050"/>
            <wp:effectExtent l="0" t="0" r="25400" b="127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3550519D" w14:textId="0BE1B817" w:rsidR="00BB02D1" w:rsidRDefault="00BC5883" w:rsidP="002C7784">
      <w:pPr>
        <w:pStyle w:val="AHPRABody0"/>
        <w:rPr>
          <w:lang w:val="en-US"/>
        </w:rPr>
      </w:pPr>
      <w:bookmarkStart w:id="44" w:name="_Toc56081002"/>
      <w:r>
        <w:rPr>
          <w:lang w:val="en-US"/>
        </w:rPr>
        <w:t xml:space="preserve">Using the </w:t>
      </w:r>
      <w:r w:rsidRPr="002C7784">
        <w:t>principles</w:t>
      </w:r>
      <w:r>
        <w:rPr>
          <w:lang w:val="en-US"/>
        </w:rPr>
        <w:t xml:space="preserve"> to guide the review </w:t>
      </w:r>
      <w:r w:rsidR="00F55C39">
        <w:rPr>
          <w:lang w:val="en-US"/>
        </w:rPr>
        <w:t>means</w:t>
      </w:r>
      <w:r w:rsidR="00BB02D1">
        <w:rPr>
          <w:lang w:val="en-US"/>
        </w:rPr>
        <w:t xml:space="preserve"> that the Board is </w:t>
      </w:r>
      <w:r w:rsidR="004E259C">
        <w:rPr>
          <w:lang w:val="en-US"/>
        </w:rPr>
        <w:t>proposing</w:t>
      </w:r>
      <w:r w:rsidR="00BB02D1">
        <w:rPr>
          <w:lang w:val="en-US"/>
        </w:rPr>
        <w:t xml:space="preserve"> an outcome that:</w:t>
      </w:r>
    </w:p>
    <w:p w14:paraId="00AD9D3A" w14:textId="231106DE" w:rsidR="00BB02D1" w:rsidRDefault="00D25431" w:rsidP="00D25431">
      <w:pPr>
        <w:pStyle w:val="AHPRABulletlevel1"/>
        <w:rPr>
          <w:lang w:val="en-US"/>
        </w:rPr>
      </w:pPr>
      <w:r>
        <w:rPr>
          <w:lang w:val="en-US"/>
        </w:rPr>
        <w:t>i</w:t>
      </w:r>
      <w:r w:rsidR="005522AF">
        <w:rPr>
          <w:lang w:val="en-US"/>
        </w:rPr>
        <w:t xml:space="preserve">s </w:t>
      </w:r>
      <w:r>
        <w:rPr>
          <w:lang w:val="en-US"/>
        </w:rPr>
        <w:t>n</w:t>
      </w:r>
      <w:r w:rsidR="00BB02D1">
        <w:rPr>
          <w:lang w:val="en-US"/>
        </w:rPr>
        <w:t>ot prescriptive</w:t>
      </w:r>
    </w:p>
    <w:p w14:paraId="32E8BA95" w14:textId="4ED6A40F" w:rsidR="00E145D4" w:rsidRDefault="00D25431" w:rsidP="00D25431">
      <w:pPr>
        <w:pStyle w:val="AHPRABulletlevel1"/>
        <w:rPr>
          <w:lang w:val="en-US"/>
        </w:rPr>
      </w:pPr>
      <w:r>
        <w:rPr>
          <w:lang w:val="en-US"/>
        </w:rPr>
        <w:t>p</w:t>
      </w:r>
      <w:r w:rsidR="00BB02D1">
        <w:rPr>
          <w:lang w:val="en-US"/>
        </w:rPr>
        <w:t>romotes professionalism</w:t>
      </w:r>
      <w:r w:rsidR="00F6303F">
        <w:rPr>
          <w:lang w:val="en-US"/>
        </w:rPr>
        <w:t xml:space="preserve"> and supports practitioners</w:t>
      </w:r>
      <w:r w:rsidR="00BB02D1">
        <w:rPr>
          <w:lang w:val="en-US"/>
        </w:rPr>
        <w:t xml:space="preserve"> </w:t>
      </w:r>
    </w:p>
    <w:p w14:paraId="2F6A7835" w14:textId="2B9EF9C5" w:rsidR="00D95D8B" w:rsidRDefault="00D25431" w:rsidP="00D25431">
      <w:pPr>
        <w:pStyle w:val="AHPRABulletlevel1"/>
        <w:rPr>
          <w:lang w:val="en-US"/>
        </w:rPr>
      </w:pPr>
      <w:r w:rsidRPr="00AC0B59">
        <w:rPr>
          <w:lang w:val="en-US"/>
        </w:rPr>
        <w:t>r</w:t>
      </w:r>
      <w:r w:rsidR="00E145D4" w:rsidRPr="00AC0B59">
        <w:rPr>
          <w:lang w:val="en-US"/>
        </w:rPr>
        <w:t xml:space="preserve">educes unnecessary </w:t>
      </w:r>
      <w:r w:rsidR="00AC0B59">
        <w:rPr>
          <w:lang w:val="en-US"/>
        </w:rPr>
        <w:t>duplication of regulation</w:t>
      </w:r>
    </w:p>
    <w:p w14:paraId="2D03C085" w14:textId="604D7146" w:rsidR="00450F52" w:rsidRDefault="00D25431" w:rsidP="00D25431">
      <w:pPr>
        <w:pStyle w:val="AHPRABulletlevel1"/>
        <w:rPr>
          <w:lang w:val="en-US"/>
        </w:rPr>
      </w:pPr>
      <w:r>
        <w:rPr>
          <w:lang w:val="en-US"/>
        </w:rPr>
        <w:t>c</w:t>
      </w:r>
      <w:r w:rsidR="00450F52">
        <w:rPr>
          <w:lang w:val="en-US"/>
        </w:rPr>
        <w:t>an</w:t>
      </w:r>
      <w:r w:rsidR="00D95D8B">
        <w:rPr>
          <w:lang w:val="en-US"/>
        </w:rPr>
        <w:t xml:space="preserve"> be </w:t>
      </w:r>
      <w:r w:rsidR="00450F52">
        <w:rPr>
          <w:lang w:val="en-US"/>
        </w:rPr>
        <w:t>complied with by individual practitioners</w:t>
      </w:r>
    </w:p>
    <w:p w14:paraId="407E4061" w14:textId="71ADD18F" w:rsidR="00B8771A" w:rsidRDefault="00D25431" w:rsidP="00D25431">
      <w:pPr>
        <w:pStyle w:val="AHPRABulletlevel1"/>
        <w:rPr>
          <w:lang w:val="en-US"/>
        </w:rPr>
      </w:pPr>
      <w:r>
        <w:rPr>
          <w:lang w:val="en-US"/>
        </w:rPr>
        <w:t>i</w:t>
      </w:r>
      <w:r w:rsidR="005522AF">
        <w:rPr>
          <w:lang w:val="en-US"/>
        </w:rPr>
        <w:t xml:space="preserve">s proportionate to </w:t>
      </w:r>
      <w:r w:rsidR="00B8771A">
        <w:rPr>
          <w:lang w:val="en-US"/>
        </w:rPr>
        <w:t xml:space="preserve">the </w:t>
      </w:r>
      <w:r w:rsidR="005522AF">
        <w:rPr>
          <w:lang w:val="en-US"/>
        </w:rPr>
        <w:t>risks posed</w:t>
      </w:r>
      <w:r w:rsidR="00B8771A">
        <w:rPr>
          <w:lang w:val="en-US"/>
        </w:rPr>
        <w:t>, not excessive</w:t>
      </w:r>
    </w:p>
    <w:p w14:paraId="093AEA04" w14:textId="7DC0E42C" w:rsidR="00B8771A" w:rsidRDefault="00D25431" w:rsidP="00D25431">
      <w:pPr>
        <w:pStyle w:val="AHPRABulletlevel1"/>
        <w:rPr>
          <w:lang w:val="en-US"/>
        </w:rPr>
      </w:pPr>
      <w:r>
        <w:rPr>
          <w:lang w:val="en-US"/>
        </w:rPr>
        <w:t>d</w:t>
      </w:r>
      <w:r w:rsidR="00B8771A">
        <w:rPr>
          <w:lang w:val="en-US"/>
        </w:rPr>
        <w:t xml:space="preserve">oes not duplicate existing </w:t>
      </w:r>
      <w:r w:rsidR="00496FB7">
        <w:rPr>
          <w:lang w:val="en-US"/>
        </w:rPr>
        <w:t>obligations</w:t>
      </w:r>
      <w:r w:rsidR="00B531F5">
        <w:rPr>
          <w:lang w:val="en-US"/>
        </w:rPr>
        <w:t>, and</w:t>
      </w:r>
    </w:p>
    <w:p w14:paraId="413F47CB" w14:textId="5DBFBD45" w:rsidR="00BC5883" w:rsidRDefault="091B6C46" w:rsidP="00D25431">
      <w:pPr>
        <w:pStyle w:val="AHPRABulletlevel1last"/>
        <w:rPr>
          <w:lang w:val="en-US"/>
        </w:rPr>
      </w:pPr>
      <w:r w:rsidRPr="0391C58A">
        <w:rPr>
          <w:lang w:val="en-US"/>
        </w:rPr>
        <w:t>was</w:t>
      </w:r>
      <w:r w:rsidR="00D25431" w:rsidRPr="0391C58A">
        <w:rPr>
          <w:lang w:val="en-US"/>
        </w:rPr>
        <w:t xml:space="preserve"> </w:t>
      </w:r>
      <w:r w:rsidR="686DDEDE" w:rsidRPr="0391C58A">
        <w:rPr>
          <w:lang w:val="en-US"/>
        </w:rPr>
        <w:t>reached through</w:t>
      </w:r>
      <w:r w:rsidR="00D25431" w:rsidRPr="0391C58A">
        <w:rPr>
          <w:lang w:val="en-US"/>
        </w:rPr>
        <w:t xml:space="preserve"> </w:t>
      </w:r>
      <w:r w:rsidR="0071A6A3" w:rsidRPr="0391C58A">
        <w:rPr>
          <w:lang w:val="en-US"/>
        </w:rPr>
        <w:t xml:space="preserve">an </w:t>
      </w:r>
      <w:r w:rsidR="00D25431" w:rsidRPr="0391C58A">
        <w:rPr>
          <w:lang w:val="en-US"/>
        </w:rPr>
        <w:t>open, transparent and consultative process.</w:t>
      </w:r>
      <w:r w:rsidR="005522AF" w:rsidRPr="0391C58A">
        <w:rPr>
          <w:lang w:val="en-US"/>
        </w:rPr>
        <w:t xml:space="preserve"> </w:t>
      </w:r>
    </w:p>
    <w:bookmarkEnd w:id="44"/>
    <w:p w14:paraId="649912F0" w14:textId="58AA327E" w:rsidR="00876D55" w:rsidRDefault="00876D55" w:rsidP="002C7784">
      <w:pPr>
        <w:pStyle w:val="AHPRABody0"/>
      </w:pPr>
      <w:r w:rsidRPr="008351E3">
        <w:rPr>
          <w:rFonts w:cs="Times New Roman"/>
          <w:noProof/>
          <w:szCs w:val="24"/>
        </w:rPr>
        <mc:AlternateContent>
          <mc:Choice Requires="wps">
            <w:drawing>
              <wp:anchor distT="45720" distB="45720" distL="114300" distR="114300" simplePos="0" relativeHeight="251658243" behindDoc="0" locked="0" layoutInCell="1" allowOverlap="1" wp14:anchorId="23DEACC3" wp14:editId="053909D8">
                <wp:simplePos x="0" y="0"/>
                <wp:positionH relativeFrom="margin">
                  <wp:align>left</wp:align>
                </wp:positionH>
                <wp:positionV relativeFrom="paragraph">
                  <wp:posOffset>361211</wp:posOffset>
                </wp:positionV>
                <wp:extent cx="5951855" cy="1477645"/>
                <wp:effectExtent l="0" t="0" r="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477645"/>
                        </a:xfrm>
                        <a:prstGeom prst="rect">
                          <a:avLst/>
                        </a:prstGeom>
                        <a:solidFill>
                          <a:srgbClr val="C5EEFF"/>
                        </a:solidFill>
                        <a:ln w="12700" cap="flat" cmpd="sng" algn="ctr">
                          <a:noFill/>
                          <a:prstDash val="solid"/>
                          <a:miter lim="800000"/>
                          <a:headEnd/>
                          <a:tailEnd/>
                        </a:ln>
                        <a:effectLst/>
                      </wps:spPr>
                      <wps:txbx>
                        <w:txbxContent>
                          <w:p w14:paraId="5F93140E" w14:textId="77777777" w:rsidR="004B7B72" w:rsidRDefault="004B7B72" w:rsidP="00876D55">
                            <w:pPr>
                              <w:pStyle w:val="AHPRABody0"/>
                            </w:pPr>
                            <w:r>
                              <w:t>The options for review were informed by:</w:t>
                            </w:r>
                          </w:p>
                          <w:p w14:paraId="28754949" w14:textId="77777777" w:rsidR="004B7B72" w:rsidRDefault="004B7B72" w:rsidP="00876D55">
                            <w:pPr>
                              <w:pStyle w:val="AHPRABulletlevel1"/>
                              <w:spacing w:after="40"/>
                              <w:ind w:left="714" w:right="284" w:hanging="357"/>
                            </w:pPr>
                            <w:r>
                              <w:t xml:space="preserve">research and local and international benchmarking </w:t>
                            </w:r>
                          </w:p>
                          <w:p w14:paraId="36893416" w14:textId="77777777" w:rsidR="004B7B72" w:rsidRDefault="004B7B72" w:rsidP="00876D55">
                            <w:pPr>
                              <w:pStyle w:val="AHPRABulletlevel1"/>
                              <w:spacing w:after="40"/>
                              <w:ind w:left="714" w:right="284" w:hanging="357"/>
                            </w:pPr>
                            <w:r>
                              <w:t xml:space="preserve">input from National Boards </w:t>
                            </w:r>
                          </w:p>
                          <w:p w14:paraId="489FFD2B" w14:textId="4F2FE01E" w:rsidR="004B7B72" w:rsidRDefault="004B7B72" w:rsidP="00876D55">
                            <w:pPr>
                              <w:pStyle w:val="AHPRABulletlevel1"/>
                              <w:spacing w:after="40"/>
                              <w:ind w:left="714" w:right="284" w:hanging="357"/>
                            </w:pPr>
                            <w:r>
                              <w:t xml:space="preserve">feedback from the Board’s committees </w:t>
                            </w:r>
                          </w:p>
                          <w:p w14:paraId="3CC037E8" w14:textId="7AB5B30A" w:rsidR="004B7B72" w:rsidRDefault="004B7B72" w:rsidP="00876D55">
                            <w:pPr>
                              <w:pStyle w:val="AHPRABulletlevel1"/>
                              <w:spacing w:after="40"/>
                              <w:ind w:left="714" w:right="284" w:hanging="357"/>
                            </w:pPr>
                            <w:r>
                              <w:t>input from major stakeholders</w:t>
                            </w:r>
                          </w:p>
                          <w:p w14:paraId="352D9E97" w14:textId="77777777" w:rsidR="004B7B72" w:rsidRDefault="004B7B72" w:rsidP="00876D55">
                            <w:pPr>
                              <w:pStyle w:val="AHPRABulletlevel1"/>
                              <w:spacing w:after="40"/>
                              <w:ind w:left="714" w:right="284" w:hanging="357"/>
                            </w:pPr>
                            <w:r>
                              <w:t xml:space="preserve">operational input, and </w:t>
                            </w:r>
                          </w:p>
                          <w:p w14:paraId="3229E27E" w14:textId="27A2862A" w:rsidR="004B7B72" w:rsidRDefault="004B7B72" w:rsidP="00876D55">
                            <w:pPr>
                              <w:pStyle w:val="AHPRABulletlevel1"/>
                              <w:spacing w:after="40"/>
                              <w:ind w:left="714" w:right="284" w:hanging="357"/>
                            </w:pPr>
                            <w:r>
                              <w:t>tribunal decisions involving the guidelines.</w:t>
                            </w:r>
                          </w:p>
                          <w:p w14:paraId="29F3212B" w14:textId="77777777" w:rsidR="004B7B72" w:rsidRDefault="004B7B72" w:rsidP="00876D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EACC3" id="_x0000_s1027" type="#_x0000_t202" style="position:absolute;margin-left:0;margin-top:28.45pt;width:468.65pt;height:116.3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" fillcolor="#c5eeff" stroked="f" strokeweight="1pt">
                <v:textbox>
                  <w:txbxContent>
                    <w:p w14:paraId="5F93140E" w14:textId="77777777" w:rsidR="004B7B72" w:rsidRDefault="004B7B72" w:rsidP="00876D55">
                      <w:pPr>
                        <w:pStyle w:val="AHPRABody0"/>
                      </w:pPr>
                      <w:r>
                        <w:t>The options for review were informed by:</w:t>
                      </w:r>
                    </w:p>
                    <w:p w14:paraId="28754949" w14:textId="77777777" w:rsidR="004B7B72" w:rsidRDefault="004B7B72" w:rsidP="00876D55">
                      <w:pPr>
                        <w:pStyle w:val="AHPRABulletlevel1"/>
                        <w:spacing w:after="40"/>
                        <w:ind w:left="714" w:right="284" w:hanging="357"/>
                      </w:pPr>
                      <w:r>
                        <w:t xml:space="preserve">research and local and international benchmarking </w:t>
                      </w:r>
                    </w:p>
                    <w:p w14:paraId="36893416" w14:textId="77777777" w:rsidR="004B7B72" w:rsidRDefault="004B7B72" w:rsidP="00876D55">
                      <w:pPr>
                        <w:pStyle w:val="AHPRABulletlevel1"/>
                        <w:spacing w:after="40"/>
                        <w:ind w:left="714" w:right="284" w:hanging="357"/>
                      </w:pPr>
                      <w:r>
                        <w:t xml:space="preserve">input from National Boards </w:t>
                      </w:r>
                    </w:p>
                    <w:p w14:paraId="489FFD2B" w14:textId="4F2FE01E" w:rsidR="004B7B72" w:rsidRDefault="004B7B72" w:rsidP="00876D55">
                      <w:pPr>
                        <w:pStyle w:val="AHPRABulletlevel1"/>
                        <w:spacing w:after="40"/>
                        <w:ind w:left="714" w:right="284" w:hanging="357"/>
                      </w:pPr>
                      <w:r>
                        <w:t xml:space="preserve">feedback from the Board’s committees </w:t>
                      </w:r>
                    </w:p>
                    <w:p w14:paraId="3CC037E8" w14:textId="7AB5B30A" w:rsidR="004B7B72" w:rsidRDefault="004B7B72" w:rsidP="00876D55">
                      <w:pPr>
                        <w:pStyle w:val="AHPRABulletlevel1"/>
                        <w:spacing w:after="40"/>
                        <w:ind w:left="714" w:right="284" w:hanging="357"/>
                      </w:pPr>
                      <w:r>
                        <w:t>input from major stakeholders</w:t>
                      </w:r>
                    </w:p>
                    <w:p w14:paraId="352D9E97" w14:textId="77777777" w:rsidR="004B7B72" w:rsidRDefault="004B7B72" w:rsidP="00876D55">
                      <w:pPr>
                        <w:pStyle w:val="AHPRABulletlevel1"/>
                        <w:spacing w:after="40"/>
                        <w:ind w:left="714" w:right="284" w:hanging="357"/>
                      </w:pPr>
                      <w:r>
                        <w:t xml:space="preserve">operational input, and </w:t>
                      </w:r>
                    </w:p>
                    <w:p w14:paraId="3229E27E" w14:textId="27A2862A" w:rsidR="004B7B72" w:rsidRDefault="004B7B72" w:rsidP="00876D55">
                      <w:pPr>
                        <w:pStyle w:val="AHPRABulletlevel1"/>
                        <w:spacing w:after="40"/>
                        <w:ind w:left="714" w:right="284" w:hanging="357"/>
                      </w:pPr>
                      <w:r>
                        <w:t>tribunal decisions involving the guidelines.</w:t>
                      </w:r>
                    </w:p>
                    <w:p w14:paraId="29F3212B" w14:textId="77777777" w:rsidR="004B7B72" w:rsidRDefault="004B7B72" w:rsidP="00876D55"/>
                  </w:txbxContent>
                </v:textbox>
                <w10:wrap type="square" anchorx="margin"/>
              </v:shape>
            </w:pict>
          </mc:Fallback>
        </mc:AlternateContent>
      </w:r>
      <w:r w:rsidR="002A0E54">
        <w:t>As well as the principles</w:t>
      </w:r>
      <w:r w:rsidR="00A63B9B">
        <w:t>,</w:t>
      </w:r>
      <w:r w:rsidR="002A0E54">
        <w:t xml:space="preserve"> </w:t>
      </w:r>
      <w:r w:rsidR="00A63B9B">
        <w:t xml:space="preserve">research, </w:t>
      </w:r>
      <w:r w:rsidR="002A0E54">
        <w:t>data</w:t>
      </w:r>
      <w:r w:rsidR="00A63B9B">
        <w:t xml:space="preserve"> and regulatory experience </w:t>
      </w:r>
      <w:r w:rsidR="00DB6848">
        <w:t xml:space="preserve">have </w:t>
      </w:r>
      <w:r w:rsidR="00A63B9B">
        <w:t xml:space="preserve">informed the Board’s preferred option for the review </w:t>
      </w:r>
      <w:r w:rsidR="00A63B9B" w:rsidRPr="002C7784">
        <w:t>to</w:t>
      </w:r>
      <w:r w:rsidR="00A63B9B">
        <w:t xml:space="preserve"> replace the </w:t>
      </w:r>
      <w:r w:rsidR="00384F42">
        <w:t>g</w:t>
      </w:r>
      <w:r w:rsidR="00A63B9B">
        <w:t xml:space="preserve">uidelines with other resources. </w:t>
      </w:r>
      <w:r w:rsidR="002A0E54">
        <w:t xml:space="preserve"> </w:t>
      </w:r>
    </w:p>
    <w:p w14:paraId="6C294B4F" w14:textId="328C300F" w:rsidR="00F17456" w:rsidRDefault="00F17456" w:rsidP="00054760">
      <w:pPr>
        <w:pStyle w:val="AHPRASubheading"/>
      </w:pPr>
      <w:bookmarkStart w:id="45" w:name="_Toc77604588"/>
      <w:r>
        <w:t>Changes proposed by the Board</w:t>
      </w:r>
      <w:bookmarkEnd w:id="45"/>
    </w:p>
    <w:p w14:paraId="77AEC6E6" w14:textId="6A9A0A4D" w:rsidR="00C93C58" w:rsidRDefault="00586405" w:rsidP="001E7F5E">
      <w:pPr>
        <w:pStyle w:val="AHPRABody0"/>
      </w:pPr>
      <w:r>
        <w:t xml:space="preserve">As described above, </w:t>
      </w:r>
      <w:r w:rsidR="00215BD9">
        <w:t xml:space="preserve">the two functions of a guideline </w:t>
      </w:r>
      <w:r w:rsidR="00A2573A">
        <w:t>described in</w:t>
      </w:r>
      <w:r w:rsidR="006975CB">
        <w:t xml:space="preserve"> the National Law </w:t>
      </w:r>
      <w:r w:rsidR="00215BD9">
        <w:t>are to provide</w:t>
      </w:r>
      <w:r w:rsidR="06D83D07">
        <w:t xml:space="preserve"> regulatory</w:t>
      </w:r>
      <w:r w:rsidR="00215BD9">
        <w:t xml:space="preserve"> guidance and to serve as evidence in disciplinary proceedings</w:t>
      </w:r>
      <w:r>
        <w:t>.</w:t>
      </w:r>
      <w:r w:rsidR="00215BD9">
        <w:t xml:space="preserve"> </w:t>
      </w:r>
      <w:r w:rsidR="006975CB">
        <w:t>As the Board’s approach to guidelines has evolved</w:t>
      </w:r>
      <w:r w:rsidR="00A2573A">
        <w:t xml:space="preserve"> over time</w:t>
      </w:r>
      <w:r w:rsidR="006975CB">
        <w:t xml:space="preserve">, it tends not to use them to </w:t>
      </w:r>
      <w:r w:rsidR="007E1DF4">
        <w:t xml:space="preserve">be prescriptive about matters relating to </w:t>
      </w:r>
      <w:r w:rsidR="139AA763">
        <w:t xml:space="preserve">clinical </w:t>
      </w:r>
      <w:r w:rsidR="007E1DF4">
        <w:t xml:space="preserve">practice. </w:t>
      </w:r>
    </w:p>
    <w:p w14:paraId="68E1156A" w14:textId="02F33152" w:rsidR="001E7F5E" w:rsidRDefault="4BF9166F" w:rsidP="001E7F5E">
      <w:pPr>
        <w:pStyle w:val="AHPRABody0"/>
      </w:pPr>
      <w:r>
        <w:t xml:space="preserve">In the context </w:t>
      </w:r>
      <w:r w:rsidR="2CA5ED0A">
        <w:t>of infection prevention and control,</w:t>
      </w:r>
      <w:r w:rsidR="7EDF8AE2">
        <w:t xml:space="preserve"> </w:t>
      </w:r>
      <w:r>
        <w:t xml:space="preserve">the Board considers </w:t>
      </w:r>
      <w:r w:rsidR="28853CE2">
        <w:t xml:space="preserve">guidance </w:t>
      </w:r>
      <w:r w:rsidR="7EDF8AE2">
        <w:t xml:space="preserve">can be </w:t>
      </w:r>
      <w:r w:rsidR="28853CE2">
        <w:t>provided</w:t>
      </w:r>
      <w:r w:rsidR="7BE9C92F">
        <w:t xml:space="preserve"> to practitioners</w:t>
      </w:r>
      <w:r w:rsidR="28853CE2">
        <w:t xml:space="preserve"> </w:t>
      </w:r>
      <w:r w:rsidR="629E2628">
        <w:t xml:space="preserve">with </w:t>
      </w:r>
      <w:r w:rsidR="7EDF8AE2">
        <w:t xml:space="preserve">upstream, supportive and educative </w:t>
      </w:r>
      <w:r w:rsidR="7BE9C92F">
        <w:t>resources</w:t>
      </w:r>
      <w:r w:rsidR="6FBB8E71">
        <w:t xml:space="preserve">, rather than by </w:t>
      </w:r>
      <w:r w:rsidR="0D96F5C6">
        <w:t>additional</w:t>
      </w:r>
      <w:r w:rsidR="629E2628">
        <w:t xml:space="preserve"> </w:t>
      </w:r>
      <w:r w:rsidR="6FBB8E71">
        <w:t>regulation</w:t>
      </w:r>
      <w:r w:rsidR="7EDF8AE2">
        <w:t xml:space="preserve">. </w:t>
      </w:r>
      <w:r w:rsidR="28853CE2">
        <w:t>The Board</w:t>
      </w:r>
      <w:r w:rsidR="2EDA05D3">
        <w:t xml:space="preserve"> believes</w:t>
      </w:r>
      <w:r w:rsidR="28853CE2">
        <w:t xml:space="preserve"> its existing regulatory instruments (such as the </w:t>
      </w:r>
      <w:r w:rsidR="28853CE2" w:rsidRPr="0001616D">
        <w:rPr>
          <w:i/>
          <w:iCs/>
        </w:rPr>
        <w:t xml:space="preserve">Code of </w:t>
      </w:r>
      <w:r w:rsidR="004A2D12" w:rsidRPr="0001616D">
        <w:rPr>
          <w:i/>
          <w:iCs/>
        </w:rPr>
        <w:t>c</w:t>
      </w:r>
      <w:r w:rsidR="28853CE2" w:rsidRPr="0001616D">
        <w:rPr>
          <w:i/>
          <w:iCs/>
        </w:rPr>
        <w:t>onduct</w:t>
      </w:r>
      <w:r w:rsidR="28853CE2">
        <w:t xml:space="preserve"> and BBV </w:t>
      </w:r>
      <w:r w:rsidR="004A2D12">
        <w:t>g</w:t>
      </w:r>
      <w:r w:rsidR="28853CE2">
        <w:t xml:space="preserve">uidelines) are </w:t>
      </w:r>
      <w:r w:rsidR="7BE9C92F">
        <w:t>enough</w:t>
      </w:r>
      <w:r w:rsidR="732AE2B2">
        <w:t xml:space="preserve"> to fulfil the disciplinary or</w:t>
      </w:r>
      <w:r w:rsidR="004A2D12">
        <w:t xml:space="preserve"> ‘</w:t>
      </w:r>
      <w:r w:rsidR="732AE2B2">
        <w:t>enforcement</w:t>
      </w:r>
      <w:r w:rsidR="004A2D12">
        <w:t>’</w:t>
      </w:r>
      <w:r w:rsidR="732AE2B2">
        <w:t xml:space="preserve"> role that</w:t>
      </w:r>
      <w:r w:rsidR="6D5099CF">
        <w:t xml:space="preserve"> protects the public</w:t>
      </w:r>
      <w:r w:rsidR="5AFB9C83">
        <w:t xml:space="preserve"> and</w:t>
      </w:r>
      <w:r w:rsidR="004A2D12">
        <w:t>,</w:t>
      </w:r>
      <w:r w:rsidR="5AFB9C83">
        <w:t xml:space="preserve"> together with elements of the broader regulatory framework</w:t>
      </w:r>
      <w:r w:rsidR="302295C4">
        <w:t>, the risk of harm is effectively managed</w:t>
      </w:r>
      <w:r w:rsidR="08E91096">
        <w:t>.</w:t>
      </w:r>
      <w:r w:rsidR="28853CE2">
        <w:t xml:space="preserve"> </w:t>
      </w:r>
      <w:r>
        <w:t>Therefore, the</w:t>
      </w:r>
      <w:r w:rsidR="26BDD437">
        <w:t xml:space="preserve"> Board is</w:t>
      </w:r>
      <w:r w:rsidR="50B6C365">
        <w:t xml:space="preserve"> </w:t>
      </w:r>
      <w:r w:rsidR="26BDD437">
        <w:t xml:space="preserve">proposing to replace the </w:t>
      </w:r>
      <w:r w:rsidR="004A2D12">
        <w:t>g</w:t>
      </w:r>
      <w:r w:rsidR="26BDD437">
        <w:t>uidelines with resources designed to support practitioners to practise professionally.</w:t>
      </w:r>
    </w:p>
    <w:p w14:paraId="1DFF6FA2" w14:textId="0C6170D1" w:rsidR="001E7F5E" w:rsidRDefault="001E7F5E" w:rsidP="001E7F5E">
      <w:pPr>
        <w:pStyle w:val="AHPRABody0"/>
      </w:pPr>
      <w:r>
        <w:lastRenderedPageBreak/>
        <w:t xml:space="preserve">This involves retiring the </w:t>
      </w:r>
      <w:r w:rsidR="004A2D12">
        <w:t>g</w:t>
      </w:r>
      <w:r>
        <w:t>uidelines, updating the existing fact sheet</w:t>
      </w:r>
      <w:r w:rsidR="00E42BDE">
        <w:t xml:space="preserve"> and</w:t>
      </w:r>
      <w:r>
        <w:t xml:space="preserve"> publishing a self-reflective tool for infection prevention and control</w:t>
      </w:r>
      <w:r w:rsidR="44E33087">
        <w:t>, which are readily updated to ensure relevance and accuracy</w:t>
      </w:r>
      <w:r>
        <w:t>.</w:t>
      </w:r>
    </w:p>
    <w:p w14:paraId="6FCBC4B8" w14:textId="134D6A97" w:rsidR="00F17456" w:rsidRDefault="00F17456" w:rsidP="003A164F">
      <w:pPr>
        <w:pStyle w:val="AHPRASubheadinglevel2"/>
        <w:keepNext/>
      </w:pPr>
      <w:bookmarkStart w:id="46" w:name="_Toc75851501"/>
      <w:bookmarkStart w:id="47" w:name="_Toc75858861"/>
      <w:bookmarkStart w:id="48" w:name="_Toc77604589"/>
      <w:r>
        <w:t xml:space="preserve">Retirement of </w:t>
      </w:r>
      <w:r w:rsidR="004A2D12">
        <w:t>g</w:t>
      </w:r>
      <w:r w:rsidR="00792888">
        <w:t>uidelines</w:t>
      </w:r>
      <w:bookmarkEnd w:id="46"/>
      <w:bookmarkEnd w:id="47"/>
      <w:bookmarkEnd w:id="48"/>
    </w:p>
    <w:p w14:paraId="199570F6" w14:textId="673AE456" w:rsidR="00792888" w:rsidRDefault="00A33AE6" w:rsidP="00792888">
      <w:pPr>
        <w:pStyle w:val="AHPRABody0"/>
      </w:pPr>
      <w:r>
        <w:t xml:space="preserve">Retiring the </w:t>
      </w:r>
      <w:r w:rsidR="004A2D12">
        <w:t>g</w:t>
      </w:r>
      <w:r>
        <w:t xml:space="preserve">uidelines </w:t>
      </w:r>
      <w:r w:rsidR="007836E9">
        <w:t>mean</w:t>
      </w:r>
      <w:r w:rsidR="004A2D12">
        <w:t>s</w:t>
      </w:r>
      <w:r w:rsidR="007836E9">
        <w:t xml:space="preserve"> the Board w</w:t>
      </w:r>
      <w:r w:rsidR="64D9B426">
        <w:t>ould</w:t>
      </w:r>
      <w:r w:rsidR="00D33A75">
        <w:t xml:space="preserve"> </w:t>
      </w:r>
      <w:r w:rsidR="007836E9">
        <w:t xml:space="preserve">set a date after which the </w:t>
      </w:r>
      <w:r w:rsidR="004A2D12">
        <w:t>g</w:t>
      </w:r>
      <w:r w:rsidR="007836E9">
        <w:t xml:space="preserve">uidelines will no longer be in force. </w:t>
      </w:r>
      <w:r w:rsidR="00E10EFB">
        <w:t xml:space="preserve">The </w:t>
      </w:r>
      <w:r w:rsidR="004A2D12">
        <w:t>g</w:t>
      </w:r>
      <w:r w:rsidR="00E10EFB">
        <w:t>uidelines w</w:t>
      </w:r>
      <w:r w:rsidR="648D3BB4">
        <w:t>ould</w:t>
      </w:r>
      <w:r w:rsidR="00E10EFB">
        <w:t xml:space="preserve"> still be available on the Board’s </w:t>
      </w:r>
      <w:r w:rsidR="000123C4">
        <w:t xml:space="preserve">policies, codes and guidelines </w:t>
      </w:r>
      <w:hyperlink r:id="rId29">
        <w:r w:rsidR="00867755">
          <w:rPr>
            <w:rFonts w:ascii="ZWAdobeF" w:hAnsi="ZWAdobeF" w:cs="ZWAdobeF"/>
            <w:sz w:val="2"/>
            <w:szCs w:val="2"/>
          </w:rPr>
          <w:t>39T</w:t>
        </w:r>
        <w:r w:rsidR="00E10EFB" w:rsidRPr="6E0DAB5F">
          <w:rPr>
            <w:rStyle w:val="Hyperlink"/>
          </w:rPr>
          <w:t>webpage</w:t>
        </w:r>
      </w:hyperlink>
      <w:r w:rsidR="00867755" w:rsidRPr="00867755">
        <w:rPr>
          <w:rStyle w:val="Hyperlink"/>
          <w:rFonts w:ascii="ZWAdobeF" w:hAnsi="ZWAdobeF" w:cs="ZWAdobeF"/>
          <w:color w:val="auto"/>
          <w:sz w:val="2"/>
          <w:szCs w:val="2"/>
          <w:u w:val="none"/>
        </w:rPr>
        <w:t>39T</w:t>
      </w:r>
      <w:r w:rsidR="0001616D">
        <w:t xml:space="preserve"> u</w:t>
      </w:r>
      <w:r w:rsidR="00243623">
        <w:t>nder</w:t>
      </w:r>
      <w:r w:rsidR="004A2D12">
        <w:t xml:space="preserve"> ‘</w:t>
      </w:r>
      <w:r w:rsidR="00243623">
        <w:t>Retired versions</w:t>
      </w:r>
      <w:r w:rsidR="004A2D12">
        <w:t>’</w:t>
      </w:r>
      <w:r w:rsidR="00243623">
        <w:t>.</w:t>
      </w:r>
      <w:r w:rsidR="00792888">
        <w:t xml:space="preserve"> </w:t>
      </w:r>
      <w:r w:rsidR="005741D8">
        <w:t xml:space="preserve">Like </w:t>
      </w:r>
      <w:r w:rsidR="009A4414">
        <w:t xml:space="preserve">the Board’s retirement of its former </w:t>
      </w:r>
      <w:r w:rsidR="009A4414" w:rsidRPr="6E0DAB5F">
        <w:rPr>
          <w:i/>
          <w:iCs/>
        </w:rPr>
        <w:t>Guidelines on dental records</w:t>
      </w:r>
      <w:r w:rsidR="009A4414">
        <w:t xml:space="preserve">, </w:t>
      </w:r>
      <w:r w:rsidR="009D3439">
        <w:t xml:space="preserve">practitioners and other stakeholders would be </w:t>
      </w:r>
      <w:r w:rsidR="005829EC">
        <w:t xml:space="preserve">supported to become aware of </w:t>
      </w:r>
      <w:r w:rsidR="00B4128C">
        <w:t xml:space="preserve">this </w:t>
      </w:r>
      <w:r w:rsidR="005829EC">
        <w:t>in advance of the retirement date.</w:t>
      </w:r>
    </w:p>
    <w:p w14:paraId="52E8691A" w14:textId="6D91FBE4" w:rsidR="00440013" w:rsidRDefault="00440013" w:rsidP="00792888">
      <w:pPr>
        <w:pStyle w:val="AHPRABody0"/>
      </w:pPr>
      <w:r>
        <w:t xml:space="preserve">Retiring the </w:t>
      </w:r>
      <w:r w:rsidR="004A2D12">
        <w:t>g</w:t>
      </w:r>
      <w:r>
        <w:t xml:space="preserve">uidelines </w:t>
      </w:r>
      <w:r w:rsidR="2585A41B">
        <w:t>would</w:t>
      </w:r>
      <w:r w:rsidR="004A2D12">
        <w:t xml:space="preserve"> </w:t>
      </w:r>
      <w:r w:rsidR="004A2D12" w:rsidRPr="0001616D">
        <w:rPr>
          <w:i/>
          <w:iCs/>
        </w:rPr>
        <w:t>not</w:t>
      </w:r>
      <w:r>
        <w:t xml:space="preserve"> </w:t>
      </w:r>
      <w:r w:rsidR="0059095E">
        <w:t xml:space="preserve">change </w:t>
      </w:r>
      <w:r>
        <w:t>practitioners</w:t>
      </w:r>
      <w:r w:rsidR="0059095E">
        <w:t>’</w:t>
      </w:r>
      <w:r w:rsidR="002229D9">
        <w:t xml:space="preserve"> overarching</w:t>
      </w:r>
      <w:r>
        <w:t xml:space="preserve"> pr</w:t>
      </w:r>
      <w:r w:rsidR="0059095E">
        <w:t xml:space="preserve">ofessional obligations to practise safely and </w:t>
      </w:r>
      <w:r w:rsidR="00007F3D">
        <w:t>achieve</w:t>
      </w:r>
      <w:r w:rsidR="0059095E">
        <w:t xml:space="preserve"> good infection prevention and control.</w:t>
      </w:r>
      <w:r w:rsidR="002229D9">
        <w:t xml:space="preserve"> </w:t>
      </w:r>
    </w:p>
    <w:p w14:paraId="7746C7DE" w14:textId="0A0D94AA" w:rsidR="00F17456" w:rsidRDefault="00F17456" w:rsidP="00792888">
      <w:pPr>
        <w:pStyle w:val="AHPRASubheadinglevel2"/>
      </w:pPr>
      <w:bookmarkStart w:id="49" w:name="_Toc75851502"/>
      <w:bookmarkStart w:id="50" w:name="_Toc75858862"/>
      <w:bookmarkStart w:id="51" w:name="_Toc77604590"/>
      <w:r>
        <w:t>Revision of fact sheet</w:t>
      </w:r>
      <w:bookmarkEnd w:id="49"/>
      <w:bookmarkEnd w:id="50"/>
      <w:bookmarkEnd w:id="51"/>
    </w:p>
    <w:p w14:paraId="460D004B" w14:textId="33DF687E" w:rsidR="005829EC" w:rsidRDefault="005829EC" w:rsidP="005829EC">
      <w:r>
        <w:t>The Board</w:t>
      </w:r>
      <w:r w:rsidR="0063105A">
        <w:t xml:space="preserve"> </w:t>
      </w:r>
      <w:r w:rsidR="00916D28">
        <w:t>has</w:t>
      </w:r>
      <w:r w:rsidR="0063105A">
        <w:t xml:space="preserve"> publishe</w:t>
      </w:r>
      <w:r w:rsidR="00916D28">
        <w:t>d</w:t>
      </w:r>
      <w:r w:rsidR="0063105A">
        <w:t xml:space="preserve"> a fact sheet for practitioners about infection prevention and control. The fact sheet would be</w:t>
      </w:r>
      <w:r w:rsidR="008032CB">
        <w:t xml:space="preserve"> </w:t>
      </w:r>
      <w:r w:rsidR="00075345">
        <w:t>revised and</w:t>
      </w:r>
      <w:r w:rsidR="008032CB">
        <w:t xml:space="preserve"> </w:t>
      </w:r>
      <w:r w:rsidR="00887757">
        <w:t>re</w:t>
      </w:r>
      <w:r w:rsidR="007A3EB5">
        <w:t>designed to provide information about how practitioners can comply with their obligations to practi</w:t>
      </w:r>
      <w:r w:rsidR="00916D28">
        <w:t>s</w:t>
      </w:r>
      <w:r w:rsidR="007A3EB5">
        <w:t>e safely</w:t>
      </w:r>
      <w:r w:rsidR="00887757">
        <w:t xml:space="preserve">. The fact sheet would </w:t>
      </w:r>
      <w:r w:rsidR="007A3EB5">
        <w:t xml:space="preserve">point </w:t>
      </w:r>
      <w:r w:rsidR="00887757">
        <w:t xml:space="preserve">practitioners </w:t>
      </w:r>
      <w:r w:rsidR="007A3EB5">
        <w:t>towards relevant sources of information about infection prevention and control.</w:t>
      </w:r>
      <w:r w:rsidR="00E87FA7">
        <w:t xml:space="preserve"> </w:t>
      </w:r>
    </w:p>
    <w:p w14:paraId="5AC6170B" w14:textId="7AA2DAFF" w:rsidR="00E87FA7" w:rsidRPr="005829EC" w:rsidRDefault="00E87FA7" w:rsidP="0073444B">
      <w:r>
        <w:t xml:space="preserve">The fact sheet would be drafted in plain English </w:t>
      </w:r>
      <w:r w:rsidR="00887757">
        <w:t>to set out</w:t>
      </w:r>
      <w:r w:rsidR="00087F32">
        <w:t xml:space="preserve"> the most important information</w:t>
      </w:r>
      <w:r w:rsidR="3D636D5A">
        <w:t xml:space="preserve"> simply and </w:t>
      </w:r>
      <w:r w:rsidR="00087F32">
        <w:t>concisely.</w:t>
      </w:r>
    </w:p>
    <w:p w14:paraId="716E87C1" w14:textId="24AA5474" w:rsidR="00F17456" w:rsidRDefault="00F17456" w:rsidP="00F45025">
      <w:pPr>
        <w:pStyle w:val="AHPRASubheadinglevel2"/>
      </w:pPr>
      <w:bookmarkStart w:id="52" w:name="_Toc75851503"/>
      <w:bookmarkStart w:id="53" w:name="_Toc75858863"/>
      <w:bookmarkStart w:id="54" w:name="_Toc77604591"/>
      <w:r>
        <w:t>Publication of self-reflective tool</w:t>
      </w:r>
      <w:bookmarkEnd w:id="52"/>
      <w:bookmarkEnd w:id="53"/>
      <w:bookmarkEnd w:id="54"/>
    </w:p>
    <w:p w14:paraId="3576B9FD" w14:textId="1E264602" w:rsidR="00087F32" w:rsidRDefault="00087F32" w:rsidP="00087F32">
      <w:r>
        <w:t xml:space="preserve">Similarly to the Board’s existing </w:t>
      </w:r>
      <w:hyperlink r:id="rId30" w:history="1">
        <w:r w:rsidR="00867755">
          <w:rPr>
            <w:rFonts w:ascii="ZWAdobeF" w:hAnsi="ZWAdobeF" w:cs="ZWAdobeF"/>
            <w:sz w:val="2"/>
            <w:szCs w:val="2"/>
          </w:rPr>
          <w:t>39T</w:t>
        </w:r>
        <w:r w:rsidRPr="001C3EFF">
          <w:rPr>
            <w:rStyle w:val="Hyperlink"/>
          </w:rPr>
          <w:t xml:space="preserve">self-reflective tool for </w:t>
        </w:r>
        <w:r w:rsidR="001C3EFF" w:rsidRPr="001C3EFF">
          <w:rPr>
            <w:rStyle w:val="Hyperlink"/>
          </w:rPr>
          <w:t>dental records</w:t>
        </w:r>
      </w:hyperlink>
      <w:r w:rsidR="00867755" w:rsidRPr="00867755">
        <w:rPr>
          <w:rStyle w:val="Hyperlink"/>
          <w:rFonts w:ascii="ZWAdobeF" w:hAnsi="ZWAdobeF" w:cs="ZWAdobeF"/>
          <w:color w:val="auto"/>
          <w:sz w:val="2"/>
          <w:szCs w:val="2"/>
          <w:u w:val="none"/>
        </w:rPr>
        <w:t>39T</w:t>
      </w:r>
      <w:r w:rsidR="00C6269B">
        <w:t xml:space="preserve">, the retirement of the </w:t>
      </w:r>
      <w:r w:rsidR="00916D28">
        <w:t>g</w:t>
      </w:r>
      <w:r w:rsidR="00C6269B">
        <w:t>uidelines would be supported with a self-reflective tool for infection prevention and control. The tool covers key component</w:t>
      </w:r>
      <w:r w:rsidR="00590A0E">
        <w:t xml:space="preserve">s </w:t>
      </w:r>
      <w:r w:rsidR="00C6269B">
        <w:t xml:space="preserve">of infection prevention and control and prompts practitioners to </w:t>
      </w:r>
      <w:r w:rsidR="00590A0E">
        <w:t>reflect on</w:t>
      </w:r>
      <w:r w:rsidR="00C6269B">
        <w:t xml:space="preserve"> </w:t>
      </w:r>
      <w:r w:rsidR="00590A0E">
        <w:t xml:space="preserve">their own practice. </w:t>
      </w:r>
    </w:p>
    <w:p w14:paraId="44839AE4" w14:textId="27AC3FF1" w:rsidR="00590A0E" w:rsidRDefault="00C05A74" w:rsidP="00087F32">
      <w:r>
        <w:t xml:space="preserve">The tool does not mandate </w:t>
      </w:r>
      <w:r w:rsidR="00DD5EEA">
        <w:t xml:space="preserve">specific </w:t>
      </w:r>
      <w:r>
        <w:t>standards or measurement against fixed indicators, however it does prompt practitioners to think about what sources of information guide their practice</w:t>
      </w:r>
      <w:r w:rsidR="00891097">
        <w:t xml:space="preserve"> and how they monitor</w:t>
      </w:r>
      <w:r w:rsidR="00A643C1">
        <w:t xml:space="preserve"> safety and quality.</w:t>
      </w:r>
    </w:p>
    <w:p w14:paraId="21259040" w14:textId="0C3690C2" w:rsidR="00ED6269" w:rsidRDefault="00ED6269" w:rsidP="0073444B">
      <w:r>
        <w:t>The current self-audit checklist</w:t>
      </w:r>
      <w:r w:rsidR="642DC0F1">
        <w:t xml:space="preserve"> would be retired</w:t>
      </w:r>
      <w:r w:rsidR="1C835E64">
        <w:t xml:space="preserve">, consistent with the Board’s approach </w:t>
      </w:r>
      <w:r w:rsidR="00C61881">
        <w:t xml:space="preserve">of encouraging </w:t>
      </w:r>
      <w:r w:rsidR="0ECA672E">
        <w:t>self-reflection</w:t>
      </w:r>
      <w:r w:rsidR="00C61881">
        <w:t>.</w:t>
      </w:r>
    </w:p>
    <w:p w14:paraId="245C09E4" w14:textId="6F7E438C" w:rsidR="0054404C" w:rsidRPr="00087F32" w:rsidRDefault="002C66A2" w:rsidP="0073444B">
      <w:r>
        <w:t xml:space="preserve">Following public consultation, the self-reflective tool would be </w:t>
      </w:r>
      <w:r w:rsidR="008420CB">
        <w:t xml:space="preserve">further </w:t>
      </w:r>
      <w:r>
        <w:t xml:space="preserve">refined </w:t>
      </w:r>
      <w:r w:rsidR="008420CB">
        <w:t>through user testing with practitioners.</w:t>
      </w:r>
    </w:p>
    <w:p w14:paraId="6D28D8B4" w14:textId="77777777" w:rsidR="00F17456" w:rsidRDefault="00F17456" w:rsidP="005C4E40">
      <w:pPr>
        <w:pStyle w:val="AHPRASubheading"/>
      </w:pPr>
      <w:bookmarkStart w:id="55" w:name="_Toc77604592"/>
      <w:r>
        <w:t>Rationale for changes proposed by the Board</w:t>
      </w:r>
      <w:bookmarkEnd w:id="55"/>
    </w:p>
    <w:p w14:paraId="160761FF" w14:textId="6A39D6C3" w:rsidR="008B127B" w:rsidRDefault="00DE5A6A" w:rsidP="00F45025">
      <w:pPr>
        <w:pStyle w:val="AHPRASubheadinglevel2"/>
      </w:pPr>
      <w:bookmarkStart w:id="56" w:name="_Toc75851504"/>
      <w:bookmarkStart w:id="57" w:name="_Toc75858830"/>
      <w:bookmarkStart w:id="58" w:name="_Toc75858865"/>
      <w:bookmarkStart w:id="59" w:name="_Toc77604593"/>
      <w:r>
        <w:t xml:space="preserve">The </w:t>
      </w:r>
      <w:r w:rsidR="00916D28">
        <w:t>g</w:t>
      </w:r>
      <w:r>
        <w:t>uidelines are no longer fit for purpose</w:t>
      </w:r>
      <w:bookmarkEnd w:id="56"/>
      <w:bookmarkEnd w:id="57"/>
      <w:bookmarkEnd w:id="58"/>
      <w:bookmarkEnd w:id="59"/>
    </w:p>
    <w:p w14:paraId="1269D73F" w14:textId="5D092E06" w:rsidR="00DE5A6A" w:rsidRPr="00DE5A6A" w:rsidRDefault="00DE5A6A" w:rsidP="00DE5A6A">
      <w:pPr>
        <w:pStyle w:val="AHPRABody0"/>
      </w:pPr>
      <w:r w:rsidRPr="00DE5A6A">
        <w:t xml:space="preserve">The </w:t>
      </w:r>
      <w:r w:rsidR="00916D28">
        <w:t>g</w:t>
      </w:r>
      <w:r w:rsidRPr="00DE5A6A">
        <w:t>uidelines were originally published in July 2010, at the start of the National</w:t>
      </w:r>
      <w:r w:rsidR="00916D28">
        <w:t xml:space="preserve"> </w:t>
      </w:r>
      <w:r w:rsidRPr="00DE5A6A">
        <w:t xml:space="preserve">Scheme. </w:t>
      </w:r>
      <w:r w:rsidR="007B1CB1">
        <w:t>T</w:t>
      </w:r>
      <w:r w:rsidRPr="00DE5A6A">
        <w:t xml:space="preserve">he </w:t>
      </w:r>
      <w:r w:rsidR="00916D28">
        <w:t>g</w:t>
      </w:r>
      <w:r w:rsidRPr="00DE5A6A">
        <w:t xml:space="preserve">uidelines </w:t>
      </w:r>
      <w:r w:rsidR="007B1CB1">
        <w:t>a</w:t>
      </w:r>
      <w:r w:rsidRPr="00DE5A6A">
        <w:t>re based on policies of state and territory dental boards that existed before the National Scheme came into effect.</w:t>
      </w:r>
      <w:r w:rsidRPr="00DE5A6A">
        <w:rPr>
          <w:rFonts w:ascii="ZWAdobeF" w:hAnsi="ZWAdobeF" w:cs="ZWAdobeF"/>
          <w:sz w:val="2"/>
          <w:szCs w:val="2"/>
        </w:rPr>
        <w:t xml:space="preserve"> P</w:t>
      </w:r>
      <w:r w:rsidRPr="00DE5A6A">
        <w:t xml:space="preserve"> </w:t>
      </w:r>
      <w:r w:rsidR="007B1CB1">
        <w:t xml:space="preserve">They </w:t>
      </w:r>
      <w:r w:rsidRPr="00DE5A6A">
        <w:t xml:space="preserve">have not been substantively </w:t>
      </w:r>
      <w:r w:rsidR="007B1CB1">
        <w:t>amended</w:t>
      </w:r>
      <w:r w:rsidR="007B1CB1" w:rsidRPr="00DE5A6A">
        <w:t xml:space="preserve"> </w:t>
      </w:r>
      <w:r w:rsidRPr="00DE5A6A">
        <w:t xml:space="preserve">since their </w:t>
      </w:r>
      <w:r w:rsidR="007B1CB1">
        <w:t xml:space="preserve">initial </w:t>
      </w:r>
      <w:r w:rsidRPr="00DE5A6A">
        <w:t xml:space="preserve">publication. </w:t>
      </w:r>
    </w:p>
    <w:p w14:paraId="01734C7B" w14:textId="5DE82BAE" w:rsidR="00DE5A6A" w:rsidRDefault="00DE5A6A" w:rsidP="00DE5A6A">
      <w:pPr>
        <w:pStyle w:val="AHPRAbodyitalics"/>
        <w:rPr>
          <w:i w:val="0"/>
          <w:szCs w:val="20"/>
        </w:rPr>
      </w:pPr>
      <w:r w:rsidRPr="00DE5A6A">
        <w:rPr>
          <w:i w:val="0"/>
          <w:szCs w:val="20"/>
        </w:rPr>
        <w:t>Given the length of time the</w:t>
      </w:r>
      <w:r w:rsidR="00916D28">
        <w:rPr>
          <w:i w:val="0"/>
          <w:szCs w:val="20"/>
        </w:rPr>
        <w:t xml:space="preserve"> guidelines</w:t>
      </w:r>
      <w:r w:rsidRPr="00DE5A6A">
        <w:rPr>
          <w:i w:val="0"/>
          <w:szCs w:val="20"/>
        </w:rPr>
        <w:t xml:space="preserve"> have been in effect, and the increasing maturity of the</w:t>
      </w:r>
      <w:r w:rsidR="00A25C67">
        <w:rPr>
          <w:i w:val="0"/>
          <w:szCs w:val="20"/>
        </w:rPr>
        <w:t xml:space="preserve"> Board’s approach to regulation </w:t>
      </w:r>
      <w:r w:rsidRPr="00DE5A6A">
        <w:rPr>
          <w:i w:val="0"/>
        </w:rPr>
        <w:t>since</w:t>
      </w:r>
      <w:r w:rsidRPr="00DE5A6A">
        <w:rPr>
          <w:i w:val="0"/>
          <w:szCs w:val="20"/>
        </w:rPr>
        <w:t xml:space="preserve"> their initial publication, the Board believes the </w:t>
      </w:r>
      <w:r w:rsidR="00916D28">
        <w:rPr>
          <w:i w:val="0"/>
          <w:szCs w:val="20"/>
        </w:rPr>
        <w:t>g</w:t>
      </w:r>
      <w:r w:rsidRPr="00DE5A6A">
        <w:rPr>
          <w:i w:val="0"/>
          <w:szCs w:val="20"/>
        </w:rPr>
        <w:t xml:space="preserve">uidelines are no longer fit for purpose. </w:t>
      </w:r>
    </w:p>
    <w:p w14:paraId="06836A30" w14:textId="70CAA5CC" w:rsidR="00733CCF" w:rsidRDefault="00733CCF" w:rsidP="003C5B33">
      <w:pPr>
        <w:pStyle w:val="AHPRASubheadinglevel2"/>
        <w:keepNext/>
      </w:pPr>
      <w:bookmarkStart w:id="60" w:name="_Toc75851505"/>
      <w:bookmarkStart w:id="61" w:name="_Toc75858831"/>
      <w:bookmarkStart w:id="62" w:name="_Toc75858866"/>
      <w:bookmarkStart w:id="63" w:name="_Toc77604594"/>
      <w:r w:rsidRPr="00710748">
        <w:t>The proposal is consistent with how we</w:t>
      </w:r>
      <w:r>
        <w:t xml:space="preserve"> </w:t>
      </w:r>
      <w:r w:rsidRPr="00710748">
        <w:t>use guidelines</w:t>
      </w:r>
      <w:bookmarkEnd w:id="60"/>
      <w:bookmarkEnd w:id="61"/>
      <w:bookmarkEnd w:id="62"/>
      <w:r w:rsidR="00B864C3">
        <w:t xml:space="preserve"> and guidance</w:t>
      </w:r>
      <w:bookmarkEnd w:id="63"/>
    </w:p>
    <w:p w14:paraId="5F6F373F" w14:textId="1D7DEC98" w:rsidR="002C7B15" w:rsidRDefault="002C7B15" w:rsidP="00733CCF">
      <w:pPr>
        <w:pStyle w:val="AHPRAbodyitalics"/>
        <w:rPr>
          <w:i w:val="0"/>
        </w:rPr>
      </w:pPr>
      <w:r>
        <w:rPr>
          <w:i w:val="0"/>
        </w:rPr>
        <w:t>As outlined above, the Board</w:t>
      </w:r>
      <w:r w:rsidR="004979AC">
        <w:rPr>
          <w:i w:val="0"/>
        </w:rPr>
        <w:t xml:space="preserve"> usually</w:t>
      </w:r>
      <w:r>
        <w:rPr>
          <w:i w:val="0"/>
        </w:rPr>
        <w:t xml:space="preserve"> uses guidelines under the National</w:t>
      </w:r>
      <w:r w:rsidR="003B3288">
        <w:rPr>
          <w:i w:val="0"/>
        </w:rPr>
        <w:t xml:space="preserve"> Law to provide further </w:t>
      </w:r>
      <w:r w:rsidR="00C01EBC">
        <w:rPr>
          <w:i w:val="0"/>
        </w:rPr>
        <w:t>information</w:t>
      </w:r>
      <w:r w:rsidR="00E052DF">
        <w:rPr>
          <w:i w:val="0"/>
        </w:rPr>
        <w:t xml:space="preserve"> to practitioners</w:t>
      </w:r>
      <w:r w:rsidR="003B3288">
        <w:rPr>
          <w:i w:val="0"/>
        </w:rPr>
        <w:t xml:space="preserve"> about regulatory matters. </w:t>
      </w:r>
      <w:r w:rsidR="003E3767">
        <w:rPr>
          <w:i w:val="0"/>
        </w:rPr>
        <w:t>G</w:t>
      </w:r>
      <w:r w:rsidR="003B3288">
        <w:rPr>
          <w:i w:val="0"/>
        </w:rPr>
        <w:t xml:space="preserve">uidelines </w:t>
      </w:r>
      <w:r w:rsidR="003E3767">
        <w:rPr>
          <w:i w:val="0"/>
        </w:rPr>
        <w:t>are not intended to</w:t>
      </w:r>
      <w:r w:rsidR="003B3288">
        <w:rPr>
          <w:i w:val="0"/>
        </w:rPr>
        <w:t xml:space="preserve"> </w:t>
      </w:r>
      <w:r w:rsidR="00305E11">
        <w:rPr>
          <w:i w:val="0"/>
        </w:rPr>
        <w:t>be prescriptive about clinical matters</w:t>
      </w:r>
      <w:r w:rsidR="0019125C">
        <w:rPr>
          <w:i w:val="0"/>
        </w:rPr>
        <w:t>.</w:t>
      </w:r>
      <w:r w:rsidR="003B3288">
        <w:rPr>
          <w:i w:val="0"/>
        </w:rPr>
        <w:t xml:space="preserve"> </w:t>
      </w:r>
    </w:p>
    <w:p w14:paraId="3A2003B5" w14:textId="7AFBB744" w:rsidR="00305E11" w:rsidRDefault="003A0612" w:rsidP="00733CCF">
      <w:pPr>
        <w:pStyle w:val="AHPRAbodyitalics"/>
        <w:rPr>
          <w:i w:val="0"/>
        </w:rPr>
      </w:pPr>
      <w:r>
        <w:rPr>
          <w:i w:val="0"/>
        </w:rPr>
        <w:t>T</w:t>
      </w:r>
      <w:r w:rsidR="00305E11">
        <w:rPr>
          <w:i w:val="0"/>
        </w:rPr>
        <w:t xml:space="preserve">he Board has recently taken </w:t>
      </w:r>
      <w:r>
        <w:rPr>
          <w:i w:val="0"/>
        </w:rPr>
        <w:t xml:space="preserve">a similar </w:t>
      </w:r>
      <w:r w:rsidR="00305E11">
        <w:rPr>
          <w:i w:val="0"/>
        </w:rPr>
        <w:t xml:space="preserve">approach by implementing the retirement of its </w:t>
      </w:r>
      <w:r w:rsidR="00DD0BCA">
        <w:rPr>
          <w:i w:val="0"/>
        </w:rPr>
        <w:t>former</w:t>
      </w:r>
      <w:r w:rsidR="00305E11">
        <w:rPr>
          <w:i w:val="0"/>
        </w:rPr>
        <w:t xml:space="preserve"> </w:t>
      </w:r>
      <w:r w:rsidR="00305E11" w:rsidRPr="00305E11">
        <w:t>Guidelines on dental records</w:t>
      </w:r>
      <w:r w:rsidR="00D83A67">
        <w:rPr>
          <w:i w:val="0"/>
        </w:rPr>
        <w:t xml:space="preserve"> and the develop</w:t>
      </w:r>
      <w:r w:rsidR="00916D28">
        <w:rPr>
          <w:i w:val="0"/>
        </w:rPr>
        <w:t xml:space="preserve">ment of </w:t>
      </w:r>
      <w:r w:rsidR="00D83A67">
        <w:rPr>
          <w:i w:val="0"/>
        </w:rPr>
        <w:t>a fact sheet and self-reflective too</w:t>
      </w:r>
      <w:r w:rsidR="00883482">
        <w:rPr>
          <w:i w:val="0"/>
        </w:rPr>
        <w:t>l for dental records</w:t>
      </w:r>
      <w:r w:rsidR="00305E11">
        <w:rPr>
          <w:i w:val="0"/>
        </w:rPr>
        <w:t>.</w:t>
      </w:r>
    </w:p>
    <w:p w14:paraId="7AEE065D" w14:textId="6907AB12" w:rsidR="006351FA" w:rsidRDefault="006351FA" w:rsidP="00C330EA">
      <w:pPr>
        <w:pStyle w:val="AHPRABody0"/>
      </w:pPr>
      <w:r>
        <w:t xml:space="preserve">The Board considers that </w:t>
      </w:r>
      <w:r w:rsidR="00A50FB9">
        <w:t>guidelines are not necessary for it to provide guidance to the profession</w:t>
      </w:r>
      <w:r w:rsidR="003E3767">
        <w:t>.</w:t>
      </w:r>
      <w:r w:rsidR="00A50FB9">
        <w:t xml:space="preserve"> For example, </w:t>
      </w:r>
      <w:r w:rsidR="00C330EA">
        <w:t xml:space="preserve">guidance can be </w:t>
      </w:r>
      <w:r w:rsidR="00C61881">
        <w:t xml:space="preserve">delivered </w:t>
      </w:r>
      <w:r w:rsidR="00C330EA">
        <w:t xml:space="preserve">to practitioners using resources such as fact sheets, FAQs, self-reflective tools or </w:t>
      </w:r>
      <w:r w:rsidR="002D184D">
        <w:t>web-based</w:t>
      </w:r>
      <w:r w:rsidR="00C330EA">
        <w:t xml:space="preserve"> resources.</w:t>
      </w:r>
      <w:r w:rsidR="00E0667B">
        <w:t xml:space="preserve"> </w:t>
      </w:r>
    </w:p>
    <w:p w14:paraId="64FA6C8A" w14:textId="25B2A550" w:rsidR="00670880" w:rsidRPr="002C7B15" w:rsidRDefault="00A673E4" w:rsidP="0073444B">
      <w:pPr>
        <w:pStyle w:val="AHPRABody0"/>
      </w:pPr>
      <w:r>
        <w:lastRenderedPageBreak/>
        <w:t>R</w:t>
      </w:r>
      <w:r w:rsidR="00E739D5">
        <w:t xml:space="preserve">eplacing the </w:t>
      </w:r>
      <w:r w:rsidR="00916D28">
        <w:t>g</w:t>
      </w:r>
      <w:r w:rsidR="00E739D5">
        <w:t xml:space="preserve">uidelines with other resources is consistent with the Board’s </w:t>
      </w:r>
      <w:r w:rsidR="000158EA">
        <w:t>approach towards the use of guidelines under the National Law</w:t>
      </w:r>
      <w:r w:rsidR="00AD0272">
        <w:t xml:space="preserve">, and the provision of </w:t>
      </w:r>
      <w:r w:rsidR="00B864C3">
        <w:t xml:space="preserve">other </w:t>
      </w:r>
      <w:r w:rsidR="00AD0272">
        <w:t>guidance</w:t>
      </w:r>
      <w:r w:rsidR="00B864C3">
        <w:t xml:space="preserve"> material</w:t>
      </w:r>
      <w:r w:rsidR="000158EA">
        <w:t>.</w:t>
      </w:r>
    </w:p>
    <w:p w14:paraId="4D205755" w14:textId="4AE6EC9C" w:rsidR="00733CCF" w:rsidRDefault="00733CCF" w:rsidP="003A164F">
      <w:pPr>
        <w:pStyle w:val="AHPRASubheadinglevel2"/>
        <w:keepNext/>
      </w:pPr>
      <w:bookmarkStart w:id="64" w:name="_Toc75851506"/>
      <w:bookmarkStart w:id="65" w:name="_Toc75858832"/>
      <w:bookmarkStart w:id="66" w:name="_Toc75858867"/>
      <w:bookmarkStart w:id="67" w:name="_Toc77604595"/>
      <w:r w:rsidRPr="00710748">
        <w:t xml:space="preserve">The proposal better </w:t>
      </w:r>
      <w:r w:rsidR="00E35EB5">
        <w:t>aligns with</w:t>
      </w:r>
      <w:r w:rsidR="00E35EB5" w:rsidRPr="00710748">
        <w:t xml:space="preserve"> </w:t>
      </w:r>
      <w:r w:rsidRPr="00710748">
        <w:t>the role of the Board</w:t>
      </w:r>
      <w:bookmarkEnd w:id="64"/>
      <w:bookmarkEnd w:id="65"/>
      <w:bookmarkEnd w:id="66"/>
      <w:bookmarkEnd w:id="67"/>
    </w:p>
    <w:p w14:paraId="076D6C8C" w14:textId="663AAE99" w:rsidR="00B425A4" w:rsidRPr="004979AC" w:rsidRDefault="00E92A84" w:rsidP="00B425A4">
      <w:pPr>
        <w:pStyle w:val="AHPRAbody"/>
        <w:rPr>
          <w:i/>
        </w:rPr>
      </w:pPr>
      <w:r>
        <w:rPr>
          <w:shd w:val="clear" w:color="auto" w:fill="FFFFFF"/>
        </w:rPr>
        <w:t xml:space="preserve">The Board’s role and remit </w:t>
      </w:r>
      <w:r w:rsidR="00C61881">
        <w:rPr>
          <w:shd w:val="clear" w:color="auto" w:fill="FFFFFF"/>
        </w:rPr>
        <w:t xml:space="preserve">are </w:t>
      </w:r>
      <w:r>
        <w:rPr>
          <w:shd w:val="clear" w:color="auto" w:fill="FFFFFF"/>
        </w:rPr>
        <w:t>to protect the public by regulating individual dental practitioners.</w:t>
      </w:r>
      <w:r w:rsidR="00B425A4">
        <w:rPr>
          <w:shd w:val="clear" w:color="auto" w:fill="FFFFFF"/>
        </w:rPr>
        <w:t xml:space="preserve"> The Board regulates to ensure that only health practitioners who are suitably trained and qualified to practise in a competent and ethical manner are registered.</w:t>
      </w:r>
    </w:p>
    <w:p w14:paraId="675EF9C7" w14:textId="25908F02" w:rsidR="00F8326D" w:rsidRDefault="00E92A84" w:rsidP="00E92A84">
      <w:pPr>
        <w:pStyle w:val="AHPRAbody"/>
        <w:rPr>
          <w:shd w:val="clear" w:color="auto" w:fill="FFFFFF"/>
        </w:rPr>
      </w:pPr>
      <w:r>
        <w:rPr>
          <w:shd w:val="clear" w:color="auto" w:fill="FFFFFF"/>
        </w:rPr>
        <w:t>The National Law does not give authority or power to the Board to regulate dental practices</w:t>
      </w:r>
      <w:r w:rsidR="00BF5262">
        <w:rPr>
          <w:shd w:val="clear" w:color="auto" w:fill="FFFFFF"/>
        </w:rPr>
        <w:t xml:space="preserve"> as entities</w:t>
      </w:r>
      <w:r>
        <w:rPr>
          <w:shd w:val="clear" w:color="auto" w:fill="FFFFFF"/>
        </w:rPr>
        <w:t>.</w:t>
      </w:r>
      <w:r w:rsidR="00B904A1">
        <w:rPr>
          <w:shd w:val="clear" w:color="auto" w:fill="FFFFFF"/>
        </w:rPr>
        <w:t xml:space="preserve"> The Board does not have oversight or monitoring over</w:t>
      </w:r>
      <w:r w:rsidR="00BF5262">
        <w:rPr>
          <w:shd w:val="clear" w:color="auto" w:fill="FFFFFF"/>
        </w:rPr>
        <w:t xml:space="preserve"> </w:t>
      </w:r>
      <w:r w:rsidR="00B904A1">
        <w:rPr>
          <w:shd w:val="clear" w:color="auto" w:fill="FFFFFF"/>
        </w:rPr>
        <w:t xml:space="preserve">systemic infection prevention and control </w:t>
      </w:r>
      <w:r w:rsidR="00E01CD8">
        <w:rPr>
          <w:shd w:val="clear" w:color="auto" w:fill="FFFFFF"/>
        </w:rPr>
        <w:t>matters.</w:t>
      </w:r>
    </w:p>
    <w:p w14:paraId="5CA8C1E3" w14:textId="651BD9B3" w:rsidR="0000328B" w:rsidRPr="008D2D73" w:rsidRDefault="00B5243F" w:rsidP="008D2D73">
      <w:pPr>
        <w:pStyle w:val="AHPRAbody"/>
        <w:rPr>
          <w:shd w:val="clear" w:color="auto" w:fill="FFFFFF"/>
        </w:rPr>
      </w:pPr>
      <w:r>
        <w:t xml:space="preserve">The </w:t>
      </w:r>
      <w:r w:rsidRPr="61A0029D">
        <w:rPr>
          <w:i/>
          <w:iCs/>
        </w:rPr>
        <w:t>Documentation</w:t>
      </w:r>
      <w:r>
        <w:t xml:space="preserve"> section of the </w:t>
      </w:r>
      <w:r w:rsidR="00916D28">
        <w:t>g</w:t>
      </w:r>
      <w:r>
        <w:t xml:space="preserve">uidelines applies to ‘every place where dental care is </w:t>
      </w:r>
      <w:r w:rsidRPr="008D2D73">
        <w:rPr>
          <w:shd w:val="clear" w:color="auto" w:fill="FFFFFF"/>
        </w:rPr>
        <w:t>provided’</w:t>
      </w:r>
      <w:r>
        <w:t xml:space="preserve"> and extends not only to dental practitioners but </w:t>
      </w:r>
      <w:r w:rsidR="00C61881">
        <w:t xml:space="preserve">to </w:t>
      </w:r>
      <w:r>
        <w:t>‘all staff’.</w:t>
      </w:r>
      <w:r w:rsidR="00F0289D">
        <w:t xml:space="preserve"> This broad application to the practice setting and </w:t>
      </w:r>
      <w:r w:rsidR="001F76C4">
        <w:t xml:space="preserve">to </w:t>
      </w:r>
      <w:r w:rsidR="00F0289D">
        <w:t xml:space="preserve">all staff (including non-registered staff), does not align with the Board’s role and exceeds its regulatory remit, which is </w:t>
      </w:r>
      <w:r w:rsidR="0072704D">
        <w:t>only to regulate individual practitioners</w:t>
      </w:r>
      <w:r w:rsidR="00F0289D">
        <w:t>.</w:t>
      </w:r>
    </w:p>
    <w:p w14:paraId="41B20A1C" w14:textId="787B9472" w:rsidR="00994A57" w:rsidRDefault="6FF20599" w:rsidP="00F72399">
      <w:pPr>
        <w:pStyle w:val="AHPRABody0"/>
        <w:rPr>
          <w:shd w:val="clear" w:color="auto" w:fill="FFFFFF"/>
        </w:rPr>
      </w:pPr>
      <w:r w:rsidRPr="617D3029">
        <w:rPr>
          <w:rFonts w:ascii="ZWAdobeF" w:hAnsi="ZWAdobeF" w:cs="ZWAdobeF"/>
          <w:sz w:val="2"/>
          <w:szCs w:val="2"/>
        </w:rPr>
        <w:t>32FP</w:t>
      </w:r>
      <w:r w:rsidR="3CC59306" w:rsidRPr="617D3029">
        <w:rPr>
          <w:rFonts w:ascii="ZWAdobeF" w:hAnsi="ZWAdobeF" w:cs="ZWAdobeF"/>
          <w:sz w:val="2"/>
          <w:szCs w:val="2"/>
        </w:rPr>
        <w:t xml:space="preserve"> </w:t>
      </w:r>
      <w:r w:rsidR="00BF5262">
        <w:rPr>
          <w:shd w:val="clear" w:color="auto" w:fill="FFFFFF"/>
        </w:rPr>
        <w:t xml:space="preserve">The Board does not </w:t>
      </w:r>
      <w:r w:rsidR="007258D3">
        <w:rPr>
          <w:shd w:val="clear" w:color="auto" w:fill="FFFFFF"/>
        </w:rPr>
        <w:t>restrict practice nor prescribe</w:t>
      </w:r>
      <w:r w:rsidR="00994A57">
        <w:rPr>
          <w:shd w:val="clear" w:color="auto" w:fill="FFFFFF"/>
        </w:rPr>
        <w:t xml:space="preserve"> in detail</w:t>
      </w:r>
      <w:r w:rsidR="007258D3">
        <w:rPr>
          <w:shd w:val="clear" w:color="auto" w:fill="FFFFFF"/>
        </w:rPr>
        <w:t xml:space="preserve"> how practitioners should practice.</w:t>
      </w:r>
      <w:r w:rsidR="00E92A84">
        <w:rPr>
          <w:shd w:val="clear" w:color="auto" w:fill="FFFFFF"/>
        </w:rPr>
        <w:t xml:space="preserve"> </w:t>
      </w:r>
      <w:r w:rsidR="001F76C4">
        <w:rPr>
          <w:shd w:val="clear" w:color="auto" w:fill="FFFFFF"/>
        </w:rPr>
        <w:t>Ins</w:t>
      </w:r>
      <w:r w:rsidR="007963CC">
        <w:rPr>
          <w:shd w:val="clear" w:color="auto" w:fill="FFFFFF"/>
        </w:rPr>
        <w:t>t</w:t>
      </w:r>
      <w:r w:rsidR="001F76C4">
        <w:rPr>
          <w:shd w:val="clear" w:color="auto" w:fill="FFFFFF"/>
        </w:rPr>
        <w:t>ead</w:t>
      </w:r>
      <w:r w:rsidR="00994A57">
        <w:rPr>
          <w:shd w:val="clear" w:color="auto" w:fill="FFFFFF"/>
        </w:rPr>
        <w:t>, the Board</w:t>
      </w:r>
      <w:r w:rsidR="00700C3B">
        <w:rPr>
          <w:shd w:val="clear" w:color="auto" w:fill="FFFFFF"/>
        </w:rPr>
        <w:t xml:space="preserve"> takes a responsive, risk-based approach to regulation. </w:t>
      </w:r>
      <w:r w:rsidR="002D1659">
        <w:rPr>
          <w:shd w:val="clear" w:color="auto" w:fill="FFFFFF"/>
        </w:rPr>
        <w:t xml:space="preserve">The current </w:t>
      </w:r>
      <w:r w:rsidR="00916D28">
        <w:rPr>
          <w:shd w:val="clear" w:color="auto" w:fill="FFFFFF"/>
        </w:rPr>
        <w:t>g</w:t>
      </w:r>
      <w:r w:rsidR="002D1659">
        <w:rPr>
          <w:shd w:val="clear" w:color="auto" w:fill="FFFFFF"/>
        </w:rPr>
        <w:t xml:space="preserve">uidelines are </w:t>
      </w:r>
      <w:r w:rsidR="007846DA">
        <w:rPr>
          <w:shd w:val="clear" w:color="auto" w:fill="FFFFFF"/>
        </w:rPr>
        <w:t>inflexible and apply</w:t>
      </w:r>
      <w:r w:rsidR="00975AB1">
        <w:rPr>
          <w:shd w:val="clear" w:color="auto" w:fill="FFFFFF"/>
        </w:rPr>
        <w:t xml:space="preserve"> regardless of </w:t>
      </w:r>
      <w:r w:rsidR="00357F8E">
        <w:rPr>
          <w:shd w:val="clear" w:color="auto" w:fill="FFFFFF"/>
        </w:rPr>
        <w:t xml:space="preserve">practice nuances </w:t>
      </w:r>
      <w:r w:rsidR="00975AB1">
        <w:rPr>
          <w:shd w:val="clear" w:color="auto" w:fill="FFFFFF"/>
        </w:rPr>
        <w:t>or individual circumstances.</w:t>
      </w:r>
    </w:p>
    <w:p w14:paraId="4D83D252" w14:textId="3A112722" w:rsidR="004573C7" w:rsidRDefault="00F1018C" w:rsidP="00D95BD6">
      <w:pPr>
        <w:pStyle w:val="AHPRABody0"/>
        <w:rPr>
          <w:lang w:val="en-US"/>
        </w:rPr>
      </w:pPr>
      <w:r>
        <w:rPr>
          <w:shd w:val="clear" w:color="auto" w:fill="FFFFFF"/>
        </w:rPr>
        <w:t xml:space="preserve">Replacing the </w:t>
      </w:r>
      <w:r w:rsidR="00916D28">
        <w:rPr>
          <w:shd w:val="clear" w:color="auto" w:fill="FFFFFF"/>
        </w:rPr>
        <w:t>g</w:t>
      </w:r>
      <w:r>
        <w:rPr>
          <w:shd w:val="clear" w:color="auto" w:fill="FFFFFF"/>
        </w:rPr>
        <w:t>ui</w:t>
      </w:r>
      <w:r w:rsidR="001B41B1">
        <w:rPr>
          <w:shd w:val="clear" w:color="auto" w:fill="FFFFFF"/>
        </w:rPr>
        <w:t xml:space="preserve">delines with other resources </w:t>
      </w:r>
      <w:r w:rsidR="00F8326D">
        <w:rPr>
          <w:shd w:val="clear" w:color="auto" w:fill="FFFFFF"/>
        </w:rPr>
        <w:t>better aligns with the Board’s role</w:t>
      </w:r>
      <w:r w:rsidR="00E35EB5">
        <w:rPr>
          <w:shd w:val="clear" w:color="auto" w:fill="FFFFFF"/>
        </w:rPr>
        <w:t>,</w:t>
      </w:r>
      <w:r w:rsidR="00F8326D">
        <w:rPr>
          <w:shd w:val="clear" w:color="auto" w:fill="FFFFFF"/>
        </w:rPr>
        <w:t xml:space="preserve"> purpose</w:t>
      </w:r>
      <w:r w:rsidR="00E35EB5">
        <w:rPr>
          <w:shd w:val="clear" w:color="auto" w:fill="FFFFFF"/>
        </w:rPr>
        <w:t xml:space="preserve"> and regulatory approach</w:t>
      </w:r>
      <w:r w:rsidR="00F8326D">
        <w:rPr>
          <w:shd w:val="clear" w:color="auto" w:fill="FFFFFF"/>
        </w:rPr>
        <w:t>.</w:t>
      </w:r>
      <w:r w:rsidR="00D95BD6">
        <w:rPr>
          <w:shd w:val="clear" w:color="auto" w:fill="FFFFFF"/>
        </w:rPr>
        <w:t xml:space="preserve"> It also aligns with the</w:t>
      </w:r>
      <w:r w:rsidR="0058250E">
        <w:rPr>
          <w:shd w:val="clear" w:color="auto" w:fill="FFFFFF"/>
        </w:rPr>
        <w:t xml:space="preserve"> </w:t>
      </w:r>
      <w:hyperlink r:id="rId31" w:history="1">
        <w:r w:rsidR="00867755">
          <w:rPr>
            <w:rFonts w:ascii="ZWAdobeF" w:hAnsi="ZWAdobeF" w:cs="ZWAdobeF"/>
            <w:sz w:val="2"/>
            <w:szCs w:val="2"/>
          </w:rPr>
          <w:t>39T</w:t>
        </w:r>
        <w:r w:rsidR="0058250E" w:rsidRPr="0058250E">
          <w:rPr>
            <w:rStyle w:val="Hyperlink"/>
            <w:shd w:val="clear" w:color="auto" w:fill="FFFFFF"/>
          </w:rPr>
          <w:t>National Scheme Strategy</w:t>
        </w:r>
      </w:hyperlink>
      <w:r w:rsidR="00867755" w:rsidRPr="00867755">
        <w:rPr>
          <w:rStyle w:val="Hyperlink"/>
          <w:rFonts w:ascii="ZWAdobeF" w:hAnsi="ZWAdobeF" w:cs="ZWAdobeF"/>
          <w:color w:val="auto"/>
          <w:sz w:val="2"/>
          <w:szCs w:val="2"/>
          <w:u w:val="none"/>
          <w:shd w:val="clear" w:color="auto" w:fill="FFFFFF"/>
        </w:rPr>
        <w:t>39T</w:t>
      </w:r>
      <w:r w:rsidR="00D95BD6" w:rsidRPr="003A2C24">
        <w:rPr>
          <w:lang w:val="en-US"/>
        </w:rPr>
        <w:t>.</w:t>
      </w:r>
      <w:r w:rsidR="00D95BD6" w:rsidRPr="5D71D411">
        <w:rPr>
          <w:lang w:val="en-US"/>
        </w:rPr>
        <w:t xml:space="preserve"> The strategy seeks to achieve regulatory effectiveness and trust and confidence by strengthening risk-based regulatory practices and supporting professional learning and practice.</w:t>
      </w:r>
    </w:p>
    <w:p w14:paraId="49151E32" w14:textId="51F9A6F6" w:rsidR="00805B05" w:rsidRPr="00D95BD6" w:rsidRDefault="00805B05" w:rsidP="00D95BD6">
      <w:pPr>
        <w:pStyle w:val="AHPRABody0"/>
        <w:rPr>
          <w:lang w:val="en-US"/>
        </w:rPr>
      </w:pPr>
      <w:r>
        <w:rPr>
          <w:lang w:val="en-US"/>
        </w:rPr>
        <w:t>The withdrawal of the self-audit tool in favour of a self-reflective tool also aligns with the Board’s approach to promote professionalism and encourage reflection, rather than tell practitioners how to practi</w:t>
      </w:r>
      <w:r w:rsidR="00916D28">
        <w:rPr>
          <w:lang w:val="en-US"/>
        </w:rPr>
        <w:t>s</w:t>
      </w:r>
      <w:r>
        <w:rPr>
          <w:lang w:val="en-US"/>
        </w:rPr>
        <w:t>e.</w:t>
      </w:r>
    </w:p>
    <w:p w14:paraId="5E337F8C" w14:textId="4650E1BE" w:rsidR="007D0648" w:rsidRPr="00962926" w:rsidRDefault="00962926" w:rsidP="00F45025">
      <w:pPr>
        <w:pStyle w:val="AHPRASubheadinglevel2"/>
      </w:pPr>
      <w:bookmarkStart w:id="68" w:name="_Toc75851507"/>
      <w:bookmarkStart w:id="69" w:name="_Toc75858833"/>
      <w:bookmarkStart w:id="70" w:name="_Toc75858868"/>
      <w:bookmarkStart w:id="71" w:name="_Toc77604596"/>
      <w:r w:rsidRPr="00962926">
        <w:t>Practitioners practise safely</w:t>
      </w:r>
      <w:bookmarkEnd w:id="68"/>
      <w:bookmarkEnd w:id="69"/>
      <w:bookmarkEnd w:id="70"/>
      <w:bookmarkEnd w:id="71"/>
    </w:p>
    <w:p w14:paraId="38318190" w14:textId="45DF9D7A" w:rsidR="007E6D37" w:rsidRDefault="006453B0" w:rsidP="001D19E5">
      <w:pPr>
        <w:pStyle w:val="AHPRAbodyitalics"/>
        <w:rPr>
          <w:i w:val="0"/>
        </w:rPr>
      </w:pPr>
      <w:r>
        <w:rPr>
          <w:i w:val="0"/>
        </w:rPr>
        <w:t xml:space="preserve">The </w:t>
      </w:r>
      <w:r w:rsidR="003144FE">
        <w:rPr>
          <w:i w:val="0"/>
        </w:rPr>
        <w:t xml:space="preserve">Board </w:t>
      </w:r>
      <w:r>
        <w:rPr>
          <w:i w:val="0"/>
        </w:rPr>
        <w:t xml:space="preserve">is </w:t>
      </w:r>
      <w:r w:rsidR="003144FE">
        <w:rPr>
          <w:i w:val="0"/>
        </w:rPr>
        <w:t>confident that</w:t>
      </w:r>
      <w:r w:rsidR="00FA6CEC">
        <w:rPr>
          <w:i w:val="0"/>
        </w:rPr>
        <w:t xml:space="preserve"> dental</w:t>
      </w:r>
      <w:r w:rsidR="003144FE">
        <w:rPr>
          <w:i w:val="0"/>
        </w:rPr>
        <w:t xml:space="preserve"> practitioners generally practise safely</w:t>
      </w:r>
      <w:r w:rsidR="00FE4762">
        <w:rPr>
          <w:i w:val="0"/>
        </w:rPr>
        <w:t>.</w:t>
      </w:r>
      <w:r w:rsidR="007E6D37" w:rsidRPr="007E6D37">
        <w:rPr>
          <w:i w:val="0"/>
        </w:rPr>
        <w:t xml:space="preserve"> </w:t>
      </w:r>
      <w:r w:rsidR="005111B0">
        <w:rPr>
          <w:i w:val="0"/>
        </w:rPr>
        <w:t>U</w:t>
      </w:r>
      <w:r w:rsidR="007E6D37" w:rsidRPr="007E6D37">
        <w:rPr>
          <w:i w:val="0"/>
        </w:rPr>
        <w:t xml:space="preserve">nderstanding the scientific principles and application of infection prevention and control is </w:t>
      </w:r>
      <w:r w:rsidR="00560008">
        <w:rPr>
          <w:i w:val="0"/>
        </w:rPr>
        <w:t xml:space="preserve">embedded in </w:t>
      </w:r>
      <w:r w:rsidR="00B86CC1">
        <w:rPr>
          <w:i w:val="0"/>
        </w:rPr>
        <w:t xml:space="preserve">our accreditation system </w:t>
      </w:r>
      <w:r w:rsidR="001F76C4">
        <w:rPr>
          <w:i w:val="0"/>
        </w:rPr>
        <w:t>through</w:t>
      </w:r>
      <w:r w:rsidR="00B86CC1">
        <w:rPr>
          <w:i w:val="0"/>
        </w:rPr>
        <w:t xml:space="preserve"> </w:t>
      </w:r>
      <w:r w:rsidR="00560008">
        <w:rPr>
          <w:i w:val="0"/>
        </w:rPr>
        <w:t>the professional competencies</w:t>
      </w:r>
      <w:r w:rsidR="00916D28">
        <w:rPr>
          <w:i w:val="0"/>
        </w:rPr>
        <w:t xml:space="preserve">, making it </w:t>
      </w:r>
      <w:r w:rsidR="00205501">
        <w:rPr>
          <w:i w:val="0"/>
        </w:rPr>
        <w:t xml:space="preserve">a </w:t>
      </w:r>
      <w:r w:rsidR="00FD267A">
        <w:rPr>
          <w:i w:val="0"/>
        </w:rPr>
        <w:t>core</w:t>
      </w:r>
      <w:r w:rsidR="005111B0" w:rsidRPr="007E6D37">
        <w:rPr>
          <w:i w:val="0"/>
        </w:rPr>
        <w:t xml:space="preserve"> </w:t>
      </w:r>
      <w:r w:rsidR="008A29BB">
        <w:rPr>
          <w:i w:val="0"/>
        </w:rPr>
        <w:t xml:space="preserve">entry-level </w:t>
      </w:r>
      <w:r w:rsidR="007E6D37" w:rsidRPr="007E6D37">
        <w:rPr>
          <w:i w:val="0"/>
        </w:rPr>
        <w:t xml:space="preserve">expectation of all registered dental practitioners. </w:t>
      </w:r>
    </w:p>
    <w:p w14:paraId="56E21B04" w14:textId="552EFF90" w:rsidR="00777789" w:rsidRDefault="00C029FA" w:rsidP="006A4E3F">
      <w:pPr>
        <w:pStyle w:val="AHPRABody0"/>
      </w:pPr>
      <w:r w:rsidRPr="0058250E">
        <w:t>The Board and co-regulatory entities do receive notifications about infection prevention and control, however the</w:t>
      </w:r>
      <w:r w:rsidR="00E03EE9" w:rsidRPr="0058250E">
        <w:t xml:space="preserve"> proportion of concerns </w:t>
      </w:r>
      <w:r w:rsidR="00C06D77" w:rsidRPr="0058250E">
        <w:t xml:space="preserve">raised </w:t>
      </w:r>
      <w:r w:rsidR="00E03EE9" w:rsidRPr="0058250E">
        <w:t xml:space="preserve">about these issues is lower </w:t>
      </w:r>
      <w:r w:rsidR="001F76C4">
        <w:t>than</w:t>
      </w:r>
      <w:r w:rsidR="001F76C4" w:rsidRPr="0058250E">
        <w:t xml:space="preserve"> </w:t>
      </w:r>
      <w:r w:rsidR="00E03EE9" w:rsidRPr="0058250E">
        <w:t xml:space="preserve">the concerns raised about </w:t>
      </w:r>
      <w:r w:rsidR="00D4082E" w:rsidRPr="0058250E">
        <w:t xml:space="preserve">other performance </w:t>
      </w:r>
      <w:r w:rsidR="00C06D77" w:rsidRPr="0058250E">
        <w:t>matters</w:t>
      </w:r>
      <w:r w:rsidR="00D4082E" w:rsidRPr="0058250E">
        <w:t>.</w:t>
      </w:r>
      <w:r w:rsidR="00E03EE9" w:rsidRPr="0058250E">
        <w:t xml:space="preserve"> </w:t>
      </w:r>
    </w:p>
    <w:p w14:paraId="5575D261" w14:textId="0FAD2C83" w:rsidR="00943DAB" w:rsidRDefault="00777789" w:rsidP="006A4E3F">
      <w:pPr>
        <w:pStyle w:val="AHPRABody0"/>
      </w:pPr>
      <w:r>
        <w:t xml:space="preserve">When practitioners are not practising safely, there can be </w:t>
      </w:r>
      <w:r w:rsidR="000B57CC">
        <w:t>several</w:t>
      </w:r>
      <w:r>
        <w:t xml:space="preserve"> factors that contribute to this</w:t>
      </w:r>
      <w:r w:rsidR="00807AD3">
        <w:t>, such as:</w:t>
      </w:r>
    </w:p>
    <w:p w14:paraId="008D2159" w14:textId="77777777" w:rsidR="00943DAB" w:rsidRDefault="00943DAB" w:rsidP="00943DAB">
      <w:pPr>
        <w:pStyle w:val="AHPRABulletlevel1"/>
      </w:pPr>
      <w:r>
        <w:t>personal attitudes</w:t>
      </w:r>
    </w:p>
    <w:p w14:paraId="7DB519D7" w14:textId="77777777" w:rsidR="00943DAB" w:rsidRDefault="00943DAB" w:rsidP="00943DAB">
      <w:pPr>
        <w:pStyle w:val="AHPRABulletlevel1"/>
      </w:pPr>
      <w:r>
        <w:t>years in practice</w:t>
      </w:r>
    </w:p>
    <w:p w14:paraId="4D9CF9FB" w14:textId="679FA8BB" w:rsidR="00943DAB" w:rsidRDefault="00943DAB" w:rsidP="00943DAB">
      <w:pPr>
        <w:pStyle w:val="AHPRABulletlevel1"/>
      </w:pPr>
      <w:r>
        <w:t>whether recent</w:t>
      </w:r>
      <w:r w:rsidR="00916D28">
        <w:t xml:space="preserve"> continuing professional development (</w:t>
      </w:r>
      <w:r>
        <w:t>CPD</w:t>
      </w:r>
      <w:r w:rsidR="00916D28">
        <w:t>)</w:t>
      </w:r>
      <w:r>
        <w:t xml:space="preserve"> </w:t>
      </w:r>
      <w:r w:rsidR="00C56570">
        <w:t xml:space="preserve">in infection prevention and control </w:t>
      </w:r>
      <w:r>
        <w:t>was completed</w:t>
      </w:r>
      <w:r w:rsidR="00C56570">
        <w:t>, and</w:t>
      </w:r>
    </w:p>
    <w:p w14:paraId="0C1EDD51" w14:textId="4DC5DAC3" w:rsidR="00C06D77" w:rsidRDefault="00C56570" w:rsidP="0058250E">
      <w:pPr>
        <w:pStyle w:val="AHPRABulletlevel1last"/>
      </w:pPr>
      <w:r>
        <w:t>workplace culture.</w:t>
      </w:r>
      <w:r w:rsidR="00C029FA" w:rsidRPr="000B57CC">
        <w:t xml:space="preserve"> </w:t>
      </w:r>
    </w:p>
    <w:p w14:paraId="3F857932" w14:textId="3263622B" w:rsidR="00FA590A" w:rsidRDefault="00807AD3" w:rsidP="000B57CC">
      <w:pPr>
        <w:pStyle w:val="AHPRABody0"/>
        <w:rPr>
          <w:lang w:val="en-US"/>
        </w:rPr>
      </w:pPr>
      <w:r w:rsidRPr="6E0DAB5F">
        <w:rPr>
          <w:lang w:val="en-US"/>
        </w:rPr>
        <w:t xml:space="preserve">The Board considers it should focus on addressing all factors that influence </w:t>
      </w:r>
      <w:r w:rsidR="007E2C57" w:rsidRPr="6E0DAB5F">
        <w:rPr>
          <w:lang w:val="en-US"/>
        </w:rPr>
        <w:t xml:space="preserve">departure from safe practice. </w:t>
      </w:r>
      <w:r w:rsidR="00FA590A" w:rsidRPr="6E0DAB5F">
        <w:rPr>
          <w:lang w:val="en-US"/>
        </w:rPr>
        <w:t>Instead of issuing prescriptive guidelines, t</w:t>
      </w:r>
      <w:r w:rsidR="007E2C57" w:rsidRPr="6E0DAB5F">
        <w:rPr>
          <w:lang w:val="en-US"/>
        </w:rPr>
        <w:t>his can be</w:t>
      </w:r>
      <w:r w:rsidR="00FA590A" w:rsidRPr="6E0DAB5F">
        <w:rPr>
          <w:lang w:val="en-US"/>
        </w:rPr>
        <w:t>tter be</w:t>
      </w:r>
      <w:r w:rsidR="007E2C57" w:rsidRPr="6E0DAB5F">
        <w:rPr>
          <w:lang w:val="en-US"/>
        </w:rPr>
        <w:t xml:space="preserve"> achieved </w:t>
      </w:r>
      <w:r w:rsidRPr="6E0DAB5F">
        <w:rPr>
          <w:lang w:val="en-US"/>
        </w:rPr>
        <w:t xml:space="preserve">by </w:t>
      </w:r>
      <w:r w:rsidR="001B07AE" w:rsidRPr="6E0DAB5F">
        <w:rPr>
          <w:lang w:val="en-US"/>
        </w:rPr>
        <w:t xml:space="preserve">preventative </w:t>
      </w:r>
      <w:r w:rsidR="7772F3ED" w:rsidRPr="6E0DAB5F">
        <w:rPr>
          <w:lang w:val="en-US"/>
        </w:rPr>
        <w:t xml:space="preserve">and supportive </w:t>
      </w:r>
      <w:r w:rsidR="001B07AE" w:rsidRPr="6E0DAB5F">
        <w:rPr>
          <w:lang w:val="en-US"/>
        </w:rPr>
        <w:t>strategies</w:t>
      </w:r>
      <w:r w:rsidRPr="6E0DAB5F">
        <w:rPr>
          <w:lang w:val="en-US"/>
        </w:rPr>
        <w:t>, including data analysis to support targeted communications, increased engagement with practitioners</w:t>
      </w:r>
      <w:r w:rsidR="004C72C2" w:rsidRPr="6E0DAB5F">
        <w:rPr>
          <w:lang w:val="en-US"/>
        </w:rPr>
        <w:t xml:space="preserve"> and other stakeholders</w:t>
      </w:r>
      <w:r w:rsidRPr="6E0DAB5F">
        <w:rPr>
          <w:lang w:val="en-US"/>
        </w:rPr>
        <w:t xml:space="preserve"> </w:t>
      </w:r>
      <w:r w:rsidR="00645D65" w:rsidRPr="6E0DAB5F">
        <w:rPr>
          <w:lang w:val="en-US"/>
        </w:rPr>
        <w:t xml:space="preserve">and </w:t>
      </w:r>
      <w:r w:rsidRPr="6E0DAB5F">
        <w:rPr>
          <w:lang w:val="en-US"/>
        </w:rPr>
        <w:t>providing self-reflective tools</w:t>
      </w:r>
      <w:r w:rsidR="00676A82" w:rsidRPr="6E0DAB5F">
        <w:rPr>
          <w:lang w:val="en-US"/>
        </w:rPr>
        <w:t xml:space="preserve"> and</w:t>
      </w:r>
      <w:r w:rsidRPr="6E0DAB5F">
        <w:rPr>
          <w:lang w:val="en-US"/>
        </w:rPr>
        <w:t xml:space="preserve"> fact sheets</w:t>
      </w:r>
      <w:r w:rsidR="00676A82" w:rsidRPr="6E0DAB5F">
        <w:rPr>
          <w:lang w:val="en-US"/>
        </w:rPr>
        <w:t xml:space="preserve"> that </w:t>
      </w:r>
      <w:r w:rsidR="00D66F56" w:rsidRPr="6E0DAB5F">
        <w:rPr>
          <w:lang w:val="en-US"/>
        </w:rPr>
        <w:t>encourage the exercise of professional judg</w:t>
      </w:r>
      <w:r w:rsidR="00916D28">
        <w:rPr>
          <w:lang w:val="en-US"/>
        </w:rPr>
        <w:t>e</w:t>
      </w:r>
      <w:r w:rsidR="00D66F56" w:rsidRPr="6E0DAB5F">
        <w:rPr>
          <w:lang w:val="en-US"/>
        </w:rPr>
        <w:t>ment</w:t>
      </w:r>
      <w:r w:rsidR="002509B3" w:rsidRPr="6E0DAB5F">
        <w:rPr>
          <w:lang w:val="en-US"/>
        </w:rPr>
        <w:t xml:space="preserve">, </w:t>
      </w:r>
      <w:r w:rsidR="00676A82" w:rsidRPr="6E0DAB5F">
        <w:rPr>
          <w:lang w:val="en-US"/>
        </w:rPr>
        <w:t xml:space="preserve">explain how </w:t>
      </w:r>
      <w:r w:rsidRPr="6E0DAB5F">
        <w:rPr>
          <w:lang w:val="en-US"/>
        </w:rPr>
        <w:t xml:space="preserve">practitioners </w:t>
      </w:r>
      <w:r w:rsidR="00676A82" w:rsidRPr="6E0DAB5F">
        <w:rPr>
          <w:lang w:val="en-US"/>
        </w:rPr>
        <w:t xml:space="preserve">can meet their obligations and access </w:t>
      </w:r>
      <w:r w:rsidR="004C72C2" w:rsidRPr="6E0DAB5F">
        <w:rPr>
          <w:lang w:val="en-US"/>
        </w:rPr>
        <w:t>the right</w:t>
      </w:r>
      <w:r w:rsidRPr="6E0DAB5F">
        <w:rPr>
          <w:lang w:val="en-US"/>
        </w:rPr>
        <w:t xml:space="preserve"> </w:t>
      </w:r>
      <w:r w:rsidR="004C72C2" w:rsidRPr="6E0DAB5F">
        <w:rPr>
          <w:lang w:val="en-US"/>
        </w:rPr>
        <w:t>information</w:t>
      </w:r>
      <w:r w:rsidRPr="6E0DAB5F">
        <w:rPr>
          <w:lang w:val="en-US"/>
        </w:rPr>
        <w:t>.</w:t>
      </w:r>
    </w:p>
    <w:p w14:paraId="72A2F62F" w14:textId="7318EBF7" w:rsidR="0009115C" w:rsidRPr="00EC3E27" w:rsidRDefault="001F0AC4" w:rsidP="00EC3E27">
      <w:pPr>
        <w:pStyle w:val="AHPRASubheadinglevel2"/>
        <w:keepNext/>
      </w:pPr>
      <w:bookmarkStart w:id="72" w:name="_Toc75858834"/>
      <w:bookmarkStart w:id="73" w:name="_Toc75858869"/>
      <w:bookmarkStart w:id="74" w:name="_Toc77604597"/>
      <w:r w:rsidRPr="00032E00">
        <w:t xml:space="preserve">The Board has </w:t>
      </w:r>
      <w:r w:rsidR="00916D28">
        <w:t>adequate</w:t>
      </w:r>
      <w:r w:rsidRPr="00032E00">
        <w:t xml:space="preserve"> regulatory tools to </w:t>
      </w:r>
      <w:bookmarkEnd w:id="72"/>
      <w:bookmarkEnd w:id="73"/>
      <w:r w:rsidR="00DE552F">
        <w:t>protect the public</w:t>
      </w:r>
      <w:bookmarkEnd w:id="74"/>
    </w:p>
    <w:p w14:paraId="1D83D54E" w14:textId="6ABC216F" w:rsidR="00821B69" w:rsidRDefault="00DB45EA" w:rsidP="0009115C">
      <w:pPr>
        <w:pStyle w:val="AHPRABody0"/>
      </w:pPr>
      <w:r>
        <w:t xml:space="preserve">When the Board needs to take regulatory action to ensure the public is safe, </w:t>
      </w:r>
      <w:r w:rsidR="001B07AE">
        <w:t>several</w:t>
      </w:r>
      <w:r>
        <w:t xml:space="preserve"> options </w:t>
      </w:r>
      <w:r w:rsidR="001F76C4">
        <w:t xml:space="preserve">are </w:t>
      </w:r>
      <w:r>
        <w:t>available under the National Law</w:t>
      </w:r>
      <w:r w:rsidR="00123AC5">
        <w:t>.</w:t>
      </w:r>
      <w:r w:rsidR="00D8258A">
        <w:t xml:space="preserve"> </w:t>
      </w:r>
      <w:r w:rsidR="00123AC5">
        <w:t>F</w:t>
      </w:r>
      <w:r w:rsidR="00D8258A">
        <w:t>or example</w:t>
      </w:r>
      <w:r w:rsidR="00123AC5">
        <w:t>, the Board can</w:t>
      </w:r>
      <w:r w:rsidR="00D8258A">
        <w:t xml:space="preserve"> restrict </w:t>
      </w:r>
      <w:r w:rsidR="00EC3E27">
        <w:t xml:space="preserve">how or where a practitioner practises, </w:t>
      </w:r>
      <w:r w:rsidR="71908FAB">
        <w:t xml:space="preserve">impose conditions to attend education and training </w:t>
      </w:r>
      <w:r w:rsidR="00D8258A">
        <w:t xml:space="preserve">or </w:t>
      </w:r>
      <w:r w:rsidR="001F76C4">
        <w:t xml:space="preserve">suspend registration on an interim basis </w:t>
      </w:r>
      <w:r w:rsidR="00123AC5">
        <w:t>in cases of serious and immediate risk</w:t>
      </w:r>
      <w:r>
        <w:t xml:space="preserve">. </w:t>
      </w:r>
    </w:p>
    <w:p w14:paraId="58C725DD" w14:textId="01A0DF5E" w:rsidR="00D8258A" w:rsidRDefault="001B07AE" w:rsidP="0058250E">
      <w:pPr>
        <w:pStyle w:val="AHPRABody0"/>
      </w:pPr>
      <w:r>
        <w:t>The Board does not need guidelines</w:t>
      </w:r>
      <w:r w:rsidR="6BAE2B69">
        <w:t xml:space="preserve"> on infection control</w:t>
      </w:r>
      <w:r>
        <w:t xml:space="preserve"> to take</w:t>
      </w:r>
      <w:r w:rsidR="005649A8">
        <w:t xml:space="preserve"> necessary</w:t>
      </w:r>
      <w:r>
        <w:t xml:space="preserve"> action. The Board can use its other regulatory instruments, </w:t>
      </w:r>
      <w:r w:rsidR="00516908">
        <w:t>like</w:t>
      </w:r>
      <w:r>
        <w:t xml:space="preserve"> registration standards, the </w:t>
      </w:r>
      <w:r w:rsidRPr="001D6DE9">
        <w:rPr>
          <w:i/>
          <w:iCs/>
        </w:rPr>
        <w:t xml:space="preserve">Code of </w:t>
      </w:r>
      <w:r w:rsidR="00916D28" w:rsidRPr="001D6DE9">
        <w:rPr>
          <w:i/>
          <w:iCs/>
        </w:rPr>
        <w:t>c</w:t>
      </w:r>
      <w:r w:rsidRPr="001D6DE9">
        <w:rPr>
          <w:i/>
          <w:iCs/>
        </w:rPr>
        <w:t>onduct</w:t>
      </w:r>
      <w:r>
        <w:t xml:space="preserve"> or the BBV </w:t>
      </w:r>
      <w:r w:rsidR="00916D28">
        <w:t>g</w:t>
      </w:r>
      <w:r>
        <w:t xml:space="preserve">uidelines to </w:t>
      </w:r>
      <w:r>
        <w:lastRenderedPageBreak/>
        <w:t xml:space="preserve">support </w:t>
      </w:r>
      <w:r w:rsidR="001F76C4">
        <w:t>regulatory</w:t>
      </w:r>
      <w:r w:rsidR="00D8258A">
        <w:t xml:space="preserve"> action.</w:t>
      </w:r>
      <w:r w:rsidR="00A44F38">
        <w:t xml:space="preserve"> The Board can have regard to other evidence of acceptable practice in the profession</w:t>
      </w:r>
      <w:r w:rsidR="008D10FA">
        <w:t xml:space="preserve">, like practice </w:t>
      </w:r>
      <w:r w:rsidR="003A3975">
        <w:t>guidelines</w:t>
      </w:r>
      <w:r w:rsidR="574998A8">
        <w:t xml:space="preserve"> accepted by the profession</w:t>
      </w:r>
      <w:r w:rsidR="003A3975">
        <w:t xml:space="preserve"> or expert opinions,</w:t>
      </w:r>
      <w:r w:rsidR="00A44F38">
        <w:t xml:space="preserve"> to establish whether a practitioner is practising </w:t>
      </w:r>
      <w:r w:rsidR="00C638EF">
        <w:t>below the expected standard.</w:t>
      </w:r>
      <w:r w:rsidR="00556437">
        <w:t xml:space="preserve"> The Board can refer a practitioner to a performance or health assessment to help it decide whether</w:t>
      </w:r>
      <w:r w:rsidR="008D10FA">
        <w:t xml:space="preserve"> to take</w:t>
      </w:r>
      <w:r w:rsidR="00556437">
        <w:t xml:space="preserve"> </w:t>
      </w:r>
      <w:r w:rsidR="008D10FA">
        <w:t>further action</w:t>
      </w:r>
      <w:r w:rsidR="00556437">
        <w:t>.</w:t>
      </w:r>
    </w:p>
    <w:p w14:paraId="619ECC95" w14:textId="13A5BD91" w:rsidR="001F0AC4" w:rsidRPr="0058250E" w:rsidRDefault="00821B69" w:rsidP="00EB52FD">
      <w:pPr>
        <w:pStyle w:val="AHPRABody0"/>
      </w:pPr>
      <w:r>
        <w:t xml:space="preserve">Dental practitioners </w:t>
      </w:r>
      <w:r w:rsidR="00F51660">
        <w:t>practise in</w:t>
      </w:r>
      <w:r>
        <w:t xml:space="preserve"> broad and varied </w:t>
      </w:r>
      <w:r w:rsidR="00F51660">
        <w:t>ways. The Board does not issue guidelines about</w:t>
      </w:r>
      <w:r w:rsidR="00C638EF">
        <w:t xml:space="preserve"> specific areas of</w:t>
      </w:r>
      <w:r w:rsidR="00F51660">
        <w:t xml:space="preserve"> clinical practice</w:t>
      </w:r>
      <w:r w:rsidR="00C638EF">
        <w:t xml:space="preserve">. This does not stop the Board from </w:t>
      </w:r>
      <w:r w:rsidR="00FA1373">
        <w:t xml:space="preserve">taking action where necessary </w:t>
      </w:r>
      <w:r w:rsidR="00783740">
        <w:t>whe</w:t>
      </w:r>
      <w:r w:rsidR="00CF2653">
        <w:t>n</w:t>
      </w:r>
      <w:r w:rsidR="00783740">
        <w:t xml:space="preserve"> concerns are raised</w:t>
      </w:r>
      <w:r w:rsidR="00FA1373">
        <w:t xml:space="preserve"> about a</w:t>
      </w:r>
      <w:r w:rsidR="000D3A38">
        <w:t xml:space="preserve"> practitioner</w:t>
      </w:r>
      <w:r w:rsidR="003D261F">
        <w:t>.</w:t>
      </w:r>
      <w:r w:rsidR="00EC3E27" w:rsidRPr="00EC3E27">
        <w:rPr>
          <w:lang w:val="en-US"/>
        </w:rPr>
        <w:t xml:space="preserve"> </w:t>
      </w:r>
      <w:r w:rsidR="00EB52FD">
        <w:rPr>
          <w:lang w:val="en-US"/>
        </w:rPr>
        <w:t>Therefore</w:t>
      </w:r>
      <w:r w:rsidR="004B7B72">
        <w:rPr>
          <w:lang w:val="en-US"/>
        </w:rPr>
        <w:t>,</w:t>
      </w:r>
      <w:r w:rsidR="00EB52FD">
        <w:rPr>
          <w:lang w:val="en-US"/>
        </w:rPr>
        <w:t xml:space="preserve"> t</w:t>
      </w:r>
      <w:r w:rsidR="00EC3E27" w:rsidRPr="5D71D411">
        <w:rPr>
          <w:lang w:val="en-US"/>
        </w:rPr>
        <w:t>he Board</w:t>
      </w:r>
      <w:r w:rsidR="00EC3E27">
        <w:rPr>
          <w:lang w:val="en-US"/>
        </w:rPr>
        <w:t xml:space="preserve"> could still</w:t>
      </w:r>
      <w:r w:rsidR="00EC3E27" w:rsidRPr="5D71D411">
        <w:rPr>
          <w:lang w:val="en-US"/>
        </w:rPr>
        <w:t xml:space="preserve"> take action to protect the public if the </w:t>
      </w:r>
      <w:r w:rsidR="004B7B72">
        <w:rPr>
          <w:lang w:val="en-US"/>
        </w:rPr>
        <w:t>g</w:t>
      </w:r>
      <w:r w:rsidR="00EC3E27" w:rsidRPr="5D71D411">
        <w:rPr>
          <w:lang w:val="en-US"/>
        </w:rPr>
        <w:t>uidelines were replaced by supporting resources.</w:t>
      </w:r>
    </w:p>
    <w:p w14:paraId="08608527" w14:textId="6342474C" w:rsidR="005A21B3" w:rsidRPr="00710748" w:rsidRDefault="00710748" w:rsidP="00F45025">
      <w:pPr>
        <w:pStyle w:val="AHPRASubheadinglevel2"/>
      </w:pPr>
      <w:bookmarkStart w:id="75" w:name="_Toc75851508"/>
      <w:bookmarkStart w:id="76" w:name="_Toc75858835"/>
      <w:bookmarkStart w:id="77" w:name="_Toc75858870"/>
      <w:bookmarkStart w:id="78" w:name="_Toc77604598"/>
      <w:r w:rsidRPr="00710748">
        <w:t>F</w:t>
      </w:r>
      <w:r w:rsidR="005A21B3" w:rsidRPr="00710748">
        <w:t>lexibility</w:t>
      </w:r>
      <w:r w:rsidRPr="00710748">
        <w:t xml:space="preserve"> is essential</w:t>
      </w:r>
      <w:r w:rsidR="003D4349">
        <w:t xml:space="preserve"> for providing guidance</w:t>
      </w:r>
      <w:bookmarkEnd w:id="75"/>
      <w:bookmarkEnd w:id="76"/>
      <w:bookmarkEnd w:id="77"/>
      <w:bookmarkEnd w:id="78"/>
    </w:p>
    <w:p w14:paraId="2397C341" w14:textId="4DE16639" w:rsidR="007C0E5E" w:rsidRPr="007C0E5E" w:rsidRDefault="007C0E5E" w:rsidP="00513BDE">
      <w:pPr>
        <w:pStyle w:val="AHPRAbody"/>
      </w:pPr>
      <w:r>
        <w:t xml:space="preserve">In 2020 the COVID-19 pandemic affected dental practitioners </w:t>
      </w:r>
      <w:r w:rsidRPr="00152E8E">
        <w:t>both personally and professionally.</w:t>
      </w:r>
      <w:r w:rsidRPr="007C0E5E">
        <w:t xml:space="preserve"> The pandemic highlighted concerns</w:t>
      </w:r>
      <w:r w:rsidR="00D11556" w:rsidRPr="00D11556">
        <w:t xml:space="preserve"> </w:t>
      </w:r>
      <w:r w:rsidR="00D11556">
        <w:t xml:space="preserve">about </w:t>
      </w:r>
      <w:r w:rsidR="00D11556" w:rsidRPr="007C0E5E">
        <w:t>infection prevention and control</w:t>
      </w:r>
      <w:r w:rsidRPr="007C0E5E">
        <w:t xml:space="preserve"> among dental practitioners </w:t>
      </w:r>
      <w:r w:rsidR="00886929">
        <w:t>and</w:t>
      </w:r>
      <w:r w:rsidRPr="007C0E5E">
        <w:t xml:space="preserve"> the community</w:t>
      </w:r>
      <w:r w:rsidR="00D11556">
        <w:t>.</w:t>
      </w:r>
    </w:p>
    <w:p w14:paraId="102A53DB" w14:textId="73F5DBE9" w:rsidR="007C0E5E" w:rsidRDefault="007C0E5E" w:rsidP="00865254">
      <w:pPr>
        <w:pStyle w:val="AHPRABody0"/>
      </w:pPr>
      <w:r w:rsidRPr="00865254">
        <w:t>National Boards’ and Ahpra’s regulatory response to the pandemic recognised there</w:t>
      </w:r>
      <w:r w:rsidRPr="002A3CCE">
        <w:t xml:space="preserve"> may be a need for practitioners to adjust established procedures to provide appropriate care to patients</w:t>
      </w:r>
      <w:r w:rsidR="000344BA">
        <w:t xml:space="preserve"> in these circumstances</w:t>
      </w:r>
      <w:r>
        <w:t>. The response emphasised the importance of p</w:t>
      </w:r>
      <w:r w:rsidRPr="00B21514">
        <w:t xml:space="preserve">rofessional judgement when resources are limited and demand </w:t>
      </w:r>
      <w:r w:rsidR="004B7B72">
        <w:t xml:space="preserve">is </w:t>
      </w:r>
      <w:r w:rsidRPr="00B21514">
        <w:t>intense</w:t>
      </w:r>
      <w:r>
        <w:t>. Flexible arrangements were adopted</w:t>
      </w:r>
      <w:r w:rsidRPr="00B21514">
        <w:t>, while maintaining patient safety.</w:t>
      </w:r>
      <w:r>
        <w:t xml:space="preserve"> A wide range of resources, information and policies were published on Ahpra’s dedicated </w:t>
      </w:r>
      <w:r w:rsidR="00867755">
        <w:rPr>
          <w:rFonts w:ascii="ZWAdobeF" w:hAnsi="ZWAdobeF" w:cs="ZWAdobeF"/>
          <w:sz w:val="2"/>
          <w:szCs w:val="2"/>
        </w:rPr>
        <w:t>39T</w:t>
      </w:r>
      <w:hyperlink r:id="rId32">
        <w:r>
          <w:rPr>
            <w:rFonts w:ascii="ZWAdobeF" w:hAnsi="ZWAdobeF" w:cs="ZWAdobeF"/>
            <w:sz w:val="2"/>
            <w:szCs w:val="2"/>
          </w:rPr>
          <w:t>40T</w:t>
        </w:r>
        <w:r w:rsidRPr="5FC245D5">
          <w:rPr>
            <w:rStyle w:val="Hyperlink"/>
          </w:rPr>
          <w:t>COVID-19 webpage</w:t>
        </w:r>
      </w:hyperlink>
      <w:r w:rsidRPr="00875B16">
        <w:rPr>
          <w:rStyle w:val="Hyperlink"/>
          <w:rFonts w:ascii="ZWAdobeF" w:hAnsi="ZWAdobeF" w:cs="ZWAdobeF"/>
          <w:color w:val="auto"/>
          <w:sz w:val="2"/>
          <w:szCs w:val="2"/>
          <w:u w:val="none"/>
        </w:rPr>
        <w:t>40T</w:t>
      </w:r>
      <w:r w:rsidR="00867755">
        <w:rPr>
          <w:rStyle w:val="Hyperlink"/>
          <w:rFonts w:ascii="ZWAdobeF" w:hAnsi="ZWAdobeF" w:cs="ZWAdobeF"/>
          <w:color w:val="auto"/>
          <w:sz w:val="2"/>
          <w:szCs w:val="2"/>
          <w:u w:val="none"/>
        </w:rPr>
        <w:t>39T</w:t>
      </w:r>
      <w:r>
        <w:t xml:space="preserve">. </w:t>
      </w:r>
    </w:p>
    <w:p w14:paraId="42DFB7B9" w14:textId="2C202066" w:rsidR="007C0E5E" w:rsidRDefault="007C0E5E" w:rsidP="00513BDE">
      <w:pPr>
        <w:pStyle w:val="AHPRAbody"/>
      </w:pPr>
      <w:r>
        <w:t xml:space="preserve">The Board played an important role in informing registered dental practitioners about </w:t>
      </w:r>
      <w:r w:rsidR="5C05FC8B">
        <w:t xml:space="preserve">governments’ </w:t>
      </w:r>
      <w:r>
        <w:t xml:space="preserve">changing public health </w:t>
      </w:r>
      <w:r w:rsidR="5DD0668E">
        <w:t xml:space="preserve">orders and </w:t>
      </w:r>
      <w:r>
        <w:t xml:space="preserve">restrictions and guiding them to the most authoritative sources of information and government requirements. The Board’s news items directed practitioners towards relevant and topical resources for infection prevention and control. </w:t>
      </w:r>
    </w:p>
    <w:p w14:paraId="7558D26A" w14:textId="3FB5EEE4" w:rsidR="005A21B3" w:rsidRDefault="004A4CFE" w:rsidP="001F2571">
      <w:pPr>
        <w:pStyle w:val="AHPRAbody"/>
      </w:pPr>
      <w:r>
        <w:t>Th</w:t>
      </w:r>
      <w:r w:rsidR="001E2DF5">
        <w:t>e</w:t>
      </w:r>
      <w:r>
        <w:t xml:space="preserve"> </w:t>
      </w:r>
      <w:r w:rsidR="009C7F8E">
        <w:t xml:space="preserve">pandemic has </w:t>
      </w:r>
      <w:r w:rsidR="00C9401C">
        <w:t xml:space="preserve">shown us </w:t>
      </w:r>
      <w:r>
        <w:t xml:space="preserve">the </w:t>
      </w:r>
      <w:r w:rsidR="00866940">
        <w:t>need for</w:t>
      </w:r>
      <w:r>
        <w:t xml:space="preserve"> resources that support practitioner</w:t>
      </w:r>
      <w:r w:rsidR="009C7F8E">
        <w:t>s</w:t>
      </w:r>
      <w:r w:rsidR="000344BA">
        <w:t>’</w:t>
      </w:r>
      <w:r>
        <w:t xml:space="preserve"> self-reflection and </w:t>
      </w:r>
      <w:r w:rsidR="000344BA">
        <w:t xml:space="preserve">exercising </w:t>
      </w:r>
      <w:r>
        <w:t xml:space="preserve">professional </w:t>
      </w:r>
      <w:r w:rsidR="00C9401C">
        <w:t>judgement. This</w:t>
      </w:r>
      <w:r w:rsidR="00866940">
        <w:t xml:space="preserve"> helps them</w:t>
      </w:r>
      <w:r>
        <w:t xml:space="preserve"> to better respond to emerging infection prevention and control issues</w:t>
      </w:r>
      <w:r w:rsidR="00286FD0">
        <w:t xml:space="preserve"> in a range of contexts.</w:t>
      </w:r>
      <w:r w:rsidR="00FE63F5">
        <w:t xml:space="preserve"> Resources such as the fact sheet and self-reflective tool are dynamic and readily adaptable to changing contexts and advances in knowledge. They can be updated more easily than guidelines, which require wide-ranging consultation</w:t>
      </w:r>
      <w:r w:rsidR="00FE63F5" w:rsidRPr="00B024B7">
        <w:t xml:space="preserve"> </w:t>
      </w:r>
      <w:r w:rsidR="00FE63F5">
        <w:t>under the National Law.</w:t>
      </w:r>
    </w:p>
    <w:p w14:paraId="33E67589" w14:textId="586621CB" w:rsidR="00A44E6E" w:rsidRPr="0058250E" w:rsidRDefault="00F24307" w:rsidP="0058250E">
      <w:pPr>
        <w:pStyle w:val="AHPRABody0"/>
        <w:rPr>
          <w:lang w:val="en-US"/>
        </w:rPr>
      </w:pPr>
      <w:r w:rsidRPr="5D71D411">
        <w:rPr>
          <w:lang w:val="en-US"/>
        </w:rPr>
        <w:t xml:space="preserve">Replacing the </w:t>
      </w:r>
      <w:r w:rsidR="004B7B72">
        <w:rPr>
          <w:lang w:val="en-US"/>
        </w:rPr>
        <w:t>g</w:t>
      </w:r>
      <w:r w:rsidRPr="5D71D411">
        <w:rPr>
          <w:lang w:val="en-US"/>
        </w:rPr>
        <w:t xml:space="preserve">uidelines with supporting material allows the Board to maintain information for practitioners and the public that is current, relevant and contextual. </w:t>
      </w:r>
      <w:r>
        <w:rPr>
          <w:lang w:val="en-US"/>
        </w:rPr>
        <w:t xml:space="preserve"> </w:t>
      </w:r>
    </w:p>
    <w:p w14:paraId="242FF3B0" w14:textId="77777777" w:rsidR="003D4349" w:rsidRPr="00710748" w:rsidRDefault="003D4349" w:rsidP="00F45025">
      <w:pPr>
        <w:pStyle w:val="AHPRASubheadinglevel2"/>
      </w:pPr>
      <w:bookmarkStart w:id="79" w:name="_Toc75851510"/>
      <w:bookmarkStart w:id="80" w:name="_Toc75858836"/>
      <w:bookmarkStart w:id="81" w:name="_Toc75858871"/>
      <w:bookmarkStart w:id="82" w:name="_Toc77604599"/>
      <w:r w:rsidRPr="00710748">
        <w:t>The proposal aligns with the principles for review</w:t>
      </w:r>
      <w:bookmarkEnd w:id="79"/>
      <w:bookmarkEnd w:id="80"/>
      <w:bookmarkEnd w:id="81"/>
      <w:bookmarkEnd w:id="82"/>
    </w:p>
    <w:p w14:paraId="34C79B6D" w14:textId="413A6934" w:rsidR="009A36E4" w:rsidRPr="0058250E" w:rsidRDefault="008B30FB" w:rsidP="008B30FB">
      <w:pPr>
        <w:pStyle w:val="AHPRABody0"/>
        <w:rPr>
          <w:lang w:val="en-US"/>
        </w:rPr>
      </w:pPr>
      <w:r w:rsidRPr="0058250E">
        <w:rPr>
          <w:lang w:val="en-US"/>
        </w:rPr>
        <w:t>The preferred option aligns with the principles of the review</w:t>
      </w:r>
      <w:r w:rsidR="009A36E4" w:rsidRPr="0058250E">
        <w:rPr>
          <w:lang w:val="en-US"/>
        </w:rPr>
        <w:t>.</w:t>
      </w:r>
      <w:r w:rsidR="004012FC" w:rsidRPr="0058250E">
        <w:rPr>
          <w:lang w:val="en-US"/>
        </w:rPr>
        <w:t xml:space="preserve"> The proposal:</w:t>
      </w:r>
    </w:p>
    <w:p w14:paraId="75D52B0C" w14:textId="612B3DFA" w:rsidR="004B7B72" w:rsidRDefault="008B30FB" w:rsidP="004012FC">
      <w:pPr>
        <w:pStyle w:val="AHPRABulletlevel1"/>
        <w:rPr>
          <w:lang w:val="en-US"/>
        </w:rPr>
      </w:pPr>
      <w:r w:rsidRPr="460F93E9">
        <w:rPr>
          <w:lang w:val="en-US"/>
        </w:rPr>
        <w:t>promot</w:t>
      </w:r>
      <w:r w:rsidR="004012FC" w:rsidRPr="460F93E9">
        <w:rPr>
          <w:lang w:val="en-US"/>
        </w:rPr>
        <w:t>es</w:t>
      </w:r>
      <w:r w:rsidRPr="460F93E9">
        <w:rPr>
          <w:lang w:val="en-US"/>
        </w:rPr>
        <w:t xml:space="preserve"> a supportive</w:t>
      </w:r>
      <w:r w:rsidR="004012FC" w:rsidRPr="460F93E9">
        <w:rPr>
          <w:lang w:val="en-US"/>
        </w:rPr>
        <w:t xml:space="preserve"> </w:t>
      </w:r>
      <w:r w:rsidRPr="460F93E9">
        <w:rPr>
          <w:lang w:val="en-US"/>
        </w:rPr>
        <w:t>rather than prescriptive approach</w:t>
      </w:r>
      <w:r w:rsidR="0AC58A44" w:rsidRPr="460F93E9">
        <w:rPr>
          <w:lang w:val="en-US"/>
        </w:rPr>
        <w:t xml:space="preserve"> which</w:t>
      </w:r>
      <w:r w:rsidR="56583994" w:rsidRPr="460F93E9">
        <w:rPr>
          <w:lang w:val="en-US"/>
        </w:rPr>
        <w:t>, together with other entities’ guidance on infection control,</w:t>
      </w:r>
      <w:r w:rsidR="0AC58A44" w:rsidRPr="460F93E9">
        <w:rPr>
          <w:lang w:val="en-US"/>
        </w:rPr>
        <w:t xml:space="preserve"> supports </w:t>
      </w:r>
      <w:r w:rsidR="00E93341" w:rsidRPr="460F93E9">
        <w:rPr>
          <w:lang w:val="en-US"/>
        </w:rPr>
        <w:t>practitioners</w:t>
      </w:r>
      <w:r w:rsidR="0AC58A44" w:rsidRPr="460F93E9">
        <w:rPr>
          <w:lang w:val="en-US"/>
        </w:rPr>
        <w:t xml:space="preserve"> to comply with their obligations under the National Law</w:t>
      </w:r>
    </w:p>
    <w:p w14:paraId="5AF187FF" w14:textId="2A0DFDFA" w:rsidR="00091707" w:rsidRPr="0058250E" w:rsidRDefault="009F3559" w:rsidP="004012FC">
      <w:pPr>
        <w:pStyle w:val="AHPRABulletlevel1"/>
        <w:rPr>
          <w:lang w:val="en-US"/>
        </w:rPr>
      </w:pPr>
      <w:r w:rsidRPr="6E0DAB5F">
        <w:rPr>
          <w:lang w:val="en-US"/>
        </w:rPr>
        <w:t xml:space="preserve">is reasonably practicable for individual practitioners, </w:t>
      </w:r>
      <w:r w:rsidR="00091707" w:rsidRPr="6E0DAB5F">
        <w:rPr>
          <w:lang w:val="en-US"/>
        </w:rPr>
        <w:t>b</w:t>
      </w:r>
      <w:r w:rsidR="00ED52B2" w:rsidRPr="6E0DAB5F">
        <w:rPr>
          <w:lang w:val="en-US"/>
        </w:rPr>
        <w:t xml:space="preserve">ecause </w:t>
      </w:r>
      <w:r w:rsidR="00091707" w:rsidRPr="6E0DAB5F">
        <w:rPr>
          <w:lang w:val="en-US"/>
        </w:rPr>
        <w:t>it is no lon</w:t>
      </w:r>
      <w:r w:rsidRPr="6E0DAB5F">
        <w:rPr>
          <w:lang w:val="en-US"/>
        </w:rPr>
        <w:t>g</w:t>
      </w:r>
      <w:r w:rsidR="00091707" w:rsidRPr="6E0DAB5F">
        <w:rPr>
          <w:lang w:val="en-US"/>
        </w:rPr>
        <w:t xml:space="preserve">er </w:t>
      </w:r>
      <w:r w:rsidR="00ED52B2" w:rsidRPr="6E0DAB5F">
        <w:rPr>
          <w:lang w:val="en-US"/>
        </w:rPr>
        <w:t xml:space="preserve">aimed at </w:t>
      </w:r>
      <w:r w:rsidRPr="6E0DAB5F">
        <w:rPr>
          <w:lang w:val="en-US"/>
        </w:rPr>
        <w:t xml:space="preserve">regulating </w:t>
      </w:r>
      <w:r w:rsidR="04E32602" w:rsidRPr="6E0DAB5F">
        <w:rPr>
          <w:lang w:val="en-US"/>
        </w:rPr>
        <w:t xml:space="preserve">aspects of practice that are beyond their control, such as </w:t>
      </w:r>
      <w:r w:rsidR="00B5243F" w:rsidRPr="6E0DAB5F">
        <w:rPr>
          <w:lang w:val="en-US"/>
        </w:rPr>
        <w:t xml:space="preserve">every </w:t>
      </w:r>
      <w:r w:rsidR="00ED52B2" w:rsidRPr="6E0DAB5F">
        <w:rPr>
          <w:lang w:val="en-US"/>
        </w:rPr>
        <w:t xml:space="preserve">place </w:t>
      </w:r>
      <w:r w:rsidRPr="6E0DAB5F">
        <w:rPr>
          <w:lang w:val="en-US"/>
        </w:rPr>
        <w:t>where dental care is provided</w:t>
      </w:r>
      <w:r w:rsidR="00B5243F" w:rsidRPr="6E0DAB5F">
        <w:rPr>
          <w:lang w:val="en-US"/>
        </w:rPr>
        <w:t xml:space="preserve"> and </w:t>
      </w:r>
      <w:r w:rsidR="001F76C4">
        <w:rPr>
          <w:lang w:val="en-US"/>
        </w:rPr>
        <w:t xml:space="preserve">to </w:t>
      </w:r>
      <w:r w:rsidR="00B5243F" w:rsidRPr="6E0DAB5F">
        <w:rPr>
          <w:lang w:val="en-US"/>
        </w:rPr>
        <w:t>all staff</w:t>
      </w:r>
    </w:p>
    <w:p w14:paraId="2EB7991B" w14:textId="35998FA6" w:rsidR="00091707" w:rsidRPr="0058250E" w:rsidRDefault="00091707" w:rsidP="004012FC">
      <w:pPr>
        <w:pStyle w:val="AHPRABulletlevel1"/>
        <w:rPr>
          <w:lang w:val="en-US"/>
        </w:rPr>
      </w:pPr>
      <w:r w:rsidRPr="0058250E">
        <w:rPr>
          <w:lang w:val="en-US"/>
        </w:rPr>
        <w:t>is risk-based</w:t>
      </w:r>
      <w:r w:rsidR="009F3559" w:rsidRPr="0058250E">
        <w:rPr>
          <w:lang w:val="en-US"/>
        </w:rPr>
        <w:t>,</w:t>
      </w:r>
      <w:r w:rsidRPr="0058250E">
        <w:rPr>
          <w:lang w:val="en-US"/>
        </w:rPr>
        <w:t xml:space="preserve"> as it does not impose additional regulation beyond that which is necessary to achieve protection of the public</w:t>
      </w:r>
    </w:p>
    <w:p w14:paraId="7579ABE4" w14:textId="52F57E14" w:rsidR="006169C1" w:rsidRDefault="008B30FB" w:rsidP="004012FC">
      <w:pPr>
        <w:pStyle w:val="AHPRABulletlevel1"/>
        <w:rPr>
          <w:lang w:val="en-US"/>
        </w:rPr>
      </w:pPr>
      <w:r w:rsidRPr="0058250E">
        <w:rPr>
          <w:lang w:val="en-US"/>
        </w:rPr>
        <w:t>reduces unnecessary regulatory duplication</w:t>
      </w:r>
      <w:r w:rsidR="00A90FC3" w:rsidRPr="0058250E">
        <w:rPr>
          <w:lang w:val="en-US"/>
        </w:rPr>
        <w:t>, for example duplication with the</w:t>
      </w:r>
      <w:r w:rsidR="009F3559" w:rsidRPr="0058250E">
        <w:rPr>
          <w:lang w:val="en-US"/>
        </w:rPr>
        <w:t xml:space="preserve"> requirements under the</w:t>
      </w:r>
      <w:r w:rsidR="00A90FC3" w:rsidRPr="0058250E">
        <w:rPr>
          <w:lang w:val="en-US"/>
        </w:rPr>
        <w:t xml:space="preserve"> BBV </w:t>
      </w:r>
      <w:r w:rsidR="004B7B72">
        <w:rPr>
          <w:lang w:val="en-US"/>
        </w:rPr>
        <w:t>g</w:t>
      </w:r>
      <w:r w:rsidR="00A90FC3" w:rsidRPr="0058250E">
        <w:rPr>
          <w:lang w:val="en-US"/>
        </w:rPr>
        <w:t>uidelines</w:t>
      </w:r>
      <w:r w:rsidR="00A46AAB" w:rsidRPr="0058250E">
        <w:rPr>
          <w:lang w:val="en-US"/>
        </w:rPr>
        <w:t xml:space="preserve"> and overlap with the </w:t>
      </w:r>
      <w:r w:rsidR="00A46AAB" w:rsidRPr="001D6DE9">
        <w:rPr>
          <w:i/>
          <w:iCs/>
          <w:lang w:val="en-US"/>
        </w:rPr>
        <w:t>Code of conduct</w:t>
      </w:r>
      <w:r w:rsidR="006169C1">
        <w:rPr>
          <w:lang w:val="en-US"/>
        </w:rPr>
        <w:t>, and</w:t>
      </w:r>
    </w:p>
    <w:p w14:paraId="42B68CFB" w14:textId="6D93B2B6" w:rsidR="008B30FB" w:rsidRPr="008D2D73" w:rsidRDefault="00C761C7" w:rsidP="008D2D73">
      <w:pPr>
        <w:pStyle w:val="AHPRABulletlevel1"/>
        <w:rPr>
          <w:lang w:val="en-US"/>
        </w:rPr>
      </w:pPr>
      <w:r>
        <w:rPr>
          <w:lang w:val="en-US"/>
        </w:rPr>
        <w:t>is developed through an open</w:t>
      </w:r>
      <w:r w:rsidR="00CE62F2">
        <w:rPr>
          <w:lang w:val="en-US"/>
        </w:rPr>
        <w:t>,</w:t>
      </w:r>
      <w:r>
        <w:rPr>
          <w:lang w:val="en-US"/>
        </w:rPr>
        <w:t xml:space="preserve"> transparent and consultative process.</w:t>
      </w:r>
    </w:p>
    <w:p w14:paraId="1C6B5D13" w14:textId="77777777" w:rsidR="00724795" w:rsidRDefault="00724795" w:rsidP="003A164F">
      <w:pPr>
        <w:pStyle w:val="AHPRASubheading"/>
        <w:keepNext/>
      </w:pPr>
      <w:bookmarkStart w:id="83" w:name="_Toc75858837"/>
      <w:bookmarkStart w:id="84" w:name="_Toc77604600"/>
      <w:r>
        <w:t>Options</w:t>
      </w:r>
      <w:bookmarkEnd w:id="83"/>
      <w:bookmarkEnd w:id="84"/>
    </w:p>
    <w:p w14:paraId="393B70D8" w14:textId="2EF2B270" w:rsidR="00724795" w:rsidRPr="001E5280" w:rsidRDefault="00724795" w:rsidP="00004C5B">
      <w:pPr>
        <w:pStyle w:val="AHPRABody0"/>
      </w:pPr>
      <w:r>
        <w:t xml:space="preserve">There are two proposed options as an outcome of the Board’s review of the </w:t>
      </w:r>
      <w:r w:rsidR="004B7B72">
        <w:t>g</w:t>
      </w:r>
      <w:r>
        <w:t xml:space="preserve">uidelines. </w:t>
      </w:r>
    </w:p>
    <w:p w14:paraId="3864F0A0" w14:textId="07614372" w:rsidR="00724795" w:rsidRPr="00210174" w:rsidRDefault="00724795" w:rsidP="00004C5B">
      <w:pPr>
        <w:pStyle w:val="AHPRABody0"/>
      </w:pPr>
      <w:r>
        <w:t>Maintaining the status quo by</w:t>
      </w:r>
      <w:r w:rsidR="004B7B72">
        <w:t xml:space="preserve"> keeping</w:t>
      </w:r>
      <w:r>
        <w:t xml:space="preserve"> the </w:t>
      </w:r>
      <w:r w:rsidR="004B7B72">
        <w:t>g</w:t>
      </w:r>
      <w:r>
        <w:t xml:space="preserve">uidelines without any revisions is not a feasible option. This is due to the length of time the </w:t>
      </w:r>
      <w:r w:rsidR="004B7B72">
        <w:t>g</w:t>
      </w:r>
      <w:r>
        <w:t>uidelines have been in effect without any substantive revision and the misalignment with the principles of the review.</w:t>
      </w:r>
    </w:p>
    <w:p w14:paraId="13700205" w14:textId="773A82DC" w:rsidR="00724795" w:rsidRDefault="00724795" w:rsidP="00724795">
      <w:pPr>
        <w:pStyle w:val="AHPRAbodybold"/>
      </w:pPr>
      <w:bookmarkStart w:id="85" w:name="_Toc56081009"/>
      <w:r>
        <w:t xml:space="preserve">Option 1: </w:t>
      </w:r>
      <w:r w:rsidR="004B7B72">
        <w:t>Keep</w:t>
      </w:r>
      <w:r>
        <w:t xml:space="preserve"> the </w:t>
      </w:r>
      <w:r w:rsidR="004B7B72">
        <w:t>g</w:t>
      </w:r>
      <w:r>
        <w:t>uidelines with revisions to better align with the principles of the review</w:t>
      </w:r>
      <w:bookmarkEnd w:id="85"/>
    </w:p>
    <w:p w14:paraId="4B0A2FC4" w14:textId="193CD5DC" w:rsidR="00724795" w:rsidRDefault="00724795" w:rsidP="00004C5B">
      <w:pPr>
        <w:pStyle w:val="AHPRABody0"/>
      </w:pPr>
      <w:r>
        <w:t xml:space="preserve">Option one is to </w:t>
      </w:r>
      <w:r w:rsidR="004B7B72">
        <w:t>keep</w:t>
      </w:r>
      <w:r>
        <w:t xml:space="preserve"> the </w:t>
      </w:r>
      <w:r w:rsidR="004B7B72">
        <w:t>g</w:t>
      </w:r>
      <w:r>
        <w:t>uidelines with the following revisions:</w:t>
      </w:r>
    </w:p>
    <w:p w14:paraId="60D743A6" w14:textId="04AE6CD1" w:rsidR="00724795" w:rsidRPr="00D35502" w:rsidRDefault="00867755" w:rsidP="00724795">
      <w:pPr>
        <w:pStyle w:val="AHPRABulletlevel1"/>
        <w:rPr>
          <w:rStyle w:val="AHPRAbodyChar"/>
          <w:rFonts w:cs="Times New Roman"/>
          <w:lang w:val="en-US"/>
        </w:rPr>
      </w:pPr>
      <w:r>
        <w:rPr>
          <w:rStyle w:val="AHPRAbodyChar"/>
          <w:rFonts w:ascii="ZWAdobeF" w:hAnsi="ZWAdobeF" w:cs="ZWAdobeF"/>
          <w:sz w:val="2"/>
          <w:szCs w:val="2"/>
        </w:rPr>
        <w:lastRenderedPageBreak/>
        <w:t>0T</w:t>
      </w:r>
      <w:r w:rsidR="00724795">
        <w:rPr>
          <w:rStyle w:val="AHPRAbodyChar"/>
          <w:rFonts w:ascii="ZWAdobeF" w:hAnsi="ZWAdobeF" w:cs="ZWAdobeF"/>
          <w:sz w:val="2"/>
          <w:szCs w:val="2"/>
        </w:rPr>
        <w:t>0T</w:t>
      </w:r>
      <w:r w:rsidR="00724795">
        <w:rPr>
          <w:rStyle w:val="AHPRAbodyChar"/>
        </w:rPr>
        <w:t>better alignment with the principles of the review by:</w:t>
      </w:r>
    </w:p>
    <w:p w14:paraId="3D4B2227" w14:textId="69F99DF0" w:rsidR="00724795" w:rsidRPr="00E92E3F" w:rsidRDefault="00867755" w:rsidP="00724795">
      <w:pPr>
        <w:pStyle w:val="AHPRABulletlevel2"/>
        <w:ind w:left="720" w:hanging="360"/>
      </w:pPr>
      <w:r>
        <w:rPr>
          <w:rStyle w:val="AHPRAbodyChar"/>
          <w:rFonts w:ascii="ZWAdobeF" w:hAnsi="ZWAdobeF" w:cs="ZWAdobeF"/>
          <w:sz w:val="2"/>
          <w:szCs w:val="2"/>
        </w:rPr>
        <w:t>0T</w:t>
      </w:r>
      <w:r w:rsidR="00724795" w:rsidRPr="005D2D2A">
        <w:rPr>
          <w:rStyle w:val="AHPRAbodyChar"/>
          <w:rFonts w:ascii="ZWAdobeF" w:hAnsi="ZWAdobeF" w:cs="ZWAdobeF"/>
          <w:sz w:val="2"/>
          <w:szCs w:val="2"/>
        </w:rPr>
        <w:t>0T</w:t>
      </w:r>
      <w:r>
        <w:rPr>
          <w:rStyle w:val="AHPRAbodyChar"/>
          <w:rFonts w:ascii="ZWAdobeF" w:hAnsi="ZWAdobeF" w:cs="ZWAdobeF"/>
          <w:sz w:val="2"/>
          <w:szCs w:val="2"/>
        </w:rPr>
        <w:t>0T</w:t>
      </w:r>
      <w:r w:rsidR="00724795">
        <w:t xml:space="preserve">streamlining the </w:t>
      </w:r>
      <w:r w:rsidR="00724795" w:rsidRPr="005D2D2A">
        <w:rPr>
          <w:rFonts w:ascii="ZWAdobeF" w:hAnsi="ZWAdobeF" w:cs="ZWAdobeF"/>
          <w:sz w:val="2"/>
          <w:szCs w:val="2"/>
        </w:rPr>
        <w:t>0T</w:t>
      </w:r>
      <w:r>
        <w:rPr>
          <w:rFonts w:ascii="ZWAdobeF" w:hAnsi="ZWAdobeF" w:cs="ZWAdobeF"/>
          <w:sz w:val="2"/>
          <w:szCs w:val="2"/>
        </w:rPr>
        <w:t>0T</w:t>
      </w:r>
      <w:r w:rsidR="00724795" w:rsidRPr="00E92E3F">
        <w:rPr>
          <w:rStyle w:val="AHPRAbodyChar"/>
        </w:rPr>
        <w:t>document</w:t>
      </w:r>
      <w:r w:rsidR="00724795" w:rsidRPr="005D2D2A">
        <w:rPr>
          <w:rStyle w:val="AHPRAbodyChar"/>
          <w:rFonts w:ascii="ZWAdobeF" w:hAnsi="ZWAdobeF" w:cs="ZWAdobeF"/>
          <w:sz w:val="2"/>
          <w:szCs w:val="2"/>
        </w:rPr>
        <w:t>0T</w:t>
      </w:r>
      <w:r>
        <w:rPr>
          <w:rStyle w:val="AHPRAbodyChar"/>
          <w:rFonts w:ascii="ZWAdobeF" w:hAnsi="ZWAdobeF" w:cs="ZWAdobeF"/>
          <w:sz w:val="2"/>
          <w:szCs w:val="2"/>
        </w:rPr>
        <w:t>0T</w:t>
      </w:r>
      <w:r w:rsidR="00724795">
        <w:t xml:space="preserve"> to omit duplication and inconsistency with the</w:t>
      </w:r>
      <w:r w:rsidR="00CA555D">
        <w:t xml:space="preserve"> BBV </w:t>
      </w:r>
      <w:r w:rsidR="004B7B72">
        <w:t>g</w:t>
      </w:r>
      <w:r w:rsidR="00CA555D">
        <w:t>uidelines</w:t>
      </w:r>
      <w:r w:rsidR="00724795">
        <w:t xml:space="preserve"> </w:t>
      </w:r>
    </w:p>
    <w:p w14:paraId="066A0CC3" w14:textId="282CF753" w:rsidR="00724795" w:rsidRDefault="00867755" w:rsidP="00724795">
      <w:pPr>
        <w:pStyle w:val="AHPRABulletlevel2"/>
        <w:ind w:left="720" w:hanging="360"/>
        <w:rPr>
          <w:rStyle w:val="AHPRAbodyChar"/>
        </w:rPr>
      </w:pPr>
      <w:r>
        <w:rPr>
          <w:rStyle w:val="AHPRAbodyChar"/>
          <w:rFonts w:ascii="ZWAdobeF" w:hAnsi="ZWAdobeF" w:cs="ZWAdobeF"/>
          <w:sz w:val="2"/>
          <w:szCs w:val="2"/>
        </w:rPr>
        <w:t>0T</w:t>
      </w:r>
      <w:r w:rsidR="00724795">
        <w:rPr>
          <w:rStyle w:val="AHPRAbodyChar"/>
          <w:rFonts w:ascii="ZWAdobeF" w:hAnsi="ZWAdobeF" w:cs="ZWAdobeF"/>
          <w:sz w:val="2"/>
          <w:szCs w:val="2"/>
        </w:rPr>
        <w:t>0T</w:t>
      </w:r>
      <w:r w:rsidR="00724795">
        <w:rPr>
          <w:rStyle w:val="AHPRAbodyChar"/>
        </w:rPr>
        <w:t>rewording to apply to individual practitioners rather than dental practices</w:t>
      </w:r>
    </w:p>
    <w:p w14:paraId="2D78391B" w14:textId="6018FDA6" w:rsidR="00724795" w:rsidRDefault="00867755" w:rsidP="00724795">
      <w:pPr>
        <w:pStyle w:val="AHPRABulletlevel2"/>
        <w:ind w:left="720" w:hanging="360"/>
        <w:rPr>
          <w:rStyle w:val="AHPRAbodyChar"/>
        </w:rPr>
      </w:pPr>
      <w:r>
        <w:rPr>
          <w:rStyle w:val="AHPRAbodyChar"/>
          <w:rFonts w:ascii="ZWAdobeF" w:hAnsi="ZWAdobeF" w:cs="ZWAdobeF"/>
          <w:sz w:val="2"/>
          <w:szCs w:val="2"/>
        </w:rPr>
        <w:t>0T</w:t>
      </w:r>
      <w:r w:rsidR="00724795" w:rsidRPr="5D71D411">
        <w:rPr>
          <w:rStyle w:val="AHPRAbodyChar"/>
        </w:rPr>
        <w:t xml:space="preserve">removing </w:t>
      </w:r>
      <w:r w:rsidR="00B97ACB">
        <w:rPr>
          <w:rStyle w:val="AHPRAbodyChar"/>
        </w:rPr>
        <w:t xml:space="preserve">material that is not subject to extensive public consultation, </w:t>
      </w:r>
      <w:r w:rsidR="00724795">
        <w:rPr>
          <w:rStyle w:val="AHPRAbodyChar"/>
        </w:rPr>
        <w:t>and</w:t>
      </w:r>
    </w:p>
    <w:p w14:paraId="78339759" w14:textId="4F382B7D" w:rsidR="00724795" w:rsidRPr="008D6973" w:rsidRDefault="00724795" w:rsidP="00724795">
      <w:pPr>
        <w:pStyle w:val="AHPRABulletlevel1last"/>
      </w:pPr>
      <w:r>
        <w:t>updates to web links and style.</w:t>
      </w:r>
    </w:p>
    <w:p w14:paraId="6E4229AA" w14:textId="68418967" w:rsidR="00724795" w:rsidRPr="001E5280" w:rsidRDefault="00724795" w:rsidP="00C06CEB">
      <w:pPr>
        <w:pStyle w:val="AHPRABody0"/>
      </w:pPr>
      <w:r w:rsidRPr="5D71D411">
        <w:rPr>
          <w:lang w:val="en-US"/>
        </w:rPr>
        <w:t>A dra</w:t>
      </w:r>
      <w:r>
        <w:t xml:space="preserve">ft revised version of the </w:t>
      </w:r>
      <w:r w:rsidR="004B7B72">
        <w:t>g</w:t>
      </w:r>
      <w:r>
        <w:t xml:space="preserve">uidelines is available at </w:t>
      </w:r>
      <w:r w:rsidRPr="001D6DE9">
        <w:rPr>
          <w:b/>
          <w:bCs/>
        </w:rPr>
        <w:t>Attachment C</w:t>
      </w:r>
      <w:r>
        <w:t xml:space="preserve">. </w:t>
      </w:r>
    </w:p>
    <w:p w14:paraId="51314020" w14:textId="354131B3" w:rsidR="00724795" w:rsidRDefault="00724795" w:rsidP="00724795">
      <w:pPr>
        <w:pStyle w:val="AHPRAbodybold"/>
      </w:pPr>
      <w:bookmarkStart w:id="86" w:name="_Toc56081010"/>
      <w:r>
        <w:t>Option 2: Replace the</w:t>
      </w:r>
      <w:r>
        <w:rPr>
          <w:i/>
        </w:rPr>
        <w:t xml:space="preserve"> </w:t>
      </w:r>
      <w:r w:rsidR="004B7B72">
        <w:t>g</w:t>
      </w:r>
      <w:r w:rsidRPr="00F0257B">
        <w:t>uidelines</w:t>
      </w:r>
      <w:bookmarkEnd w:id="86"/>
      <w:r>
        <w:t xml:space="preserve"> with other supporting resources</w:t>
      </w:r>
    </w:p>
    <w:p w14:paraId="6975E610" w14:textId="0B36CB53" w:rsidR="00724795" w:rsidRPr="00BB24C6" w:rsidRDefault="00724795" w:rsidP="00C06CEB">
      <w:pPr>
        <w:pStyle w:val="AHPRABody0"/>
        <w:rPr>
          <w:lang w:val="en-US"/>
        </w:rPr>
      </w:pPr>
      <w:r w:rsidRPr="5D71D411">
        <w:rPr>
          <w:lang w:val="en-US"/>
        </w:rPr>
        <w:t>This option involves:</w:t>
      </w:r>
    </w:p>
    <w:p w14:paraId="6B07D6DE" w14:textId="7832E587" w:rsidR="00724795" w:rsidRPr="005A132A" w:rsidRDefault="00724795" w:rsidP="00724795">
      <w:pPr>
        <w:pStyle w:val="AHPRABulletlevel1"/>
        <w:rPr>
          <w:szCs w:val="20"/>
          <w:lang w:val="en-US"/>
        </w:rPr>
      </w:pPr>
      <w:r>
        <w:rPr>
          <w:lang w:val="en-US"/>
        </w:rPr>
        <w:t xml:space="preserve">the retirement of the </w:t>
      </w:r>
      <w:r w:rsidRPr="001D6DE9">
        <w:rPr>
          <w:i/>
          <w:iCs/>
          <w:lang w:val="en-US"/>
        </w:rPr>
        <w:t>Guidelines</w:t>
      </w:r>
      <w:r w:rsidR="004B7B72" w:rsidRPr="001D6DE9">
        <w:rPr>
          <w:i/>
          <w:iCs/>
          <w:lang w:val="en-US"/>
        </w:rPr>
        <w:t xml:space="preserve"> on infection control</w:t>
      </w:r>
      <w:r>
        <w:rPr>
          <w:lang w:val="en-US"/>
        </w:rPr>
        <w:t xml:space="preserve"> </w:t>
      </w:r>
    </w:p>
    <w:p w14:paraId="294DF556" w14:textId="3A529CB3" w:rsidR="00643D00" w:rsidRDefault="00643D00" w:rsidP="00724795">
      <w:pPr>
        <w:pStyle w:val="AHPRABulletlevel1"/>
        <w:rPr>
          <w:lang w:val="en-US"/>
        </w:rPr>
      </w:pPr>
      <w:r>
        <w:rPr>
          <w:lang w:val="en-US"/>
        </w:rPr>
        <w:t>revis</w:t>
      </w:r>
      <w:r w:rsidR="00810DDE">
        <w:rPr>
          <w:lang w:val="en-US"/>
        </w:rPr>
        <w:t xml:space="preserve">ing </w:t>
      </w:r>
      <w:r>
        <w:rPr>
          <w:lang w:val="en-US"/>
        </w:rPr>
        <w:t>the</w:t>
      </w:r>
      <w:r w:rsidRPr="00643D00">
        <w:rPr>
          <w:lang w:val="en-US"/>
        </w:rPr>
        <w:t xml:space="preserve"> </w:t>
      </w:r>
      <w:r w:rsidRPr="591FC218">
        <w:rPr>
          <w:lang w:val="en-US"/>
        </w:rPr>
        <w:t>Board’s fact sheet on infection prevention and contro</w:t>
      </w:r>
      <w:r w:rsidR="00194C88">
        <w:rPr>
          <w:lang w:val="en-US"/>
        </w:rPr>
        <w:t>l</w:t>
      </w:r>
      <w:r w:rsidR="00210B55">
        <w:rPr>
          <w:lang w:val="en-US"/>
        </w:rPr>
        <w:t>, and</w:t>
      </w:r>
    </w:p>
    <w:p w14:paraId="5121D180" w14:textId="77777777" w:rsidR="00194C88" w:rsidRDefault="00643D00" w:rsidP="00194C88">
      <w:pPr>
        <w:pStyle w:val="AHPRABulletlevel1last"/>
        <w:rPr>
          <w:lang w:val="en-US"/>
        </w:rPr>
      </w:pPr>
      <w:r>
        <w:rPr>
          <w:lang w:val="en-US"/>
        </w:rPr>
        <w:t>publishing a</w:t>
      </w:r>
      <w:r w:rsidR="00724795" w:rsidRPr="00676FD9">
        <w:rPr>
          <w:lang w:val="en-US"/>
        </w:rPr>
        <w:t xml:space="preserve"> self-</w:t>
      </w:r>
      <w:r w:rsidR="00724795" w:rsidRPr="00FC304D">
        <w:rPr>
          <w:lang w:val="en-US"/>
        </w:rPr>
        <w:t>reflective</w:t>
      </w:r>
      <w:r w:rsidR="00724795" w:rsidRPr="00676FD9">
        <w:rPr>
          <w:lang w:val="en-US"/>
        </w:rPr>
        <w:t xml:space="preserve"> tool </w:t>
      </w:r>
      <w:r>
        <w:rPr>
          <w:lang w:val="en-US"/>
        </w:rPr>
        <w:t xml:space="preserve">to </w:t>
      </w:r>
      <w:r w:rsidR="00724795" w:rsidRPr="00676FD9">
        <w:rPr>
          <w:lang w:val="en-US"/>
        </w:rPr>
        <w:t>replace the Board’s self-audit checklist.</w:t>
      </w:r>
      <w:r w:rsidR="00724795">
        <w:rPr>
          <w:lang w:val="en-US"/>
        </w:rPr>
        <w:t xml:space="preserve"> </w:t>
      </w:r>
    </w:p>
    <w:p w14:paraId="705120AC" w14:textId="7BE7EE9E" w:rsidR="00724795" w:rsidRDefault="00194C88" w:rsidP="00194C88">
      <w:pPr>
        <w:pStyle w:val="AHPRABody0"/>
        <w:rPr>
          <w:lang w:val="en-US"/>
        </w:rPr>
      </w:pPr>
      <w:r w:rsidRPr="591FC218">
        <w:rPr>
          <w:lang w:val="en-US"/>
        </w:rPr>
        <w:t xml:space="preserve">A draft revised fact sheet is available at </w:t>
      </w:r>
      <w:r w:rsidRPr="001D6DE9">
        <w:rPr>
          <w:b/>
          <w:bCs/>
          <w:lang w:val="en-US"/>
        </w:rPr>
        <w:t>Attachment D</w:t>
      </w:r>
      <w:r>
        <w:rPr>
          <w:lang w:val="en-US"/>
        </w:rPr>
        <w:t xml:space="preserve">. </w:t>
      </w:r>
      <w:r w:rsidR="00724795" w:rsidRPr="006B44A6">
        <w:rPr>
          <w:lang w:val="en-US"/>
        </w:rPr>
        <w:t xml:space="preserve">A draft self-reflective tool is available at </w:t>
      </w:r>
      <w:r w:rsidR="00724795" w:rsidRPr="001D6DE9">
        <w:rPr>
          <w:b/>
          <w:bCs/>
          <w:lang w:val="en-US"/>
        </w:rPr>
        <w:t xml:space="preserve">Attachment </w:t>
      </w:r>
      <w:r w:rsidR="00643D00" w:rsidRPr="001D6DE9">
        <w:rPr>
          <w:b/>
          <w:bCs/>
          <w:lang w:val="en-US"/>
        </w:rPr>
        <w:t>E</w:t>
      </w:r>
      <w:r w:rsidR="00643D00" w:rsidRPr="00194C88">
        <w:rPr>
          <w:lang w:val="en-US"/>
        </w:rPr>
        <w:t>.</w:t>
      </w:r>
      <w:r w:rsidRPr="00194C88">
        <w:rPr>
          <w:lang w:val="en-US"/>
        </w:rPr>
        <w:t xml:space="preserve"> </w:t>
      </w:r>
      <w:r w:rsidR="00D025B5">
        <w:rPr>
          <w:lang w:val="en-US"/>
        </w:rPr>
        <w:t>F</w:t>
      </w:r>
      <w:r w:rsidR="006F1F30">
        <w:rPr>
          <w:lang w:val="en-US"/>
        </w:rPr>
        <w:t xml:space="preserve">ollowing public consultation, </w:t>
      </w:r>
      <w:r w:rsidR="004E69AD">
        <w:rPr>
          <w:lang w:val="en-US"/>
        </w:rPr>
        <w:t xml:space="preserve">the self-reflective tool would also go through a user testing phase, to </w:t>
      </w:r>
      <w:r w:rsidR="00D025B5">
        <w:rPr>
          <w:lang w:val="en-US"/>
        </w:rPr>
        <w:t>refine the tool and ensure it is fit for purpose.</w:t>
      </w:r>
    </w:p>
    <w:p w14:paraId="114F74ED" w14:textId="77777777" w:rsidR="00724795" w:rsidRDefault="00724795" w:rsidP="00724795">
      <w:pPr>
        <w:pStyle w:val="AHPRASubheading"/>
      </w:pPr>
      <w:bookmarkStart w:id="87" w:name="_Toc56081011"/>
      <w:bookmarkStart w:id="88" w:name="_Toc75858838"/>
      <w:bookmarkStart w:id="89" w:name="_Toc77604601"/>
      <w:r>
        <w:t>Preferred option</w:t>
      </w:r>
      <w:bookmarkEnd w:id="87"/>
      <w:bookmarkEnd w:id="88"/>
      <w:bookmarkEnd w:id="89"/>
    </w:p>
    <w:p w14:paraId="304570EE" w14:textId="211C6E7B" w:rsidR="00724795" w:rsidRPr="00D27F09" w:rsidRDefault="00724795" w:rsidP="00C06CEB">
      <w:pPr>
        <w:pStyle w:val="AHPRABody0"/>
      </w:pPr>
      <w:r w:rsidRPr="5D71D411">
        <w:rPr>
          <w:lang w:val="en-US"/>
        </w:rPr>
        <w:t>The Bo</w:t>
      </w:r>
      <w:r>
        <w:t xml:space="preserve">ard’s preferred option is </w:t>
      </w:r>
      <w:r w:rsidRPr="5D71D411">
        <w:rPr>
          <w:b/>
          <w:bCs/>
        </w:rPr>
        <w:t>option 2</w:t>
      </w:r>
      <w:r>
        <w:t xml:space="preserve">, to replace the </w:t>
      </w:r>
      <w:r w:rsidR="005B0D39">
        <w:t>g</w:t>
      </w:r>
      <w:r>
        <w:t xml:space="preserve">uidelines with other supporting resources. </w:t>
      </w:r>
    </w:p>
    <w:p w14:paraId="085A4FB1" w14:textId="044BBAED" w:rsidR="00731E3C" w:rsidRDefault="005E5E12" w:rsidP="005C4E40">
      <w:pPr>
        <w:pStyle w:val="AHPRASubheading"/>
      </w:pPr>
      <w:bookmarkStart w:id="90" w:name="_Toc75858839"/>
      <w:bookmarkStart w:id="91" w:name="_Toc77604602"/>
      <w:r>
        <w:t xml:space="preserve">Estimated impacts of replacing </w:t>
      </w:r>
      <w:r w:rsidR="005B0D39">
        <w:t>the g</w:t>
      </w:r>
      <w:r>
        <w:t>uidelines with other resources</w:t>
      </w:r>
      <w:bookmarkEnd w:id="90"/>
      <w:bookmarkEnd w:id="91"/>
      <w:r w:rsidR="00596446">
        <w:t xml:space="preserve"> </w:t>
      </w:r>
    </w:p>
    <w:p w14:paraId="23D93CDA" w14:textId="4BC2E7E2" w:rsidR="00D656B5" w:rsidRPr="00F15155" w:rsidRDefault="002D0D70" w:rsidP="00F74CFF">
      <w:pPr>
        <w:pStyle w:val="AHPRABody0"/>
      </w:pPr>
      <w:r w:rsidRPr="00F15155">
        <w:t xml:space="preserve">The Board estimates that the impact of replacing the </w:t>
      </w:r>
      <w:r w:rsidR="005B0D39">
        <w:t>g</w:t>
      </w:r>
      <w:r w:rsidRPr="00F15155">
        <w:t xml:space="preserve">uidelines with </w:t>
      </w:r>
      <w:r w:rsidR="000344BA">
        <w:t>additional</w:t>
      </w:r>
      <w:r w:rsidR="000344BA" w:rsidRPr="00F15155">
        <w:t xml:space="preserve"> </w:t>
      </w:r>
      <w:r w:rsidRPr="00F15155">
        <w:t xml:space="preserve">resources is likely to be minimal. </w:t>
      </w:r>
      <w:r w:rsidR="00D656B5" w:rsidRPr="00F15155">
        <w:t>The Board carefully considered the possible</w:t>
      </w:r>
      <w:r w:rsidR="009E7D2D">
        <w:t xml:space="preserve"> consequences </w:t>
      </w:r>
      <w:r w:rsidR="00D656B5" w:rsidRPr="00F15155">
        <w:t xml:space="preserve">of replacing the </w:t>
      </w:r>
      <w:r w:rsidR="005B0D39">
        <w:t>g</w:t>
      </w:r>
      <w:r w:rsidR="00D656B5" w:rsidRPr="00F15155">
        <w:t>uidelines with other resources, including the</w:t>
      </w:r>
      <w:r w:rsidR="009E7D2D">
        <w:t xml:space="preserve"> effect on</w:t>
      </w:r>
      <w:r w:rsidR="00D656B5" w:rsidRPr="00F15155">
        <w:t>:</w:t>
      </w:r>
    </w:p>
    <w:p w14:paraId="5D27DDBE" w14:textId="03C72D5B" w:rsidR="004C7068" w:rsidRPr="00F15155" w:rsidRDefault="004C7068" w:rsidP="00D656B5">
      <w:pPr>
        <w:pStyle w:val="AHPRABulletlevel1"/>
      </w:pPr>
      <w:r w:rsidRPr="00F15155">
        <w:t xml:space="preserve">knowledge and awareness </w:t>
      </w:r>
    </w:p>
    <w:p w14:paraId="0E79596D" w14:textId="702F2DAD" w:rsidR="00D656B5" w:rsidRPr="00F15155" w:rsidRDefault="00D656B5" w:rsidP="004C7068">
      <w:pPr>
        <w:pStyle w:val="AHPRABulletlevel1"/>
      </w:pPr>
      <w:r w:rsidRPr="00F15155">
        <w:t>patient safety</w:t>
      </w:r>
    </w:p>
    <w:p w14:paraId="271B5B49" w14:textId="39512D2A" w:rsidR="00D656B5" w:rsidRPr="00F15155" w:rsidRDefault="00D656B5" w:rsidP="00D656B5">
      <w:pPr>
        <w:pStyle w:val="AHPRABulletlevel1"/>
      </w:pPr>
      <w:r w:rsidRPr="00F15155">
        <w:t>regulatory effectiveness</w:t>
      </w:r>
    </w:p>
    <w:p w14:paraId="1F7C4E8D" w14:textId="7A3E86B6" w:rsidR="00D656B5" w:rsidRDefault="00D656B5" w:rsidP="00D656B5">
      <w:pPr>
        <w:pStyle w:val="AHPRABulletlevel1"/>
      </w:pPr>
      <w:r w:rsidRPr="00F15155">
        <w:t>practic</w:t>
      </w:r>
      <w:r w:rsidR="003B72BE">
        <w:t>e</w:t>
      </w:r>
      <w:r w:rsidR="000B2F5F">
        <w:t>, and</w:t>
      </w:r>
    </w:p>
    <w:p w14:paraId="3F72D856" w14:textId="2FD2F33A" w:rsidR="000B2F5F" w:rsidRPr="00F15155" w:rsidRDefault="000B2F5F" w:rsidP="000B2F5F">
      <w:pPr>
        <w:pStyle w:val="AHPRABulletlevel1"/>
      </w:pPr>
      <w:r>
        <w:t>cost.</w:t>
      </w:r>
    </w:p>
    <w:p w14:paraId="23AFBC81" w14:textId="77777777" w:rsidR="00D656B5" w:rsidRPr="00643D00" w:rsidRDefault="00D656B5" w:rsidP="0058250E">
      <w:pPr>
        <w:pStyle w:val="AHPRABulletlevel1"/>
        <w:numPr>
          <w:ilvl w:val="0"/>
          <w:numId w:val="0"/>
        </w:numPr>
        <w:ind w:left="369" w:hanging="369"/>
        <w:rPr>
          <w:highlight w:val="yellow"/>
        </w:rPr>
      </w:pPr>
    </w:p>
    <w:p w14:paraId="1C7B51A6" w14:textId="0F469502" w:rsidR="00F74CFF" w:rsidRDefault="00266C25" w:rsidP="00F74CFF">
      <w:pPr>
        <w:pStyle w:val="AHPRABody0"/>
      </w:pPr>
      <w:r>
        <w:t xml:space="preserve">There are no identified impacts on the labour market or </w:t>
      </w:r>
      <w:r w:rsidR="005B0D39">
        <w:t xml:space="preserve">on </w:t>
      </w:r>
      <w:r>
        <w:t xml:space="preserve">competition </w:t>
      </w:r>
      <w:r w:rsidR="005B0D39">
        <w:t>within the dental healthcare sector</w:t>
      </w:r>
      <w:r>
        <w:t xml:space="preserve">. </w:t>
      </w:r>
    </w:p>
    <w:p w14:paraId="4830666F" w14:textId="21CF2148" w:rsidR="00F15155" w:rsidRPr="003E28E6" w:rsidRDefault="000140B6" w:rsidP="00F15155">
      <w:pPr>
        <w:pStyle w:val="AHPRABody0"/>
        <w:rPr>
          <w:lang w:val="en-US"/>
        </w:rPr>
      </w:pPr>
      <w:r w:rsidRPr="6E0DAB5F">
        <w:rPr>
          <w:lang w:val="en-US"/>
        </w:rPr>
        <w:t>If the Board’s preferred option is</w:t>
      </w:r>
      <w:r w:rsidR="3DEFA322" w:rsidRPr="6E0DAB5F">
        <w:rPr>
          <w:lang w:val="en-US"/>
        </w:rPr>
        <w:t xml:space="preserve"> adopted as</w:t>
      </w:r>
      <w:r w:rsidRPr="6E0DAB5F">
        <w:rPr>
          <w:lang w:val="en-US"/>
        </w:rPr>
        <w:t xml:space="preserve"> the outcome of the review, it </w:t>
      </w:r>
      <w:r w:rsidR="00F15155" w:rsidRPr="6E0DAB5F">
        <w:rPr>
          <w:lang w:val="en-US"/>
        </w:rPr>
        <w:t xml:space="preserve">will be monitored and evaluated by measuring practitioner levels of engagement with and reach of supporting resources as well as continued regular oversight of notifications </w:t>
      </w:r>
      <w:r w:rsidR="00787D27" w:rsidRPr="6E0DAB5F">
        <w:rPr>
          <w:lang w:val="en-US"/>
        </w:rPr>
        <w:t>about</w:t>
      </w:r>
      <w:r w:rsidR="00F15155" w:rsidRPr="6E0DAB5F">
        <w:rPr>
          <w:lang w:val="en-US"/>
        </w:rPr>
        <w:t xml:space="preserve"> infection prevention and control issues</w:t>
      </w:r>
      <w:r w:rsidR="00A363A8" w:rsidRPr="6E0DAB5F">
        <w:rPr>
          <w:lang w:val="en-US"/>
        </w:rPr>
        <w:t>. We will</w:t>
      </w:r>
      <w:r w:rsidR="005B1A37" w:rsidRPr="6E0DAB5F">
        <w:rPr>
          <w:lang w:val="en-US"/>
        </w:rPr>
        <w:t xml:space="preserve"> </w:t>
      </w:r>
      <w:r w:rsidR="00A363A8" w:rsidRPr="6E0DAB5F">
        <w:rPr>
          <w:lang w:val="en-US"/>
        </w:rPr>
        <w:t xml:space="preserve">monitor </w:t>
      </w:r>
      <w:r w:rsidR="005B1A37" w:rsidRPr="6E0DAB5F">
        <w:rPr>
          <w:lang w:val="en-US"/>
        </w:rPr>
        <w:t xml:space="preserve">whether there are changes in </w:t>
      </w:r>
      <w:r w:rsidR="000344BA">
        <w:rPr>
          <w:lang w:val="en-US"/>
        </w:rPr>
        <w:t>how</w:t>
      </w:r>
      <w:r w:rsidR="005B1A37" w:rsidRPr="6E0DAB5F">
        <w:rPr>
          <w:lang w:val="en-US"/>
        </w:rPr>
        <w:t xml:space="preserve"> the Board </w:t>
      </w:r>
      <w:r w:rsidR="00325894" w:rsidRPr="6E0DAB5F">
        <w:rPr>
          <w:lang w:val="en-US"/>
        </w:rPr>
        <w:t>investigates and responds to concerns about infection prevention and control</w:t>
      </w:r>
      <w:r w:rsidR="00F15155" w:rsidRPr="6E0DAB5F">
        <w:rPr>
          <w:lang w:val="en-US"/>
        </w:rPr>
        <w:t>.</w:t>
      </w:r>
      <w:r w:rsidR="005B1A37" w:rsidRPr="6E0DAB5F">
        <w:rPr>
          <w:lang w:val="en-US"/>
        </w:rPr>
        <w:t xml:space="preserve"> </w:t>
      </w:r>
      <w:r w:rsidR="00D224C9" w:rsidRPr="6E0DAB5F">
        <w:rPr>
          <w:lang w:val="en-US"/>
        </w:rPr>
        <w:t xml:space="preserve">This will help us measure the </w:t>
      </w:r>
      <w:r w:rsidR="000344BA">
        <w:rPr>
          <w:lang w:val="en-US"/>
        </w:rPr>
        <w:t>effectiveness</w:t>
      </w:r>
      <w:r w:rsidR="000344BA" w:rsidRPr="6E0DAB5F">
        <w:rPr>
          <w:lang w:val="en-US"/>
        </w:rPr>
        <w:t xml:space="preserve"> </w:t>
      </w:r>
      <w:r w:rsidR="00D224C9" w:rsidRPr="6E0DAB5F">
        <w:rPr>
          <w:lang w:val="en-US"/>
        </w:rPr>
        <w:t>of the Board’s changes</w:t>
      </w:r>
      <w:r w:rsidR="005B0D39">
        <w:rPr>
          <w:lang w:val="en-US"/>
        </w:rPr>
        <w:t xml:space="preserve"> to ensure there are no unintended consequences</w:t>
      </w:r>
      <w:r w:rsidR="00E5714F" w:rsidRPr="6E0DAB5F">
        <w:rPr>
          <w:lang w:val="en-US"/>
        </w:rPr>
        <w:t>.</w:t>
      </w:r>
    </w:p>
    <w:p w14:paraId="11C46D9F" w14:textId="2EB88E97" w:rsidR="005C2DD3" w:rsidRPr="003E28E6" w:rsidRDefault="005C2DD3" w:rsidP="003E28E6">
      <w:pPr>
        <w:pStyle w:val="AHPRASubheadinglevel2"/>
      </w:pPr>
      <w:bookmarkStart w:id="92" w:name="_Toc77604603"/>
      <w:r w:rsidRPr="003E28E6">
        <w:t>Knowledge and awareness</w:t>
      </w:r>
      <w:bookmarkEnd w:id="92"/>
    </w:p>
    <w:p w14:paraId="1B71C353" w14:textId="223C796F" w:rsidR="00B931DB" w:rsidRDefault="008C546F" w:rsidP="003E28E6">
      <w:pPr>
        <w:pStyle w:val="AHPRABody0"/>
      </w:pPr>
      <w:r>
        <w:t>Dental practitioners, other stakeholders, Ahpra and National Boards will need to become familiar with the new and revised supporting resources</w:t>
      </w:r>
      <w:r w:rsidR="006A7C5F">
        <w:t>. Practitioners will need</w:t>
      </w:r>
      <w:r>
        <w:t xml:space="preserve"> </w:t>
      </w:r>
      <w:r w:rsidR="006A7C5F">
        <w:t xml:space="preserve">to </w:t>
      </w:r>
      <w:r>
        <w:t>understand th</w:t>
      </w:r>
      <w:r w:rsidR="008836E8">
        <w:t>eir overarching obligations to practise safely</w:t>
      </w:r>
      <w:r>
        <w:t xml:space="preserve">. </w:t>
      </w:r>
      <w:r w:rsidR="00A919EA">
        <w:t>Importantly, there are no new obligations being imposed and the</w:t>
      </w:r>
      <w:r w:rsidR="00184AF9">
        <w:t xml:space="preserve"> need</w:t>
      </w:r>
      <w:r w:rsidR="00A919EA">
        <w:t xml:space="preserve"> </w:t>
      </w:r>
      <w:r w:rsidR="00414639">
        <w:t>to practi</w:t>
      </w:r>
      <w:r w:rsidR="005B0D39">
        <w:t>s</w:t>
      </w:r>
      <w:r w:rsidR="00414639">
        <w:t xml:space="preserve">e </w:t>
      </w:r>
      <w:r w:rsidR="003E28E6">
        <w:t xml:space="preserve">safely, </w:t>
      </w:r>
      <w:r w:rsidR="00414639">
        <w:t>in a way that minimises the risk of spread of infection</w:t>
      </w:r>
      <w:r w:rsidR="00E5714F">
        <w:t>,</w:t>
      </w:r>
      <w:r w:rsidR="00414639">
        <w:t xml:space="preserve"> </w:t>
      </w:r>
      <w:r w:rsidR="00E5714F">
        <w:t xml:space="preserve">is </w:t>
      </w:r>
      <w:r w:rsidR="00A919EA">
        <w:t>not changing</w:t>
      </w:r>
      <w:r w:rsidR="009F6099">
        <w:t xml:space="preserve">. </w:t>
      </w:r>
    </w:p>
    <w:p w14:paraId="1E91E3A4" w14:textId="2251D1D2" w:rsidR="008C546F" w:rsidRPr="003E28E6" w:rsidRDefault="008C546F" w:rsidP="003E28E6">
      <w:pPr>
        <w:pStyle w:val="AHPRABody0"/>
      </w:pPr>
      <w:r w:rsidRPr="003E28E6">
        <w:t xml:space="preserve">If the </w:t>
      </w:r>
      <w:r w:rsidR="005B0D39">
        <w:t>g</w:t>
      </w:r>
      <w:r w:rsidRPr="003E28E6">
        <w:t xml:space="preserve">uidelines are replaced with supporting resources, the Board and Ahpra will ensure that practitioners and other stakeholders are </w:t>
      </w:r>
      <w:r w:rsidR="00C773C1">
        <w:t>advised</w:t>
      </w:r>
      <w:r w:rsidRPr="003E28E6">
        <w:t xml:space="preserve"> of the changes before they take effect</w:t>
      </w:r>
      <w:r w:rsidR="005B0D39">
        <w:t>. H</w:t>
      </w:r>
      <w:r w:rsidRPr="003E28E6">
        <w:t>owever</w:t>
      </w:r>
      <w:r w:rsidR="005B0D39">
        <w:t>,</w:t>
      </w:r>
      <w:r w:rsidRPr="003E28E6">
        <w:t xml:space="preserve"> as the substantive requirements to practise safely do not change, the impact is negligible.</w:t>
      </w:r>
    </w:p>
    <w:p w14:paraId="5B88A9BA" w14:textId="1635FC5C" w:rsidR="00E5714F" w:rsidRDefault="003E28E6" w:rsidP="00E5714F">
      <w:pPr>
        <w:pStyle w:val="AHPRABody0"/>
      </w:pPr>
      <w:r w:rsidRPr="003E28E6">
        <w:t xml:space="preserve">The Board’s use of guided self-reflective documents has </w:t>
      </w:r>
      <w:r w:rsidR="00834C49">
        <w:t xml:space="preserve">increased </w:t>
      </w:r>
      <w:r w:rsidR="00F53A6E">
        <w:t>over the past 12 months. There is scope for the Board to provide further instructions</w:t>
      </w:r>
      <w:r w:rsidR="00787D27">
        <w:t xml:space="preserve"> during implementation</w:t>
      </w:r>
      <w:r w:rsidR="00F53A6E">
        <w:t xml:space="preserve"> </w:t>
      </w:r>
      <w:r w:rsidR="00787D27">
        <w:t>t</w:t>
      </w:r>
      <w:r w:rsidR="003C6B25">
        <w:t>o ensure practitioner</w:t>
      </w:r>
      <w:r w:rsidR="00E5714F">
        <w:t xml:space="preserve">s are </w:t>
      </w:r>
      <w:r w:rsidR="00D57F1B">
        <w:t xml:space="preserve">aware of how to use these tools to </w:t>
      </w:r>
      <w:r w:rsidR="005D515C">
        <w:t>reflect on their practice.</w:t>
      </w:r>
      <w:r w:rsidR="00E5714F">
        <w:t xml:space="preserve"> </w:t>
      </w:r>
    </w:p>
    <w:p w14:paraId="1FFDE984" w14:textId="6DCC8EA1" w:rsidR="005C2DD3" w:rsidRPr="003C6B25" w:rsidRDefault="005C2DD3" w:rsidP="00867755">
      <w:pPr>
        <w:pStyle w:val="AHPRASubheadinglevel2"/>
        <w:keepNext/>
        <w:rPr>
          <w:lang w:val="en-US"/>
        </w:rPr>
      </w:pPr>
      <w:bookmarkStart w:id="93" w:name="_Toc77604604"/>
      <w:r w:rsidRPr="460F93E9">
        <w:rPr>
          <w:lang w:val="en-US"/>
        </w:rPr>
        <w:lastRenderedPageBreak/>
        <w:t>Patient safety</w:t>
      </w:r>
      <w:bookmarkEnd w:id="93"/>
    </w:p>
    <w:p w14:paraId="26620DD0" w14:textId="37EB2D85" w:rsidR="008A2745" w:rsidRDefault="005C2DD3" w:rsidP="005C2DD3">
      <w:pPr>
        <w:pStyle w:val="AHPRABody0"/>
        <w:rPr>
          <w:lang w:val="en-US"/>
        </w:rPr>
      </w:pPr>
      <w:r w:rsidRPr="003C6B25">
        <w:rPr>
          <w:lang w:val="en-US"/>
        </w:rPr>
        <w:t>The Board believes the proposed changes would not adversely affect patient or consumer safety, or the safety of vulnerable groups.</w:t>
      </w:r>
      <w:r w:rsidR="003C6B25">
        <w:rPr>
          <w:lang w:val="en-US"/>
        </w:rPr>
        <w:t xml:space="preserve"> </w:t>
      </w:r>
      <w:r w:rsidR="00405944">
        <w:rPr>
          <w:lang w:val="en-US"/>
        </w:rPr>
        <w:t xml:space="preserve">On the contrary, removing the </w:t>
      </w:r>
      <w:r w:rsidR="005B0D39">
        <w:rPr>
          <w:lang w:val="en-US"/>
        </w:rPr>
        <w:t>g</w:t>
      </w:r>
      <w:r w:rsidR="00405944">
        <w:rPr>
          <w:lang w:val="en-US"/>
        </w:rPr>
        <w:t xml:space="preserve">uidelines affords practitioners a degree of flexibility to provide appropriate care </w:t>
      </w:r>
      <w:r w:rsidR="00BC5BCA">
        <w:rPr>
          <w:lang w:val="en-US"/>
        </w:rPr>
        <w:t>regard</w:t>
      </w:r>
      <w:r w:rsidR="00F56DC5">
        <w:rPr>
          <w:lang w:val="en-US"/>
        </w:rPr>
        <w:t>ing</w:t>
      </w:r>
      <w:r w:rsidR="00BC5BCA">
        <w:rPr>
          <w:lang w:val="en-US"/>
        </w:rPr>
        <w:t xml:space="preserve"> the individual patient’s</w:t>
      </w:r>
      <w:r w:rsidR="00405944">
        <w:rPr>
          <w:lang w:val="en-US"/>
        </w:rPr>
        <w:t xml:space="preserve"> </w:t>
      </w:r>
      <w:r w:rsidR="00BC5BCA">
        <w:rPr>
          <w:lang w:val="en-US"/>
        </w:rPr>
        <w:t xml:space="preserve">circumstances. </w:t>
      </w:r>
    </w:p>
    <w:p w14:paraId="131C296C" w14:textId="6F20467A" w:rsidR="005C2DD3" w:rsidRPr="003C6B25" w:rsidRDefault="00315EB2" w:rsidP="008A2745">
      <w:pPr>
        <w:pStyle w:val="AHPRABody0"/>
        <w:rPr>
          <w:lang w:val="en-US"/>
        </w:rPr>
      </w:pPr>
      <w:r>
        <w:rPr>
          <w:lang w:val="en-US"/>
        </w:rPr>
        <w:t>The overarching need to practi</w:t>
      </w:r>
      <w:r w:rsidR="005B0D39">
        <w:rPr>
          <w:lang w:val="en-US"/>
        </w:rPr>
        <w:t>s</w:t>
      </w:r>
      <w:r>
        <w:rPr>
          <w:lang w:val="en-US"/>
        </w:rPr>
        <w:t>e safely remains and is embedded in the Board’s standards, codes and guidelines, particular</w:t>
      </w:r>
      <w:r w:rsidR="00F56DC5">
        <w:rPr>
          <w:lang w:val="en-US"/>
        </w:rPr>
        <w:t>ly</w:t>
      </w:r>
      <w:r>
        <w:rPr>
          <w:lang w:val="en-US"/>
        </w:rPr>
        <w:t xml:space="preserve"> the </w:t>
      </w:r>
      <w:r w:rsidRPr="00384AFD">
        <w:rPr>
          <w:i/>
          <w:iCs/>
          <w:lang w:val="en-US"/>
        </w:rPr>
        <w:t>Code of conduct</w:t>
      </w:r>
      <w:r w:rsidR="001F0D14">
        <w:rPr>
          <w:lang w:val="en-US"/>
        </w:rPr>
        <w:t xml:space="preserve">. The requirements of the BBV </w:t>
      </w:r>
      <w:r w:rsidR="005B0D39">
        <w:rPr>
          <w:lang w:val="en-US"/>
        </w:rPr>
        <w:t>g</w:t>
      </w:r>
      <w:r w:rsidR="001F0D14">
        <w:rPr>
          <w:lang w:val="en-US"/>
        </w:rPr>
        <w:t xml:space="preserve">uidelines also support patient safety by ensuring that </w:t>
      </w:r>
      <w:r w:rsidR="000E7DD5">
        <w:rPr>
          <w:lang w:val="en-US"/>
        </w:rPr>
        <w:t xml:space="preserve">the risk of blood-borne virus transmission </w:t>
      </w:r>
      <w:r w:rsidR="008A2745">
        <w:rPr>
          <w:lang w:val="en-US"/>
        </w:rPr>
        <w:t>between practitioners and patients is reduced.</w:t>
      </w:r>
      <w:r w:rsidR="006F5142">
        <w:rPr>
          <w:lang w:val="en-US"/>
        </w:rPr>
        <w:t xml:space="preserve"> </w:t>
      </w:r>
      <w:r w:rsidR="00DF4997">
        <w:rPr>
          <w:lang w:val="en-US"/>
        </w:rPr>
        <w:t xml:space="preserve">Patient safety is also </w:t>
      </w:r>
      <w:r w:rsidR="00A54E2A">
        <w:rPr>
          <w:lang w:val="en-US"/>
        </w:rPr>
        <w:t>maintained</w:t>
      </w:r>
      <w:r w:rsidR="00DF4997">
        <w:rPr>
          <w:lang w:val="en-US"/>
        </w:rPr>
        <w:t xml:space="preserve"> through the</w:t>
      </w:r>
      <w:r w:rsidR="000F2535">
        <w:rPr>
          <w:lang w:val="en-US"/>
        </w:rPr>
        <w:t xml:space="preserve"> broader legi</w:t>
      </w:r>
      <w:r w:rsidR="00D45701">
        <w:rPr>
          <w:lang w:val="en-US"/>
        </w:rPr>
        <w:t xml:space="preserve">slative and regulatory obligations that apply </w:t>
      </w:r>
      <w:r w:rsidR="00A54E2A">
        <w:rPr>
          <w:lang w:val="en-US"/>
        </w:rPr>
        <w:t xml:space="preserve">to dental practice </w:t>
      </w:r>
      <w:r w:rsidR="00D45701">
        <w:rPr>
          <w:lang w:val="en-US"/>
        </w:rPr>
        <w:t>and</w:t>
      </w:r>
      <w:r w:rsidR="00DF4997">
        <w:rPr>
          <w:lang w:val="en-US"/>
        </w:rPr>
        <w:t xml:space="preserve"> </w:t>
      </w:r>
      <w:r w:rsidR="00D45701">
        <w:rPr>
          <w:lang w:val="en-US"/>
        </w:rPr>
        <w:t xml:space="preserve">the existence </w:t>
      </w:r>
      <w:r w:rsidR="002A221C">
        <w:rPr>
          <w:lang w:val="en-US"/>
        </w:rPr>
        <w:t xml:space="preserve">of </w:t>
      </w:r>
      <w:r w:rsidR="00A54E2A">
        <w:rPr>
          <w:lang w:val="en-US"/>
        </w:rPr>
        <w:t>information</w:t>
      </w:r>
      <w:r w:rsidR="00D45701">
        <w:t xml:space="preserve"> and guidance </w:t>
      </w:r>
      <w:r w:rsidR="00A54E2A">
        <w:t>produced by</w:t>
      </w:r>
      <w:r w:rsidR="00D45701">
        <w:t xml:space="preserve"> other </w:t>
      </w:r>
      <w:r w:rsidR="00A54E2A">
        <w:t xml:space="preserve">authoritative </w:t>
      </w:r>
      <w:r w:rsidR="00D45701">
        <w:t>entities</w:t>
      </w:r>
      <w:r w:rsidR="00A54E2A">
        <w:t>.</w:t>
      </w:r>
    </w:p>
    <w:p w14:paraId="652420E3" w14:textId="1445FED7" w:rsidR="005C2DD3" w:rsidRPr="00D41E62" w:rsidRDefault="005C2DD3" w:rsidP="003E28E6">
      <w:pPr>
        <w:pStyle w:val="AHPRASubheadinglevel2"/>
      </w:pPr>
      <w:bookmarkStart w:id="94" w:name="_Toc77604605"/>
      <w:r w:rsidRPr="00D41E62">
        <w:t>Regulatory effectiveness</w:t>
      </w:r>
      <w:bookmarkEnd w:id="94"/>
    </w:p>
    <w:p w14:paraId="7018CEEC" w14:textId="26359E91" w:rsidR="002F5226" w:rsidRPr="00D41E62" w:rsidRDefault="00611407" w:rsidP="005E01B4">
      <w:pPr>
        <w:pStyle w:val="AHPRABody0"/>
      </w:pPr>
      <w:r>
        <w:t xml:space="preserve">It is not anticipated that the Board’s regulatory effectiveness will be </w:t>
      </w:r>
      <w:r w:rsidR="7E8D8CEC">
        <w:t>affected</w:t>
      </w:r>
      <w:r>
        <w:t xml:space="preserve"> by the proposed changes.</w:t>
      </w:r>
      <w:r w:rsidR="005A7AAB">
        <w:t xml:space="preserve"> A</w:t>
      </w:r>
      <w:r w:rsidR="00F92AD4">
        <w:t>s</w:t>
      </w:r>
      <w:r w:rsidR="005A7AAB">
        <w:t xml:space="preserve"> described earlier in this paper, the Board</w:t>
      </w:r>
      <w:r w:rsidR="00EF0DDF">
        <w:t xml:space="preserve"> and co-regulators</w:t>
      </w:r>
      <w:r w:rsidR="005A7AAB">
        <w:t xml:space="preserve"> ha</w:t>
      </w:r>
      <w:r w:rsidR="00EF0DDF">
        <w:t>ve</w:t>
      </w:r>
      <w:r w:rsidR="005A7AAB">
        <w:t xml:space="preserve"> </w:t>
      </w:r>
      <w:r w:rsidR="00D41E62">
        <w:t>several</w:t>
      </w:r>
      <w:r w:rsidR="005A7AAB">
        <w:t xml:space="preserve"> options open to </w:t>
      </w:r>
      <w:r w:rsidR="004120F4">
        <w:t>them</w:t>
      </w:r>
      <w:r w:rsidR="005A7AAB">
        <w:t xml:space="preserve"> to ensure that </w:t>
      </w:r>
      <w:r w:rsidR="00F92AD4">
        <w:t xml:space="preserve">practitioners are practising safely. The Board does not need to rely on regulatory guidelines </w:t>
      </w:r>
      <w:r w:rsidR="00BA19D0">
        <w:t xml:space="preserve">to support a decision about taking regulatory action. </w:t>
      </w:r>
    </w:p>
    <w:p w14:paraId="702219E2" w14:textId="3114350F" w:rsidR="00DA6890" w:rsidRPr="00EC17C6" w:rsidRDefault="008409CE" w:rsidP="008D2D73">
      <w:pPr>
        <w:pStyle w:val="AHPRASubheadinglevel2"/>
        <w:keepNext/>
      </w:pPr>
      <w:bookmarkStart w:id="95" w:name="_Toc77604606"/>
      <w:r>
        <w:t>Effect on practice</w:t>
      </w:r>
      <w:bookmarkEnd w:id="95"/>
    </w:p>
    <w:p w14:paraId="5985F211" w14:textId="2A996DF5" w:rsidR="005E01B4" w:rsidRPr="00EC17C6" w:rsidRDefault="005E01B4" w:rsidP="005E01B4">
      <w:pPr>
        <w:pStyle w:val="AHPRABody0"/>
        <w:rPr>
          <w:b/>
          <w:bCs/>
        </w:rPr>
      </w:pPr>
      <w:r w:rsidRPr="00EC17C6">
        <w:t xml:space="preserve">The Board </w:t>
      </w:r>
      <w:r w:rsidRPr="00EC17C6">
        <w:rPr>
          <w:lang w:val="en-US"/>
        </w:rPr>
        <w:t>believes</w:t>
      </w:r>
      <w:r w:rsidRPr="00EC17C6">
        <w:t xml:space="preserve"> the changes proposed would not </w:t>
      </w:r>
      <w:r w:rsidR="00AF6894" w:rsidRPr="00EC17C6">
        <w:t xml:space="preserve">have an adverse </w:t>
      </w:r>
      <w:r w:rsidR="005B0D39">
        <w:t>effect</w:t>
      </w:r>
      <w:r w:rsidR="00AF6894" w:rsidRPr="00EC17C6">
        <w:t xml:space="preserve"> at the practice level. </w:t>
      </w:r>
      <w:r w:rsidRPr="00EC17C6">
        <w:t>While dental practitioners would no longer be subject to the</w:t>
      </w:r>
      <w:r w:rsidR="00E93CDC">
        <w:t xml:space="preserve"> prescriptive</w:t>
      </w:r>
      <w:r w:rsidRPr="00EC17C6">
        <w:t xml:space="preserve"> requirements of the </w:t>
      </w:r>
      <w:r w:rsidR="005B0D39">
        <w:t>g</w:t>
      </w:r>
      <w:r w:rsidRPr="00EC17C6">
        <w:t xml:space="preserve">uidelines, in practice, it would be open to practitioners to maintain their existing </w:t>
      </w:r>
      <w:r w:rsidR="00420003">
        <w:t>systems and processes</w:t>
      </w:r>
      <w:r w:rsidRPr="00EC17C6">
        <w:t xml:space="preserve">, so long as they </w:t>
      </w:r>
      <w:r w:rsidR="00420003">
        <w:t>are safe</w:t>
      </w:r>
      <w:r w:rsidR="009942C3">
        <w:t xml:space="preserve">, </w:t>
      </w:r>
      <w:r w:rsidR="009D2C90">
        <w:t>consistent</w:t>
      </w:r>
      <w:r w:rsidR="009D2C90" w:rsidRPr="00EC17C6">
        <w:t xml:space="preserve"> </w:t>
      </w:r>
      <w:r w:rsidRPr="00EC17C6">
        <w:t xml:space="preserve">with the </w:t>
      </w:r>
      <w:r w:rsidR="00E22523" w:rsidRPr="00EC17C6">
        <w:t xml:space="preserve">Board’s standards, codes and guidelines and </w:t>
      </w:r>
      <w:r w:rsidR="00AF21B8">
        <w:t xml:space="preserve">comply with </w:t>
      </w:r>
      <w:r w:rsidR="00E22523" w:rsidRPr="00EC17C6">
        <w:t>any other state</w:t>
      </w:r>
      <w:r w:rsidR="00C900EA" w:rsidRPr="00EC17C6">
        <w:t xml:space="preserve">, </w:t>
      </w:r>
      <w:r w:rsidR="00E22523" w:rsidRPr="00EC17C6">
        <w:t xml:space="preserve">territory </w:t>
      </w:r>
      <w:r w:rsidR="00C900EA" w:rsidRPr="00EC17C6">
        <w:t xml:space="preserve">or federal </w:t>
      </w:r>
      <w:r w:rsidR="00E22523" w:rsidRPr="00EC17C6">
        <w:t>legislative requirements.</w:t>
      </w:r>
    </w:p>
    <w:p w14:paraId="5C15B320" w14:textId="5B1C0760" w:rsidR="000751F0" w:rsidRPr="000751F0" w:rsidRDefault="000751F0" w:rsidP="000751F0">
      <w:pPr>
        <w:pStyle w:val="AHPRASubheadinglevel2"/>
      </w:pPr>
      <w:bookmarkStart w:id="96" w:name="_Toc77604607"/>
      <w:r w:rsidRPr="000751F0">
        <w:t>Cost</w:t>
      </w:r>
      <w:r w:rsidR="008409CE">
        <w:t xml:space="preserve"> implications</w:t>
      </w:r>
      <w:bookmarkEnd w:id="96"/>
    </w:p>
    <w:p w14:paraId="303CE697" w14:textId="4E52AF8C" w:rsidR="00554FAB" w:rsidRDefault="008409CE" w:rsidP="005E01B4">
      <w:pPr>
        <w:pStyle w:val="AHPRABody0"/>
        <w:rPr>
          <w:lang w:val="en-US"/>
        </w:rPr>
      </w:pPr>
      <w:r>
        <w:t>A</w:t>
      </w:r>
      <w:r w:rsidR="005E01B4" w:rsidRPr="000751F0">
        <w:t>ny changes would not affect application or registrati</w:t>
      </w:r>
      <w:r w:rsidR="005E01B4" w:rsidRPr="000751F0">
        <w:rPr>
          <w:lang w:val="en-US"/>
        </w:rPr>
        <w:t>on fees</w:t>
      </w:r>
      <w:r>
        <w:rPr>
          <w:lang w:val="en-US"/>
        </w:rPr>
        <w:t>, so there are negligible cost implications for dental practitioners</w:t>
      </w:r>
      <w:r w:rsidR="005E01B4" w:rsidRPr="000751F0">
        <w:rPr>
          <w:lang w:val="en-US"/>
        </w:rPr>
        <w:t>.</w:t>
      </w:r>
      <w:r w:rsidR="000751F0">
        <w:rPr>
          <w:lang w:val="en-US"/>
        </w:rPr>
        <w:t xml:space="preserve"> </w:t>
      </w:r>
    </w:p>
    <w:p w14:paraId="26251B9F" w14:textId="2094F7AB" w:rsidR="00554FAB" w:rsidRDefault="00F56DC5" w:rsidP="005E01B4">
      <w:pPr>
        <w:pStyle w:val="AHPRABody0"/>
        <w:rPr>
          <w:lang w:val="en-US"/>
        </w:rPr>
      </w:pPr>
      <w:r>
        <w:rPr>
          <w:lang w:val="en-US"/>
        </w:rPr>
        <w:t>The changes would not be expected to</w:t>
      </w:r>
      <w:r w:rsidR="000751F0">
        <w:rPr>
          <w:lang w:val="en-US"/>
        </w:rPr>
        <w:t xml:space="preserve"> </w:t>
      </w:r>
      <w:r w:rsidR="00355392">
        <w:rPr>
          <w:lang w:val="en-US"/>
        </w:rPr>
        <w:t>significantly affect practice costs</w:t>
      </w:r>
      <w:r w:rsidR="00793082">
        <w:rPr>
          <w:lang w:val="en-US"/>
        </w:rPr>
        <w:t>, such as</w:t>
      </w:r>
      <w:r w:rsidR="007E4B23">
        <w:rPr>
          <w:lang w:val="en-US"/>
        </w:rPr>
        <w:t xml:space="preserve"> increased</w:t>
      </w:r>
      <w:r w:rsidR="00793082">
        <w:rPr>
          <w:lang w:val="en-US"/>
        </w:rPr>
        <w:t xml:space="preserve"> instrument reprocessing or</w:t>
      </w:r>
      <w:r w:rsidR="00FA6FF9">
        <w:rPr>
          <w:lang w:val="en-US"/>
        </w:rPr>
        <w:t xml:space="preserve"> </w:t>
      </w:r>
      <w:r w:rsidR="00DB443D">
        <w:rPr>
          <w:lang w:val="en-US"/>
        </w:rPr>
        <w:t xml:space="preserve">other existing </w:t>
      </w:r>
      <w:r w:rsidR="00274266">
        <w:rPr>
          <w:lang w:val="en-US"/>
        </w:rPr>
        <w:t xml:space="preserve">infection prevention and control </w:t>
      </w:r>
      <w:r w:rsidR="004120F4">
        <w:rPr>
          <w:lang w:val="en-US"/>
        </w:rPr>
        <w:t>procedures</w:t>
      </w:r>
      <w:r w:rsidR="00355392">
        <w:rPr>
          <w:lang w:val="en-US"/>
        </w:rPr>
        <w:t xml:space="preserve">. </w:t>
      </w:r>
    </w:p>
    <w:p w14:paraId="78746D15" w14:textId="21081F86" w:rsidR="000B0AB4" w:rsidRDefault="00266C25" w:rsidP="005E01B4">
      <w:pPr>
        <w:pStyle w:val="AHPRABody0"/>
        <w:rPr>
          <w:lang w:val="en-US"/>
        </w:rPr>
      </w:pPr>
      <w:r>
        <w:rPr>
          <w:lang w:val="en-US"/>
        </w:rPr>
        <w:t xml:space="preserve">As the proposal involves retiring the </w:t>
      </w:r>
      <w:r w:rsidR="008409CE">
        <w:rPr>
          <w:lang w:val="en-US"/>
        </w:rPr>
        <w:t>g</w:t>
      </w:r>
      <w:r>
        <w:rPr>
          <w:lang w:val="en-US"/>
        </w:rPr>
        <w:t xml:space="preserve">uidelines, the cost of </w:t>
      </w:r>
      <w:r w:rsidR="008409CE">
        <w:rPr>
          <w:lang w:val="en-US"/>
        </w:rPr>
        <w:t>‘</w:t>
      </w:r>
      <w:r>
        <w:rPr>
          <w:lang w:val="en-US"/>
        </w:rPr>
        <w:t>strict</w:t>
      </w:r>
      <w:r w:rsidR="008409CE">
        <w:rPr>
          <w:lang w:val="en-US"/>
        </w:rPr>
        <w:t>’</w:t>
      </w:r>
      <w:r>
        <w:rPr>
          <w:lang w:val="en-US"/>
        </w:rPr>
        <w:t xml:space="preserve"> compliance is potentially reduced</w:t>
      </w:r>
      <w:r w:rsidR="008409CE">
        <w:rPr>
          <w:lang w:val="en-US"/>
        </w:rPr>
        <w:t>. H</w:t>
      </w:r>
      <w:r>
        <w:rPr>
          <w:lang w:val="en-US"/>
        </w:rPr>
        <w:t>owever</w:t>
      </w:r>
      <w:r w:rsidR="008409CE">
        <w:rPr>
          <w:lang w:val="en-US"/>
        </w:rPr>
        <w:t>,</w:t>
      </w:r>
      <w:r>
        <w:rPr>
          <w:lang w:val="en-US"/>
        </w:rPr>
        <w:t xml:space="preserve"> the Board anticipates that </w:t>
      </w:r>
      <w:r w:rsidR="00436370">
        <w:rPr>
          <w:lang w:val="en-US"/>
        </w:rPr>
        <w:t xml:space="preserve">as </w:t>
      </w:r>
      <w:r w:rsidR="00FA6FF9">
        <w:rPr>
          <w:lang w:val="en-US"/>
        </w:rPr>
        <w:t>practitioners</w:t>
      </w:r>
      <w:r w:rsidR="00436370">
        <w:rPr>
          <w:lang w:val="en-US"/>
        </w:rPr>
        <w:t xml:space="preserve"> will need to continue </w:t>
      </w:r>
      <w:r w:rsidR="00F56DC5">
        <w:rPr>
          <w:lang w:val="en-US"/>
        </w:rPr>
        <w:t>maintaining</w:t>
      </w:r>
      <w:r w:rsidR="00436370">
        <w:rPr>
          <w:lang w:val="en-US"/>
        </w:rPr>
        <w:t xml:space="preserve"> good infection prevention and control,</w:t>
      </w:r>
      <w:r w:rsidR="007E4B23">
        <w:rPr>
          <w:lang w:val="en-US"/>
        </w:rPr>
        <w:t xml:space="preserve"> associated costs </w:t>
      </w:r>
      <w:r w:rsidR="001A1672">
        <w:rPr>
          <w:lang w:val="en-US"/>
        </w:rPr>
        <w:t xml:space="preserve">will be </w:t>
      </w:r>
      <w:r w:rsidR="00554FAB">
        <w:rPr>
          <w:lang w:val="en-US"/>
        </w:rPr>
        <w:t xml:space="preserve">similar to those incurred </w:t>
      </w:r>
      <w:r w:rsidR="00F56DC5">
        <w:rPr>
          <w:lang w:val="en-US"/>
        </w:rPr>
        <w:t>before</w:t>
      </w:r>
      <w:r w:rsidR="00554FAB">
        <w:rPr>
          <w:lang w:val="en-US"/>
        </w:rPr>
        <w:t xml:space="preserve"> the change</w:t>
      </w:r>
      <w:r w:rsidR="001A1672">
        <w:rPr>
          <w:lang w:val="en-US"/>
        </w:rPr>
        <w:t xml:space="preserve">. Practitioners may </w:t>
      </w:r>
      <w:r w:rsidR="00A01254">
        <w:rPr>
          <w:lang w:val="en-US"/>
        </w:rPr>
        <w:t xml:space="preserve">allocate more time to professional development to </w:t>
      </w:r>
      <w:r w:rsidR="001A1672">
        <w:rPr>
          <w:lang w:val="en-US"/>
        </w:rPr>
        <w:t>complete the self-reflective tool, however this is not a mandated tool but rather an optional resource to help them comply</w:t>
      </w:r>
      <w:r w:rsidR="000B0AB4">
        <w:rPr>
          <w:lang w:val="en-US"/>
        </w:rPr>
        <w:t>.</w:t>
      </w:r>
    </w:p>
    <w:p w14:paraId="5FDEC5E8" w14:textId="6C28E891" w:rsidR="005562FC" w:rsidRPr="000751F0" w:rsidRDefault="000B0AB4" w:rsidP="005E01B4">
      <w:pPr>
        <w:pStyle w:val="AHPRABody0"/>
        <w:rPr>
          <w:lang w:val="en-US"/>
        </w:rPr>
      </w:pPr>
      <w:r>
        <w:rPr>
          <w:lang w:val="en-US"/>
        </w:rPr>
        <w:t xml:space="preserve">It is not expected that any costs </w:t>
      </w:r>
      <w:r w:rsidR="003452DB">
        <w:rPr>
          <w:lang w:val="en-US"/>
        </w:rPr>
        <w:t xml:space="preserve">would be passed on to dental </w:t>
      </w:r>
      <w:r w:rsidR="005562FC">
        <w:rPr>
          <w:lang w:val="en-US"/>
        </w:rPr>
        <w:t xml:space="preserve">patients or </w:t>
      </w:r>
      <w:r w:rsidR="003452DB">
        <w:rPr>
          <w:lang w:val="en-US"/>
        </w:rPr>
        <w:t>consumers.</w:t>
      </w:r>
      <w:r w:rsidR="00266C25">
        <w:rPr>
          <w:lang w:val="en-US"/>
        </w:rPr>
        <w:t xml:space="preserve"> </w:t>
      </w:r>
    </w:p>
    <w:p w14:paraId="05461E0E" w14:textId="56DDE07C" w:rsidR="002A42BE" w:rsidRDefault="0020095C" w:rsidP="0031741D">
      <w:pPr>
        <w:pStyle w:val="AHPRASubheading"/>
      </w:pPr>
      <w:bookmarkStart w:id="97" w:name="_Toc75858840"/>
      <w:bookmarkStart w:id="98" w:name="_Toc77604608"/>
      <w:r>
        <w:t>Questions for consideration</w:t>
      </w:r>
      <w:bookmarkEnd w:id="97"/>
      <w:bookmarkEnd w:id="98"/>
    </w:p>
    <w:tbl>
      <w:tblPr>
        <w:tblStyle w:val="GridTable1Light-Accent2"/>
        <w:tblW w:w="0" w:type="auto"/>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00" w:firstRow="0" w:lastRow="0" w:firstColumn="0" w:lastColumn="0" w:noHBand="0" w:noVBand="1"/>
      </w:tblPr>
      <w:tblGrid>
        <w:gridCol w:w="9010"/>
      </w:tblGrid>
      <w:tr w:rsidR="00B24D1E" w:rsidRPr="00963EC3" w14:paraId="75BD7C1D" w14:textId="77777777" w:rsidTr="6E0DAB5F">
        <w:trPr>
          <w:cnfStyle w:val="000000100000" w:firstRow="0" w:lastRow="0" w:firstColumn="0" w:lastColumn="0" w:oddVBand="0" w:evenVBand="0" w:oddHBand="1" w:evenHBand="0" w:firstRowFirstColumn="0" w:firstRowLastColumn="0" w:lastRowFirstColumn="0" w:lastRowLastColumn="0"/>
          <w:trHeight w:val="340"/>
        </w:trPr>
        <w:tc>
          <w:tcPr>
            <w:tcW w:w="9010" w:type="dxa"/>
            <w:tcMar>
              <w:top w:w="85" w:type="dxa"/>
              <w:left w:w="85" w:type="dxa"/>
              <w:bottom w:w="85" w:type="dxa"/>
              <w:right w:w="85" w:type="dxa"/>
            </w:tcMar>
          </w:tcPr>
          <w:p w14:paraId="4AE95DBA" w14:textId="3D3F0DEE" w:rsidR="00B24D1E" w:rsidRPr="0031741D" w:rsidRDefault="00B24D1E" w:rsidP="0031741D">
            <w:pPr>
              <w:pStyle w:val="AHPRANumberedlistlevel1"/>
              <w:numPr>
                <w:ilvl w:val="0"/>
                <w:numId w:val="27"/>
              </w:numPr>
              <w:spacing w:after="200"/>
            </w:pPr>
            <w:r>
              <w:t>Which of the options proposed do you prefer and why?</w:t>
            </w:r>
          </w:p>
        </w:tc>
      </w:tr>
      <w:tr w:rsidR="00B24D1E" w:rsidRPr="00963EC3" w14:paraId="04493E5D" w14:textId="77777777" w:rsidTr="6E0DAB5F">
        <w:trPr>
          <w:trHeight w:val="447"/>
        </w:trPr>
        <w:tc>
          <w:tcPr>
            <w:tcW w:w="9010" w:type="dxa"/>
            <w:tcMar>
              <w:top w:w="85" w:type="dxa"/>
              <w:left w:w="85" w:type="dxa"/>
              <w:bottom w:w="85" w:type="dxa"/>
              <w:right w:w="85" w:type="dxa"/>
            </w:tcMar>
          </w:tcPr>
          <w:p w14:paraId="5B23B7A6" w14:textId="7A7F1613" w:rsidR="00B24D1E" w:rsidRPr="0031741D" w:rsidRDefault="00B24D1E" w:rsidP="0031741D">
            <w:pPr>
              <w:pStyle w:val="AHPRANumberedlistlevel1"/>
              <w:numPr>
                <w:ilvl w:val="0"/>
                <w:numId w:val="27"/>
              </w:numPr>
              <w:spacing w:after="200"/>
            </w:pPr>
            <w:bookmarkStart w:id="99" w:name="_Hlk16349743"/>
            <w:r>
              <w:t xml:space="preserve">If you prefer option 1, to </w:t>
            </w:r>
            <w:r w:rsidR="00A01254">
              <w:t>keep</w:t>
            </w:r>
            <w:r>
              <w:t xml:space="preserve"> and revise the </w:t>
            </w:r>
            <w:r w:rsidR="00A01254">
              <w:t>g</w:t>
            </w:r>
            <w:r>
              <w:t xml:space="preserve">uidelines, do you have any suggestions </w:t>
            </w:r>
            <w:r w:rsidR="00A01254">
              <w:t xml:space="preserve">about the </w:t>
            </w:r>
            <w:r>
              <w:t>language, structure or content</w:t>
            </w:r>
            <w:r w:rsidR="00A01254">
              <w:t xml:space="preserve"> of the draft revised guidelines</w:t>
            </w:r>
            <w:r>
              <w:t xml:space="preserve"> (</w:t>
            </w:r>
            <w:r w:rsidRPr="00AD64EA">
              <w:rPr>
                <w:b/>
                <w:bCs/>
              </w:rPr>
              <w:t>Attachment C</w:t>
            </w:r>
            <w:r>
              <w:t>)</w:t>
            </w:r>
            <w:r w:rsidR="00A01254">
              <w:t>?</w:t>
            </w:r>
          </w:p>
        </w:tc>
      </w:tr>
      <w:tr w:rsidR="00B24D1E" w:rsidRPr="00963EC3" w14:paraId="40179CA4" w14:textId="77777777" w:rsidTr="6E0DAB5F">
        <w:trPr>
          <w:cnfStyle w:val="000000100000" w:firstRow="0" w:lastRow="0" w:firstColumn="0" w:lastColumn="0" w:oddVBand="0" w:evenVBand="0" w:oddHBand="1" w:evenHBand="0" w:firstRowFirstColumn="0" w:firstRowLastColumn="0" w:lastRowFirstColumn="0" w:lastRowLastColumn="0"/>
          <w:trHeight w:val="851"/>
        </w:trPr>
        <w:tc>
          <w:tcPr>
            <w:tcW w:w="9010" w:type="dxa"/>
            <w:tcMar>
              <w:top w:w="85" w:type="dxa"/>
              <w:left w:w="85" w:type="dxa"/>
              <w:bottom w:w="85" w:type="dxa"/>
              <w:right w:w="85" w:type="dxa"/>
            </w:tcMar>
          </w:tcPr>
          <w:p w14:paraId="48504CF8" w14:textId="3EBD15EE" w:rsidR="00B24D1E" w:rsidRDefault="00B24D1E" w:rsidP="00B24D1E">
            <w:pPr>
              <w:pStyle w:val="AHPRANumberedlistlevel1"/>
              <w:numPr>
                <w:ilvl w:val="0"/>
                <w:numId w:val="27"/>
              </w:numPr>
              <w:spacing w:after="200"/>
            </w:pPr>
            <w:r>
              <w:t xml:space="preserve">Would replacing the </w:t>
            </w:r>
            <w:r w:rsidR="00A01254">
              <w:t>g</w:t>
            </w:r>
            <w:r>
              <w:t xml:space="preserve">uidelines with other supporting resources result in any unintended </w:t>
            </w:r>
            <w:r w:rsidR="00A01254">
              <w:t xml:space="preserve">consequences </w:t>
            </w:r>
            <w:r w:rsidR="00136D51">
              <w:t xml:space="preserve">or costs </w:t>
            </w:r>
            <w:r w:rsidR="00196EBB">
              <w:t>for:</w:t>
            </w:r>
          </w:p>
          <w:p w14:paraId="6D3ED36B" w14:textId="64D4F0AC" w:rsidR="00196EBB" w:rsidRDefault="008153AA" w:rsidP="001F5B8C">
            <w:pPr>
              <w:pStyle w:val="AHPRANumberedlistlevel2"/>
              <w:numPr>
                <w:ilvl w:val="0"/>
                <w:numId w:val="31"/>
              </w:numPr>
              <w:spacing w:after="200"/>
              <w:ind w:left="729"/>
            </w:pPr>
            <w:r>
              <w:t xml:space="preserve">dental </w:t>
            </w:r>
            <w:r w:rsidR="001F5B8C">
              <w:t>p</w:t>
            </w:r>
            <w:r w:rsidR="00196EBB">
              <w:t>ractitioners</w:t>
            </w:r>
          </w:p>
          <w:p w14:paraId="3CCFE10C" w14:textId="0D24C5FE" w:rsidR="00196EBB" w:rsidRDefault="001F5B8C" w:rsidP="001F5B8C">
            <w:pPr>
              <w:pStyle w:val="AHPRANumberedlistlevel2"/>
              <w:numPr>
                <w:ilvl w:val="0"/>
                <w:numId w:val="31"/>
              </w:numPr>
              <w:spacing w:after="200"/>
              <w:ind w:left="729"/>
            </w:pPr>
            <w:r>
              <w:t>d</w:t>
            </w:r>
            <w:r w:rsidR="00196EBB">
              <w:t>ental practices</w:t>
            </w:r>
          </w:p>
          <w:p w14:paraId="2F03ED3F" w14:textId="7A1B018E" w:rsidR="00196EBB" w:rsidRDefault="001F5B8C" w:rsidP="001F5B8C">
            <w:pPr>
              <w:pStyle w:val="AHPRANumberedlistlevel2"/>
              <w:numPr>
                <w:ilvl w:val="0"/>
                <w:numId w:val="31"/>
              </w:numPr>
              <w:spacing w:after="200"/>
              <w:ind w:left="729"/>
            </w:pPr>
            <w:r>
              <w:t>p</w:t>
            </w:r>
            <w:r w:rsidR="00196EBB">
              <w:t>atients or consumers</w:t>
            </w:r>
          </w:p>
          <w:p w14:paraId="1878F0F0" w14:textId="183F8BFB" w:rsidR="00196EBB" w:rsidRDefault="001F5B8C" w:rsidP="001F5B8C">
            <w:pPr>
              <w:pStyle w:val="AHPRANumberedlistlevel2"/>
              <w:numPr>
                <w:ilvl w:val="0"/>
                <w:numId w:val="31"/>
              </w:numPr>
              <w:spacing w:after="200"/>
              <w:ind w:left="729"/>
            </w:pPr>
            <w:r>
              <w:t>v</w:t>
            </w:r>
            <w:r w:rsidR="008A7297">
              <w:t>ulnerable members of the community</w:t>
            </w:r>
            <w:r>
              <w:t>, or</w:t>
            </w:r>
          </w:p>
          <w:p w14:paraId="660B3C7B" w14:textId="77777777" w:rsidR="008A7297" w:rsidRDefault="008A7297" w:rsidP="001F5B8C">
            <w:pPr>
              <w:pStyle w:val="AHPRANumberedlistlevel2"/>
              <w:numPr>
                <w:ilvl w:val="0"/>
                <w:numId w:val="31"/>
              </w:numPr>
              <w:spacing w:after="200"/>
              <w:ind w:left="729"/>
            </w:pPr>
            <w:r>
              <w:lastRenderedPageBreak/>
              <w:t>Aboriginal and Torres Strait Islander Peoples?</w:t>
            </w:r>
          </w:p>
          <w:p w14:paraId="14F2C260" w14:textId="105E2CC1" w:rsidR="00F4385C" w:rsidRPr="00F4385C" w:rsidRDefault="00F4385C" w:rsidP="00F4385C">
            <w:pPr>
              <w:pStyle w:val="AHPRANumberedlistlevel1"/>
              <w:spacing w:after="200"/>
              <w:ind w:firstLine="0"/>
            </w:pPr>
            <w:r>
              <w:t>If so, please describe</w:t>
            </w:r>
            <w:r w:rsidR="00136D51">
              <w:t xml:space="preserve"> or quantify</w:t>
            </w:r>
            <w:r w:rsidR="001F5B8C">
              <w:t xml:space="preserve"> them</w:t>
            </w:r>
            <w:r>
              <w:t>.</w:t>
            </w:r>
          </w:p>
        </w:tc>
      </w:tr>
      <w:tr w:rsidR="00B24D1E" w:rsidRPr="00963EC3" w14:paraId="6FC05A6A" w14:textId="77777777" w:rsidTr="6E0DAB5F">
        <w:trPr>
          <w:trHeight w:val="659"/>
        </w:trPr>
        <w:tc>
          <w:tcPr>
            <w:tcW w:w="9010" w:type="dxa"/>
            <w:tcMar>
              <w:top w:w="85" w:type="dxa"/>
              <w:left w:w="85" w:type="dxa"/>
              <w:bottom w:w="85" w:type="dxa"/>
              <w:right w:w="85" w:type="dxa"/>
            </w:tcMar>
          </w:tcPr>
          <w:p w14:paraId="25DB7911" w14:textId="488846AA" w:rsidR="00B24D1E" w:rsidRPr="001F5B8C" w:rsidRDefault="00A10070" w:rsidP="001F5B8C">
            <w:pPr>
              <w:pStyle w:val="AHPRANumberedlistlevel1"/>
              <w:numPr>
                <w:ilvl w:val="0"/>
                <w:numId w:val="27"/>
              </w:numPr>
              <w:spacing w:after="200"/>
            </w:pPr>
            <w:r>
              <w:lastRenderedPageBreak/>
              <w:t>Do you have any suggestions about the language, structure or content of the draft revised fact sheet (</w:t>
            </w:r>
            <w:r w:rsidRPr="00AD64EA">
              <w:rPr>
                <w:b/>
                <w:bCs/>
              </w:rPr>
              <w:t xml:space="preserve">Attachment </w:t>
            </w:r>
            <w:r>
              <w:rPr>
                <w:b/>
                <w:bCs/>
              </w:rPr>
              <w:t>D</w:t>
            </w:r>
            <w:r>
              <w:t>)?</w:t>
            </w:r>
          </w:p>
        </w:tc>
      </w:tr>
      <w:tr w:rsidR="0031741D" w:rsidRPr="00963EC3" w14:paraId="10263237" w14:textId="77777777" w:rsidTr="6E0DAB5F">
        <w:trPr>
          <w:cnfStyle w:val="000000100000" w:firstRow="0" w:lastRow="0" w:firstColumn="0" w:lastColumn="0" w:oddVBand="0" w:evenVBand="0" w:oddHBand="1" w:evenHBand="0" w:firstRowFirstColumn="0" w:firstRowLastColumn="0" w:lastRowFirstColumn="0" w:lastRowLastColumn="0"/>
          <w:trHeight w:val="657"/>
        </w:trPr>
        <w:tc>
          <w:tcPr>
            <w:tcW w:w="9010" w:type="dxa"/>
            <w:tcMar>
              <w:top w:w="85" w:type="dxa"/>
              <w:left w:w="85" w:type="dxa"/>
              <w:bottom w:w="85" w:type="dxa"/>
              <w:right w:w="85" w:type="dxa"/>
            </w:tcMar>
          </w:tcPr>
          <w:p w14:paraId="493BA498" w14:textId="4F585447" w:rsidR="0031741D" w:rsidRDefault="00A10070" w:rsidP="0031741D">
            <w:pPr>
              <w:pStyle w:val="AHPRANumberedlistlevel1"/>
              <w:numPr>
                <w:ilvl w:val="0"/>
                <w:numId w:val="27"/>
              </w:numPr>
              <w:spacing w:after="200"/>
            </w:pPr>
            <w:r>
              <w:t>Do you have any suggestions about the language, structure or content of the draft self-reflective tool (</w:t>
            </w:r>
            <w:r w:rsidRPr="00AD64EA">
              <w:rPr>
                <w:b/>
                <w:bCs/>
              </w:rPr>
              <w:t>Attachment E</w:t>
            </w:r>
            <w:r>
              <w:t>)?</w:t>
            </w:r>
          </w:p>
        </w:tc>
      </w:tr>
      <w:tr w:rsidR="0031741D" w:rsidRPr="00963EC3" w14:paraId="7269152F" w14:textId="77777777" w:rsidTr="6E0DAB5F">
        <w:trPr>
          <w:trHeight w:val="386"/>
        </w:trPr>
        <w:tc>
          <w:tcPr>
            <w:tcW w:w="9010" w:type="dxa"/>
            <w:tcMar>
              <w:top w:w="85" w:type="dxa"/>
              <w:left w:w="85" w:type="dxa"/>
              <w:bottom w:w="85" w:type="dxa"/>
              <w:right w:w="85" w:type="dxa"/>
            </w:tcMar>
          </w:tcPr>
          <w:p w14:paraId="3BBD90CE" w14:textId="58984621" w:rsidR="0031741D" w:rsidRDefault="0031741D" w:rsidP="0031741D">
            <w:pPr>
              <w:pStyle w:val="AHPRANumberedlistlevel1"/>
              <w:numPr>
                <w:ilvl w:val="0"/>
                <w:numId w:val="27"/>
              </w:numPr>
              <w:spacing w:after="200"/>
            </w:pPr>
            <w:r w:rsidRPr="00416C74">
              <w:t xml:space="preserve">Do you have any other feedback about the Board’s proposal?  </w:t>
            </w:r>
          </w:p>
        </w:tc>
      </w:tr>
    </w:tbl>
    <w:p w14:paraId="4489D31F" w14:textId="77777777" w:rsidR="00724795" w:rsidRDefault="00724795" w:rsidP="008D2D73">
      <w:pPr>
        <w:pStyle w:val="AHPRASubheading"/>
        <w:keepNext/>
      </w:pPr>
      <w:bookmarkStart w:id="100" w:name="_Toc56081014"/>
      <w:bookmarkStart w:id="101" w:name="_Toc75858841"/>
      <w:bookmarkStart w:id="102" w:name="_Toc77604609"/>
      <w:bookmarkEnd w:id="99"/>
      <w:r>
        <w:t>Relevant sections of the National Law</w:t>
      </w:r>
      <w:bookmarkEnd w:id="100"/>
      <w:bookmarkEnd w:id="101"/>
      <w:bookmarkEnd w:id="102"/>
    </w:p>
    <w:p w14:paraId="76752F17" w14:textId="77777777" w:rsidR="00724795" w:rsidRPr="00F859A9" w:rsidRDefault="00724795" w:rsidP="00643D00">
      <w:pPr>
        <w:pStyle w:val="AHPRABody0"/>
      </w:pPr>
      <w:r>
        <w:t>The relevant sections of the National Law are Sections 39, 40 and 41.</w:t>
      </w:r>
    </w:p>
    <w:p w14:paraId="089C759A" w14:textId="77777777" w:rsidR="00724795" w:rsidRDefault="00724795" w:rsidP="00724795">
      <w:pPr>
        <w:pStyle w:val="AHPRASubheading"/>
      </w:pPr>
      <w:bookmarkStart w:id="103" w:name="_Toc56081021"/>
      <w:bookmarkStart w:id="104" w:name="_Toc75858842"/>
      <w:bookmarkStart w:id="105" w:name="_Toc77604610"/>
      <w:r>
        <w:t>Attachments</w:t>
      </w:r>
      <w:bookmarkEnd w:id="103"/>
      <w:bookmarkEnd w:id="104"/>
      <w:bookmarkEnd w:id="105"/>
    </w:p>
    <w:p w14:paraId="75584C50" w14:textId="4241F86E" w:rsidR="00724795" w:rsidRPr="00AD64EA" w:rsidRDefault="00724795" w:rsidP="00724795">
      <w:pPr>
        <w:pStyle w:val="AHPRAbody"/>
        <w:rPr>
          <w:b/>
        </w:rPr>
      </w:pPr>
      <w:bookmarkStart w:id="106" w:name="_Toc56081022"/>
      <w:r w:rsidRPr="00AD64EA">
        <w:t xml:space="preserve">A: </w:t>
      </w:r>
      <w:bookmarkEnd w:id="106"/>
      <w:r w:rsidR="00BF6679" w:rsidRPr="00AD64EA">
        <w:t xml:space="preserve">Patient and </w:t>
      </w:r>
      <w:r w:rsidR="00A01254">
        <w:t>c</w:t>
      </w:r>
      <w:r w:rsidR="00BF6679" w:rsidRPr="00AD64EA">
        <w:t xml:space="preserve">onsumer </w:t>
      </w:r>
      <w:r w:rsidR="00A01254">
        <w:t>h</w:t>
      </w:r>
      <w:r w:rsidR="00BF6679" w:rsidRPr="00AD64EA">
        <w:t xml:space="preserve">ealth and </w:t>
      </w:r>
      <w:r w:rsidR="00A01254">
        <w:t>s</w:t>
      </w:r>
      <w:r w:rsidR="00BF6679" w:rsidRPr="00AD64EA">
        <w:t xml:space="preserve">afety </w:t>
      </w:r>
      <w:r w:rsidR="00A01254">
        <w:t>i</w:t>
      </w:r>
      <w:r w:rsidR="00BF6679" w:rsidRPr="00AD64EA">
        <w:t xml:space="preserve">mpact </w:t>
      </w:r>
      <w:r w:rsidR="00A01254">
        <w:t>s</w:t>
      </w:r>
      <w:r w:rsidR="00BF6679" w:rsidRPr="00AD64EA">
        <w:t xml:space="preserve">tatement </w:t>
      </w:r>
    </w:p>
    <w:p w14:paraId="49EC66B4" w14:textId="77777777" w:rsidR="0093578A" w:rsidRDefault="00724795" w:rsidP="00724795">
      <w:pPr>
        <w:pStyle w:val="AHPRAbody"/>
      </w:pPr>
      <w:bookmarkStart w:id="107" w:name="_Toc56081023"/>
      <w:r w:rsidRPr="00AD64EA">
        <w:t xml:space="preserve">B: </w:t>
      </w:r>
      <w:r w:rsidR="0093578A" w:rsidRPr="0093578A">
        <w:t>Statement of assessment against Ahpra’s Procedures for the development of registration standards, codes and guidelines, and principles for best practice regulation</w:t>
      </w:r>
      <w:r w:rsidR="0093578A">
        <w:t xml:space="preserve"> </w:t>
      </w:r>
      <w:bookmarkStart w:id="108" w:name="_Toc56081024"/>
      <w:bookmarkEnd w:id="107"/>
    </w:p>
    <w:p w14:paraId="307EA823" w14:textId="5E6B0003" w:rsidR="00724795" w:rsidRPr="00AD64EA" w:rsidRDefault="00724795" w:rsidP="00724795">
      <w:pPr>
        <w:pStyle w:val="AHPRAbody"/>
        <w:rPr>
          <w:b/>
        </w:rPr>
      </w:pPr>
      <w:r w:rsidRPr="00AD64EA">
        <w:t>C: Draft revised Guidelines on infection prevention and control (option 1)</w:t>
      </w:r>
      <w:bookmarkEnd w:id="108"/>
    </w:p>
    <w:p w14:paraId="06051000" w14:textId="4E018929" w:rsidR="00724795" w:rsidRPr="00AD64EA" w:rsidRDefault="00724795" w:rsidP="00724795">
      <w:pPr>
        <w:pStyle w:val="AHPRAbody"/>
        <w:rPr>
          <w:b/>
        </w:rPr>
      </w:pPr>
      <w:bookmarkStart w:id="109" w:name="_Toc56081025"/>
      <w:r w:rsidRPr="00AD64EA">
        <w:t xml:space="preserve">D: </w:t>
      </w:r>
      <w:r w:rsidR="00643D00" w:rsidRPr="00AD64EA">
        <w:t>Draft revised Fact sheet: Infection prevention and control for dental practitioners (option 2)</w:t>
      </w:r>
    </w:p>
    <w:p w14:paraId="4CDA5CAB" w14:textId="77777777" w:rsidR="00EF7A15" w:rsidRDefault="00643D00" w:rsidP="00293D8E">
      <w:pPr>
        <w:pStyle w:val="AHPRAbody"/>
        <w:sectPr w:rsidR="00EF7A15" w:rsidSect="008F66A8">
          <w:headerReference w:type="even" r:id="rId33"/>
          <w:headerReference w:type="default" r:id="rId34"/>
          <w:headerReference w:type="first" r:id="rId35"/>
          <w:footerReference w:type="first" r:id="rId36"/>
          <w:pgSz w:w="11900" w:h="16840"/>
          <w:pgMar w:top="1392" w:right="1247" w:bottom="992" w:left="1247" w:header="567" w:footer="567" w:gutter="0"/>
          <w:cols w:space="708"/>
          <w:titlePg/>
          <w:docGrid w:linePitch="326"/>
        </w:sectPr>
      </w:pPr>
      <w:r w:rsidRPr="00AD64EA">
        <w:t>E</w:t>
      </w:r>
      <w:r w:rsidR="00724795" w:rsidRPr="00AD64EA">
        <w:t>:</w:t>
      </w:r>
      <w:bookmarkEnd w:id="109"/>
      <w:r w:rsidRPr="00AD64EA">
        <w:t xml:space="preserve"> Draft Self-reflective tool: Infection prevention and control (option 2)</w:t>
      </w:r>
      <w:bookmarkEnd w:id="14"/>
    </w:p>
    <w:p w14:paraId="623797BE" w14:textId="77777777" w:rsidR="00EF7A15" w:rsidRPr="00AA1DA3" w:rsidRDefault="00EF7A15" w:rsidP="00362DE5">
      <w:pPr>
        <w:pStyle w:val="AHPRASubheading"/>
        <w:rPr>
          <w:b w:val="0"/>
          <w:sz w:val="32"/>
          <w:szCs w:val="32"/>
        </w:rPr>
      </w:pPr>
      <w:bookmarkStart w:id="110" w:name="_Toc71533453"/>
      <w:bookmarkStart w:id="111" w:name="_Toc75357737"/>
      <w:bookmarkStart w:id="112" w:name="_Toc75357906"/>
      <w:r w:rsidRPr="00AA1DA3">
        <w:rPr>
          <w:b w:val="0"/>
          <w:sz w:val="32"/>
          <w:szCs w:val="32"/>
        </w:rPr>
        <w:lastRenderedPageBreak/>
        <w:t xml:space="preserve">Patient </w:t>
      </w:r>
      <w:r>
        <w:rPr>
          <w:b w:val="0"/>
          <w:sz w:val="32"/>
          <w:szCs w:val="32"/>
        </w:rPr>
        <w:t xml:space="preserve">and consumer health </w:t>
      </w:r>
      <w:r w:rsidRPr="00AA1DA3">
        <w:rPr>
          <w:b w:val="0"/>
          <w:sz w:val="32"/>
          <w:szCs w:val="32"/>
        </w:rPr>
        <w:t xml:space="preserve">and </w:t>
      </w:r>
      <w:r>
        <w:rPr>
          <w:b w:val="0"/>
          <w:sz w:val="32"/>
          <w:szCs w:val="32"/>
        </w:rPr>
        <w:t>s</w:t>
      </w:r>
      <w:r w:rsidRPr="00AA1DA3">
        <w:rPr>
          <w:b w:val="0"/>
          <w:sz w:val="32"/>
          <w:szCs w:val="32"/>
        </w:rPr>
        <w:t xml:space="preserve">afety </w:t>
      </w:r>
      <w:r>
        <w:rPr>
          <w:b w:val="0"/>
          <w:sz w:val="32"/>
          <w:szCs w:val="32"/>
        </w:rPr>
        <w:t>i</w:t>
      </w:r>
      <w:r w:rsidRPr="00AA1DA3">
        <w:rPr>
          <w:b w:val="0"/>
          <w:sz w:val="32"/>
          <w:szCs w:val="32"/>
        </w:rPr>
        <w:t xml:space="preserve">mpact </w:t>
      </w:r>
      <w:r>
        <w:rPr>
          <w:b w:val="0"/>
          <w:sz w:val="32"/>
          <w:szCs w:val="32"/>
        </w:rPr>
        <w:t>statement</w:t>
      </w:r>
      <w:r w:rsidRPr="00AA1DA3">
        <w:rPr>
          <w:b w:val="0"/>
          <w:sz w:val="32"/>
          <w:szCs w:val="32"/>
        </w:rPr>
        <w:t xml:space="preserve"> – </w:t>
      </w:r>
      <w:bookmarkEnd w:id="110"/>
      <w:r>
        <w:rPr>
          <w:b w:val="0"/>
          <w:sz w:val="32"/>
          <w:szCs w:val="32"/>
        </w:rPr>
        <w:t>review of Guidelines on infection control</w:t>
      </w:r>
    </w:p>
    <w:p w14:paraId="09C54AF0" w14:textId="77777777" w:rsidR="00EF7A15" w:rsidRPr="001B5C37" w:rsidRDefault="00EF7A15" w:rsidP="00362DE5">
      <w:pPr>
        <w:outlineLvl w:val="0"/>
      </w:pPr>
      <w:r w:rsidRPr="001B5C37">
        <w:rPr>
          <w:noProof/>
          <w:lang w:eastAsia="en-AU"/>
        </w:rPr>
        <mc:AlternateContent>
          <mc:Choice Requires="wps">
            <w:drawing>
              <wp:anchor distT="0" distB="0" distL="114300" distR="114300" simplePos="0" relativeHeight="251660291" behindDoc="0" locked="0" layoutInCell="1" allowOverlap="1" wp14:anchorId="29866A4C" wp14:editId="24A8A0B1">
                <wp:simplePos x="0" y="0"/>
                <wp:positionH relativeFrom="column">
                  <wp:posOffset>-1116330</wp:posOffset>
                </wp:positionH>
                <wp:positionV relativeFrom="paragraph">
                  <wp:posOffset>11430</wp:posOffset>
                </wp:positionV>
                <wp:extent cx="583200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01318" id="AutoShape 3" o:spid="_x0000_s1026" type="#_x0000_t32" style="position:absolute;margin-left:-87.9pt;margin-top:.9pt;width:459.2pt;height: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HQ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"/>
            </w:pict>
          </mc:Fallback>
        </mc:AlternateContent>
      </w:r>
    </w:p>
    <w:p w14:paraId="70D896C7" w14:textId="61BC8A37" w:rsidR="00EF7A15" w:rsidRPr="00EC21C3" w:rsidRDefault="00304B01" w:rsidP="00362DE5">
      <w:pPr>
        <w:rPr>
          <w:rFonts w:cs="Arial"/>
          <w:szCs w:val="20"/>
        </w:rPr>
      </w:pPr>
      <w:r>
        <w:rPr>
          <w:rFonts w:cs="Arial"/>
          <w:szCs w:val="20"/>
        </w:rPr>
        <w:t>September</w:t>
      </w:r>
      <w:r w:rsidR="00EF7A15" w:rsidRPr="00EC21C3">
        <w:rPr>
          <w:rFonts w:cs="Arial"/>
          <w:szCs w:val="20"/>
        </w:rPr>
        <w:t xml:space="preserve"> 2021</w:t>
      </w:r>
    </w:p>
    <w:p w14:paraId="401D35F9" w14:textId="77777777" w:rsidR="00EF7A15" w:rsidRPr="00EC21C3" w:rsidRDefault="00EF7A15" w:rsidP="00362DE5">
      <w:pPr>
        <w:outlineLvl w:val="0"/>
        <w:rPr>
          <w:rFonts w:cs="Arial"/>
          <w:color w:val="5F6062"/>
          <w:sz w:val="28"/>
          <w:szCs w:val="52"/>
        </w:rPr>
      </w:pPr>
      <w:r w:rsidRPr="00EC21C3">
        <w:rPr>
          <w:rFonts w:cs="Arial"/>
          <w:color w:val="5F6062"/>
          <w:sz w:val="28"/>
          <w:szCs w:val="52"/>
        </w:rPr>
        <w:t>Statement purpose</w:t>
      </w:r>
    </w:p>
    <w:p w14:paraId="3BAC57AA" w14:textId="77777777" w:rsidR="00EF7A15" w:rsidRPr="00EC21C3" w:rsidRDefault="00EF7A15" w:rsidP="00362DE5">
      <w:pPr>
        <w:rPr>
          <w:rFonts w:cs="Arial"/>
          <w:szCs w:val="20"/>
        </w:rPr>
      </w:pPr>
      <w:r w:rsidRPr="00EC21C3">
        <w:rPr>
          <w:rFonts w:cs="Arial"/>
          <w:szCs w:val="20"/>
        </w:rPr>
        <w:t xml:space="preserve">The National Boards’ Patient and </w:t>
      </w:r>
      <w:r>
        <w:rPr>
          <w:rFonts w:cs="Arial"/>
          <w:szCs w:val="20"/>
        </w:rPr>
        <w:t>c</w:t>
      </w:r>
      <w:r w:rsidRPr="00EC21C3">
        <w:rPr>
          <w:rFonts w:cs="Arial"/>
          <w:szCs w:val="20"/>
        </w:rPr>
        <w:t xml:space="preserve">onsumer </w:t>
      </w:r>
      <w:r>
        <w:rPr>
          <w:rFonts w:cs="Arial"/>
          <w:szCs w:val="20"/>
        </w:rPr>
        <w:t>h</w:t>
      </w:r>
      <w:r w:rsidRPr="00EC21C3">
        <w:rPr>
          <w:rFonts w:cs="Arial"/>
          <w:szCs w:val="20"/>
        </w:rPr>
        <w:t xml:space="preserve">ealth and </w:t>
      </w:r>
      <w:r>
        <w:rPr>
          <w:rFonts w:cs="Arial"/>
          <w:szCs w:val="20"/>
        </w:rPr>
        <w:t>s</w:t>
      </w:r>
      <w:r w:rsidRPr="00EC21C3">
        <w:rPr>
          <w:rFonts w:cs="Arial"/>
          <w:szCs w:val="20"/>
        </w:rPr>
        <w:t xml:space="preserve">afety </w:t>
      </w:r>
      <w:r>
        <w:rPr>
          <w:rFonts w:cs="Arial"/>
          <w:szCs w:val="20"/>
        </w:rPr>
        <w:t>i</w:t>
      </w:r>
      <w:r w:rsidRPr="00EC21C3">
        <w:rPr>
          <w:rFonts w:cs="Arial"/>
          <w:szCs w:val="20"/>
        </w:rPr>
        <w:t xml:space="preserve">mpact </w:t>
      </w:r>
      <w:r>
        <w:rPr>
          <w:rFonts w:cs="Arial"/>
          <w:szCs w:val="20"/>
        </w:rPr>
        <w:t>s</w:t>
      </w:r>
      <w:r w:rsidRPr="00EC21C3">
        <w:rPr>
          <w:rFonts w:cs="Arial"/>
          <w:szCs w:val="20"/>
        </w:rPr>
        <w:t>tatement (</w:t>
      </w:r>
      <w:r>
        <w:rPr>
          <w:rFonts w:cs="Arial"/>
          <w:szCs w:val="20"/>
        </w:rPr>
        <w:t>the s</w:t>
      </w:r>
      <w:r w:rsidRPr="00EC21C3">
        <w:rPr>
          <w:rFonts w:cs="Arial"/>
          <w:szCs w:val="20"/>
        </w:rPr>
        <w:t>tatement)</w:t>
      </w:r>
      <w:r w:rsidRPr="00EC21C3">
        <w:rPr>
          <w:rFonts w:cs="Arial"/>
          <w:szCs w:val="20"/>
          <w:vertAlign w:val="superscript"/>
        </w:rPr>
        <w:footnoteReference w:id="2"/>
      </w:r>
      <w:r w:rsidRPr="00EC21C3">
        <w:rPr>
          <w:rFonts w:cs="Arial"/>
          <w:szCs w:val="20"/>
        </w:rPr>
        <w:t xml:space="preserve"> explains the potential impacts of a proposed registration standard, code or guideline on the health and safety of the public, vulnerable members of the community and Aboriginal and Torres Strait Islander Peoples.</w:t>
      </w:r>
    </w:p>
    <w:p w14:paraId="5DABF62A" w14:textId="77777777" w:rsidR="00EF7A15" w:rsidRPr="00EC21C3" w:rsidRDefault="00EF7A15" w:rsidP="00362DE5">
      <w:pPr>
        <w:rPr>
          <w:rFonts w:cs="Arial"/>
          <w:szCs w:val="20"/>
        </w:rPr>
      </w:pPr>
      <w:r w:rsidRPr="00EC21C3">
        <w:rPr>
          <w:rFonts w:cs="Arial"/>
          <w:szCs w:val="20"/>
        </w:rPr>
        <w:t xml:space="preserve">The four key components considered in the </w:t>
      </w:r>
      <w:r>
        <w:rPr>
          <w:rFonts w:cs="Arial"/>
          <w:szCs w:val="20"/>
        </w:rPr>
        <w:t>s</w:t>
      </w:r>
      <w:r w:rsidRPr="00EC21C3">
        <w:rPr>
          <w:rFonts w:cs="Arial"/>
          <w:szCs w:val="20"/>
        </w:rPr>
        <w:t>tatement are:</w:t>
      </w:r>
    </w:p>
    <w:p w14:paraId="290F8832" w14:textId="77777777" w:rsidR="00EF7A15" w:rsidRPr="00EC21C3" w:rsidRDefault="00EF7A15" w:rsidP="00EF7A15">
      <w:pPr>
        <w:numPr>
          <w:ilvl w:val="0"/>
          <w:numId w:val="41"/>
        </w:numPr>
        <w:autoSpaceDE w:val="0"/>
        <w:autoSpaceDN w:val="0"/>
        <w:adjustRightInd w:val="0"/>
        <w:spacing w:before="108" w:after="0"/>
        <w:rPr>
          <w:rFonts w:cs="Arial"/>
          <w:szCs w:val="20"/>
        </w:rPr>
      </w:pPr>
      <w:r w:rsidRPr="00EC21C3">
        <w:rPr>
          <w:rFonts w:cs="Arial"/>
          <w:szCs w:val="20"/>
        </w:rPr>
        <w:t xml:space="preserve">The potential impact of the </w:t>
      </w:r>
      <w:bookmarkStart w:id="113" w:name="_Hlk33284378"/>
      <w:r w:rsidRPr="00EC21C3">
        <w:rPr>
          <w:rFonts w:cs="Arial"/>
          <w:szCs w:val="20"/>
        </w:rPr>
        <w:t>propos</w:t>
      </w:r>
      <w:r>
        <w:rPr>
          <w:rFonts w:cs="Arial"/>
          <w:szCs w:val="20"/>
        </w:rPr>
        <w:t xml:space="preserve">al to replace the </w:t>
      </w:r>
      <w:r w:rsidRPr="00AC7CD6">
        <w:rPr>
          <w:rFonts w:cs="Arial"/>
          <w:i/>
          <w:iCs/>
          <w:szCs w:val="20"/>
        </w:rPr>
        <w:t>Guidelines on infection control</w:t>
      </w:r>
      <w:r>
        <w:rPr>
          <w:rFonts w:cs="Arial"/>
          <w:szCs w:val="20"/>
        </w:rPr>
        <w:t xml:space="preserve"> with other resources</w:t>
      </w:r>
      <w:r w:rsidRPr="00EC21C3">
        <w:rPr>
          <w:rFonts w:cs="Arial"/>
          <w:szCs w:val="20"/>
        </w:rPr>
        <w:t xml:space="preserve"> </w:t>
      </w:r>
      <w:bookmarkEnd w:id="113"/>
      <w:r w:rsidRPr="00EC21C3">
        <w:rPr>
          <w:rFonts w:cs="Arial"/>
          <w:szCs w:val="20"/>
        </w:rPr>
        <w:t>on the health and safety of patients and consumers</w:t>
      </w:r>
      <w:r>
        <w:rPr>
          <w:rFonts w:cs="Arial"/>
          <w:szCs w:val="20"/>
        </w:rPr>
        <w:t>,</w:t>
      </w:r>
      <w:r w:rsidRPr="00EC21C3">
        <w:rPr>
          <w:rFonts w:cs="Arial"/>
          <w:szCs w:val="20"/>
        </w:rPr>
        <w:t xml:space="preserve"> particularly vulnerable members of the community</w:t>
      </w:r>
      <w:r>
        <w:rPr>
          <w:rFonts w:cs="Arial"/>
          <w:szCs w:val="20"/>
        </w:rPr>
        <w:t>,</w:t>
      </w:r>
      <w:r w:rsidRPr="00EC21C3">
        <w:rPr>
          <w:rFonts w:cs="Arial"/>
          <w:szCs w:val="20"/>
        </w:rPr>
        <w:t xml:space="preserve"> including approaches to mitigate any potential negative or unintended effects</w:t>
      </w:r>
    </w:p>
    <w:p w14:paraId="53E89EF5" w14:textId="77777777" w:rsidR="00EF7A15" w:rsidRPr="00EC21C3" w:rsidRDefault="00EF7A15" w:rsidP="00EF7A15">
      <w:pPr>
        <w:numPr>
          <w:ilvl w:val="0"/>
          <w:numId w:val="41"/>
        </w:numPr>
        <w:autoSpaceDE w:val="0"/>
        <w:autoSpaceDN w:val="0"/>
        <w:adjustRightInd w:val="0"/>
        <w:spacing w:before="108" w:after="0"/>
        <w:rPr>
          <w:rFonts w:cs="Arial"/>
          <w:szCs w:val="20"/>
        </w:rPr>
      </w:pPr>
      <w:r w:rsidRPr="00EC21C3">
        <w:rPr>
          <w:rFonts w:cs="Arial"/>
          <w:szCs w:val="20"/>
        </w:rPr>
        <w:t>The potential impact of the propos</w:t>
      </w:r>
      <w:r>
        <w:rPr>
          <w:rFonts w:cs="Arial"/>
          <w:szCs w:val="20"/>
        </w:rPr>
        <w:t xml:space="preserve">al to replace the </w:t>
      </w:r>
      <w:r w:rsidRPr="00AC7CD6">
        <w:rPr>
          <w:rFonts w:cs="Arial"/>
          <w:i/>
          <w:iCs/>
          <w:szCs w:val="20"/>
        </w:rPr>
        <w:t>Guidelines on infection control</w:t>
      </w:r>
      <w:r>
        <w:rPr>
          <w:rFonts w:cs="Arial"/>
          <w:szCs w:val="20"/>
        </w:rPr>
        <w:t xml:space="preserve"> with other resources</w:t>
      </w:r>
      <w:r w:rsidRPr="00EC21C3">
        <w:rPr>
          <w:rFonts w:cs="Arial"/>
          <w:szCs w:val="20"/>
        </w:rPr>
        <w:t xml:space="preserve"> on the health and safety of Aboriginal and Torres Strait Islander Peoples including approaches to mitigate any potential negative or unintended effects</w:t>
      </w:r>
    </w:p>
    <w:p w14:paraId="1E271112" w14:textId="77777777" w:rsidR="00EF7A15" w:rsidRPr="00EC21C3" w:rsidRDefault="00EF7A15" w:rsidP="00EF7A15">
      <w:pPr>
        <w:numPr>
          <w:ilvl w:val="0"/>
          <w:numId w:val="41"/>
        </w:numPr>
        <w:autoSpaceDE w:val="0"/>
        <w:autoSpaceDN w:val="0"/>
        <w:adjustRightInd w:val="0"/>
        <w:spacing w:before="108" w:after="0"/>
        <w:rPr>
          <w:rFonts w:cs="Arial"/>
          <w:szCs w:val="20"/>
        </w:rPr>
      </w:pPr>
      <w:r w:rsidRPr="00EC21C3">
        <w:rPr>
          <w:rFonts w:cs="Arial"/>
          <w:szCs w:val="20"/>
        </w:rPr>
        <w:t>Engagement with patients and consumers, particularly vulnerable members of the community about the proposal</w:t>
      </w:r>
    </w:p>
    <w:p w14:paraId="5BC6A0E0" w14:textId="77777777" w:rsidR="00EF7A15" w:rsidRPr="00EC21C3" w:rsidRDefault="00EF7A15" w:rsidP="00EF7A15">
      <w:pPr>
        <w:numPr>
          <w:ilvl w:val="0"/>
          <w:numId w:val="41"/>
        </w:numPr>
        <w:autoSpaceDE w:val="0"/>
        <w:autoSpaceDN w:val="0"/>
        <w:adjustRightInd w:val="0"/>
        <w:spacing w:before="108" w:after="0"/>
        <w:rPr>
          <w:rFonts w:cs="Arial"/>
          <w:szCs w:val="20"/>
        </w:rPr>
      </w:pPr>
      <w:r w:rsidRPr="00EC21C3">
        <w:rPr>
          <w:rFonts w:eastAsia="Calibri" w:cs="Arial"/>
          <w:szCs w:val="20"/>
        </w:rPr>
        <w:t>Engagement with Aboriginal and Torres Strait Islander Peoples about the proposal.</w:t>
      </w:r>
    </w:p>
    <w:p w14:paraId="6E169A32" w14:textId="77777777" w:rsidR="00EF7A15" w:rsidRPr="00EC21C3" w:rsidRDefault="00EF7A15" w:rsidP="00362DE5">
      <w:pPr>
        <w:kinsoku w:val="0"/>
        <w:overflowPunct w:val="0"/>
        <w:autoSpaceDE w:val="0"/>
        <w:autoSpaceDN w:val="0"/>
        <w:adjustRightInd w:val="0"/>
        <w:spacing w:after="0" w:line="227" w:lineRule="exact"/>
        <w:ind w:left="39"/>
        <w:rPr>
          <w:rFonts w:cs="Arial"/>
          <w:szCs w:val="20"/>
        </w:rPr>
      </w:pPr>
    </w:p>
    <w:p w14:paraId="742674C9" w14:textId="77777777" w:rsidR="00EF7A15" w:rsidRPr="00EC21C3" w:rsidRDefault="00EF7A15" w:rsidP="00362DE5">
      <w:pPr>
        <w:rPr>
          <w:rFonts w:cs="Arial"/>
          <w:szCs w:val="20"/>
        </w:rPr>
      </w:pPr>
      <w:r w:rsidRPr="00EC21C3">
        <w:rPr>
          <w:rFonts w:cs="Arial"/>
          <w:szCs w:val="20"/>
        </w:rPr>
        <w:t xml:space="preserve">The National Boards’ </w:t>
      </w:r>
      <w:r>
        <w:rPr>
          <w:rFonts w:cs="Arial"/>
          <w:szCs w:val="20"/>
        </w:rPr>
        <w:t>Patient and consumer h</w:t>
      </w:r>
      <w:r w:rsidRPr="00EC21C3">
        <w:rPr>
          <w:rFonts w:cs="Arial"/>
          <w:szCs w:val="20"/>
        </w:rPr>
        <w:t xml:space="preserve">ealth and </w:t>
      </w:r>
      <w:r>
        <w:rPr>
          <w:rFonts w:cs="Arial"/>
          <w:szCs w:val="20"/>
        </w:rPr>
        <w:t>s</w:t>
      </w:r>
      <w:r w:rsidRPr="00EC21C3">
        <w:rPr>
          <w:rFonts w:cs="Arial"/>
          <w:szCs w:val="20"/>
        </w:rPr>
        <w:t xml:space="preserve">afety </w:t>
      </w:r>
      <w:r>
        <w:rPr>
          <w:rFonts w:cs="Arial"/>
          <w:szCs w:val="20"/>
        </w:rPr>
        <w:t>i</w:t>
      </w:r>
      <w:r w:rsidRPr="00EC21C3">
        <w:rPr>
          <w:rFonts w:cs="Arial"/>
          <w:szCs w:val="20"/>
        </w:rPr>
        <w:t xml:space="preserve">mpact </w:t>
      </w:r>
      <w:r>
        <w:rPr>
          <w:rFonts w:cs="Arial"/>
          <w:szCs w:val="20"/>
        </w:rPr>
        <w:t>s</w:t>
      </w:r>
      <w:r w:rsidRPr="00EC21C3">
        <w:rPr>
          <w:rFonts w:cs="Arial"/>
          <w:szCs w:val="20"/>
        </w:rPr>
        <w:t>tatement aligns with the National Scheme’s</w:t>
      </w:r>
      <w:r w:rsidRPr="00EC21C3">
        <w:rPr>
          <w:rFonts w:cs="Arial"/>
          <w:i/>
          <w:szCs w:val="20"/>
        </w:rPr>
        <w:t xml:space="preserve"> </w:t>
      </w:r>
      <w:hyperlink r:id="rId37" w:history="1">
        <w:r w:rsidRPr="00F53D47">
          <w:rPr>
            <w:rFonts w:cs="Arial"/>
            <w:i/>
            <w:iCs/>
            <w:color w:val="0000FF"/>
            <w:szCs w:val="20"/>
            <w:u w:val="single"/>
          </w:rPr>
          <w:t>Aboriginal and Torres Strait Islander Cultural Health and Safety Strategy 2020-2025</w:t>
        </w:r>
      </w:hyperlink>
      <w:r w:rsidRPr="00F53D47">
        <w:rPr>
          <w:rFonts w:cs="Arial"/>
          <w:i/>
          <w:iCs/>
          <w:szCs w:val="20"/>
        </w:rPr>
        <w:t>,</w:t>
      </w:r>
      <w:r w:rsidRPr="00EC21C3">
        <w:rPr>
          <w:rFonts w:cs="Arial"/>
          <w:szCs w:val="20"/>
        </w:rPr>
        <w:t xml:space="preserve"> the </w:t>
      </w:r>
      <w:hyperlink r:id="rId38" w:history="1">
        <w:r w:rsidRPr="00F53D47">
          <w:rPr>
            <w:rFonts w:cs="Arial"/>
            <w:i/>
            <w:iCs/>
            <w:color w:val="0000FF"/>
            <w:szCs w:val="20"/>
            <w:u w:val="single"/>
          </w:rPr>
          <w:t>N</w:t>
        </w:r>
        <w:r>
          <w:rPr>
            <w:rFonts w:cs="Arial"/>
            <w:i/>
            <w:iCs/>
            <w:color w:val="0000FF"/>
            <w:szCs w:val="20"/>
            <w:u w:val="single"/>
          </w:rPr>
          <w:t>ational Scheme</w:t>
        </w:r>
        <w:r w:rsidRPr="00F53D47">
          <w:rPr>
            <w:rFonts w:cs="Arial"/>
            <w:i/>
            <w:iCs/>
            <w:color w:val="0000FF"/>
            <w:szCs w:val="20"/>
            <w:u w:val="single"/>
          </w:rPr>
          <w:t xml:space="preserve"> Strategy 2020-25</w:t>
        </w:r>
      </w:hyperlink>
      <w:r w:rsidRPr="00EC21C3">
        <w:rPr>
          <w:rFonts w:cs="Arial"/>
          <w:szCs w:val="20"/>
        </w:rPr>
        <w:t xml:space="preserve"> and reflect</w:t>
      </w:r>
      <w:r>
        <w:rPr>
          <w:rFonts w:cs="Arial"/>
          <w:szCs w:val="20"/>
        </w:rPr>
        <w:t>s</w:t>
      </w:r>
      <w:r w:rsidRPr="00EC21C3">
        <w:rPr>
          <w:rFonts w:cs="Arial"/>
          <w:szCs w:val="20"/>
        </w:rPr>
        <w:t xml:space="preserve"> key aspects of the revised consultation process in the </w:t>
      </w:r>
      <w:hyperlink r:id="rId39" w:history="1">
        <w:r w:rsidRPr="00F53D47">
          <w:rPr>
            <w:rFonts w:cs="Arial"/>
            <w:iCs/>
            <w:color w:val="0000FF"/>
            <w:szCs w:val="20"/>
            <w:u w:val="single"/>
          </w:rPr>
          <w:t>AManC Procedures for developing registration standards, codes and guidelines and accreditation standard</w:t>
        </w:r>
        <w:r w:rsidRPr="00EC21C3">
          <w:rPr>
            <w:rFonts w:cs="Arial"/>
            <w:i/>
            <w:color w:val="0000FF"/>
            <w:szCs w:val="20"/>
            <w:u w:val="single"/>
          </w:rPr>
          <w:t>s</w:t>
        </w:r>
      </w:hyperlink>
      <w:r w:rsidRPr="00EC21C3">
        <w:rPr>
          <w:rFonts w:cs="Arial"/>
          <w:szCs w:val="20"/>
        </w:rPr>
        <w:t>.</w:t>
      </w:r>
    </w:p>
    <w:p w14:paraId="025B3058" w14:textId="77777777" w:rsidR="00EF7A15" w:rsidRPr="00EC21C3" w:rsidRDefault="00EF7A15" w:rsidP="00EC21C3">
      <w:pPr>
        <w:pStyle w:val="AHPRAbodybold"/>
        <w:rPr>
          <w:szCs w:val="20"/>
        </w:rPr>
      </w:pPr>
      <w:r w:rsidRPr="00EC21C3">
        <w:rPr>
          <w:szCs w:val="20"/>
        </w:rPr>
        <w:t xml:space="preserve">Below is </w:t>
      </w:r>
      <w:r>
        <w:rPr>
          <w:szCs w:val="20"/>
        </w:rPr>
        <w:t>the</w:t>
      </w:r>
      <w:r w:rsidRPr="00EC21C3">
        <w:rPr>
          <w:szCs w:val="20"/>
        </w:rPr>
        <w:t xml:space="preserve"> initial assessment of the potential impact of the proposed replacement of the Dental Board of Australia’s (the Board) </w:t>
      </w:r>
      <w:r w:rsidRPr="00EC21C3">
        <w:rPr>
          <w:i/>
          <w:szCs w:val="20"/>
        </w:rPr>
        <w:t>Guidelines on infection control</w:t>
      </w:r>
      <w:r w:rsidRPr="00EC21C3">
        <w:rPr>
          <w:szCs w:val="20"/>
        </w:rPr>
        <w:t xml:space="preserve"> (the </w:t>
      </w:r>
      <w:r>
        <w:rPr>
          <w:szCs w:val="20"/>
        </w:rPr>
        <w:t>g</w:t>
      </w:r>
      <w:r w:rsidRPr="00EC21C3">
        <w:rPr>
          <w:szCs w:val="20"/>
        </w:rPr>
        <w:t>uidelines) with other supporting resources on the health and safety of patients and consumers, particularly vulnerable members of the community, and Aboriginal and Torres Strait Islander Peoples. This assessment will be updated after consultation feedback.</w:t>
      </w:r>
    </w:p>
    <w:p w14:paraId="7F5A540A" w14:textId="77777777" w:rsidR="00EF7A15" w:rsidRPr="00EC21C3" w:rsidRDefault="00EF7A15" w:rsidP="00362DE5">
      <w:pPr>
        <w:pBdr>
          <w:top w:val="single" w:sz="4" w:space="1" w:color="auto"/>
          <w:left w:val="single" w:sz="4" w:space="4" w:color="auto"/>
          <w:bottom w:val="single" w:sz="4" w:space="1" w:color="auto"/>
          <w:right w:val="single" w:sz="4" w:space="4" w:color="auto"/>
        </w:pBdr>
        <w:spacing w:before="200"/>
        <w:ind w:left="426" w:hanging="426"/>
        <w:rPr>
          <w:b/>
          <w:color w:val="007DC3"/>
          <w:szCs w:val="20"/>
        </w:rPr>
      </w:pPr>
      <w:r w:rsidRPr="00EC21C3">
        <w:rPr>
          <w:b/>
          <w:color w:val="007DC3"/>
          <w:szCs w:val="20"/>
        </w:rPr>
        <w:t>1.</w:t>
      </w:r>
      <w:r w:rsidRPr="00EC21C3">
        <w:rPr>
          <w:b/>
          <w:color w:val="007DC3"/>
          <w:szCs w:val="20"/>
        </w:rPr>
        <w:tab/>
        <w:t>How will this proposal impact on patient and consumer health and safety, particularly vulnerable members of the community? Will the impact be different for vulnerable members compared to the general public?</w:t>
      </w:r>
    </w:p>
    <w:p w14:paraId="47570D0E" w14:textId="77777777" w:rsidR="00EF7A15" w:rsidRPr="00EC21C3" w:rsidRDefault="00EF7A15" w:rsidP="009C6514">
      <w:pPr>
        <w:pStyle w:val="AHPRAbody"/>
      </w:pPr>
      <w:r>
        <w:t>The Board has carefully considered what possible outcomes replacing the guidelines could have</w:t>
      </w:r>
      <w:r w:rsidRPr="7D5F98C7">
        <w:rPr>
          <w:rStyle w:val="CommentReference"/>
          <w:rFonts w:cs="Times New Roman"/>
          <w:szCs w:val="20"/>
        </w:rPr>
        <w:t xml:space="preserve"> </w:t>
      </w:r>
      <w:r>
        <w:t>on patient and consumer health and safety, particularly vulnerable members of the community, in order to put forward what we think is the best option for consultation. The proposed option is based on best available evidence and an assessment against the Board’s principles for the review of the guidelines. Our engagement through consultation will help us to better understand possible outcomes and meet our responsibilities to protect patient safety and healthcare quality. The Board does not believe the impact of its proposal will be different for vulnerable members of the community.</w:t>
      </w:r>
    </w:p>
    <w:p w14:paraId="719CA195" w14:textId="77777777" w:rsidR="00EF7A15" w:rsidRPr="00EC21C3" w:rsidRDefault="00EF7A15" w:rsidP="00362DE5">
      <w:pPr>
        <w:pBdr>
          <w:top w:val="single" w:sz="4" w:space="1" w:color="auto"/>
          <w:left w:val="single" w:sz="4" w:space="4" w:color="auto"/>
          <w:bottom w:val="single" w:sz="4" w:space="1" w:color="auto"/>
          <w:right w:val="single" w:sz="4" w:space="4" w:color="auto"/>
        </w:pBdr>
        <w:spacing w:before="200"/>
        <w:ind w:left="426" w:hanging="426"/>
        <w:rPr>
          <w:b/>
          <w:color w:val="007DC3"/>
          <w:szCs w:val="20"/>
        </w:rPr>
      </w:pPr>
      <w:r w:rsidRPr="00EC21C3">
        <w:rPr>
          <w:b/>
          <w:color w:val="007DC3"/>
          <w:szCs w:val="20"/>
        </w:rPr>
        <w:t>2.</w:t>
      </w:r>
      <w:r w:rsidRPr="00EC21C3">
        <w:rPr>
          <w:b/>
          <w:color w:val="007DC3"/>
          <w:szCs w:val="20"/>
        </w:rPr>
        <w:tab/>
        <w:t xml:space="preserve">How will </w:t>
      </w:r>
      <w:r>
        <w:rPr>
          <w:b/>
          <w:color w:val="007DC3"/>
          <w:szCs w:val="20"/>
        </w:rPr>
        <w:t xml:space="preserve">the </w:t>
      </w:r>
      <w:r w:rsidRPr="00EC21C3">
        <w:rPr>
          <w:b/>
          <w:color w:val="007DC3"/>
          <w:szCs w:val="20"/>
        </w:rPr>
        <w:t>consultation engage with patients and consumers, particularly vulnerable members of the community?</w:t>
      </w:r>
    </w:p>
    <w:p w14:paraId="20EFC69E" w14:textId="77777777" w:rsidR="00EF7A15" w:rsidRPr="00EC21C3" w:rsidRDefault="00EF7A15" w:rsidP="009C6514">
      <w:pPr>
        <w:pStyle w:val="AHPRAbody"/>
        <w:rPr>
          <w:szCs w:val="20"/>
        </w:rPr>
      </w:pPr>
      <w:r w:rsidRPr="00EC21C3">
        <w:rPr>
          <w:szCs w:val="20"/>
        </w:rPr>
        <w:lastRenderedPageBreak/>
        <w:t>In line with our consultation processes</w:t>
      </w:r>
      <w:r>
        <w:rPr>
          <w:szCs w:val="20"/>
        </w:rPr>
        <w:t>,</w:t>
      </w:r>
      <w:r w:rsidRPr="00EC21C3">
        <w:rPr>
          <w:szCs w:val="20"/>
        </w:rPr>
        <w:t xml:space="preserve"> the Board is carrying out wide-ranging consultation. We will engage with patient and consumers, peak bodies, communities and other relevant organisations to get input and views from vulnerable members of the community. </w:t>
      </w:r>
    </w:p>
    <w:p w14:paraId="29A36E0C" w14:textId="77777777" w:rsidR="00EF7A15" w:rsidRPr="00EC21C3" w:rsidRDefault="00EF7A15" w:rsidP="00362DE5">
      <w:pPr>
        <w:pBdr>
          <w:top w:val="single" w:sz="4" w:space="1" w:color="auto"/>
          <w:left w:val="single" w:sz="4" w:space="4" w:color="auto"/>
          <w:bottom w:val="single" w:sz="4" w:space="1" w:color="auto"/>
          <w:right w:val="single" w:sz="4" w:space="4" w:color="auto"/>
        </w:pBdr>
        <w:spacing w:before="200"/>
        <w:ind w:left="426" w:hanging="426"/>
        <w:rPr>
          <w:b/>
          <w:color w:val="007DC3"/>
          <w:szCs w:val="20"/>
        </w:rPr>
      </w:pPr>
      <w:r w:rsidRPr="00EC21C3">
        <w:rPr>
          <w:b/>
          <w:color w:val="007DC3"/>
          <w:szCs w:val="20"/>
        </w:rPr>
        <w:t>3.</w:t>
      </w:r>
      <w:r w:rsidRPr="00EC21C3">
        <w:rPr>
          <w:b/>
          <w:color w:val="007DC3"/>
          <w:szCs w:val="20"/>
        </w:rPr>
        <w:tab/>
        <w:t>What might be the unintended impacts for patients and consumers</w:t>
      </w:r>
      <w:r>
        <w:rPr>
          <w:b/>
          <w:color w:val="007DC3"/>
          <w:szCs w:val="20"/>
        </w:rPr>
        <w:t>,</w:t>
      </w:r>
      <w:r w:rsidRPr="00EC21C3">
        <w:rPr>
          <w:b/>
          <w:color w:val="007DC3"/>
          <w:szCs w:val="20"/>
        </w:rPr>
        <w:t xml:space="preserve"> particularly vulnerable members of the community? How will these be addressed?</w:t>
      </w:r>
    </w:p>
    <w:p w14:paraId="7DC1833E" w14:textId="77777777" w:rsidR="00EF7A15" w:rsidRPr="00EC21C3" w:rsidRDefault="00EF7A15" w:rsidP="00EC21C3">
      <w:pPr>
        <w:pStyle w:val="AHPRAbody"/>
        <w:rPr>
          <w:szCs w:val="20"/>
        </w:rPr>
      </w:pPr>
      <w:r w:rsidRPr="00EC21C3">
        <w:rPr>
          <w:szCs w:val="20"/>
        </w:rPr>
        <w:t xml:space="preserve">The Board has carefully considered what possible unintended outcomes of replacing the </w:t>
      </w:r>
      <w:r>
        <w:rPr>
          <w:szCs w:val="20"/>
        </w:rPr>
        <w:t>g</w:t>
      </w:r>
      <w:r w:rsidRPr="00EC21C3">
        <w:rPr>
          <w:szCs w:val="20"/>
        </w:rPr>
        <w:t xml:space="preserve">uidelines with other supporting material might be, as the </w:t>
      </w:r>
      <w:r w:rsidRPr="004416C6">
        <w:rPr>
          <w:szCs w:val="20"/>
        </w:rPr>
        <w:t>consultation paper</w:t>
      </w:r>
      <w:r w:rsidRPr="00EC21C3">
        <w:rPr>
          <w:b/>
          <w:szCs w:val="20"/>
        </w:rPr>
        <w:t xml:space="preserve"> </w:t>
      </w:r>
      <w:r w:rsidRPr="00EC21C3">
        <w:rPr>
          <w:szCs w:val="20"/>
        </w:rPr>
        <w:t xml:space="preserve">explains. </w:t>
      </w:r>
      <w:bookmarkStart w:id="114" w:name="_Hlk40158614"/>
      <w:r w:rsidRPr="00EC21C3">
        <w:rPr>
          <w:szCs w:val="20"/>
        </w:rPr>
        <w:t xml:space="preserve">Consulting with relevant organisations and vulnerable members of the community </w:t>
      </w:r>
      <w:bookmarkEnd w:id="114"/>
      <w:r w:rsidRPr="00EC21C3">
        <w:rPr>
          <w:szCs w:val="20"/>
        </w:rPr>
        <w:t>will help us to identify any other potential outcomes. We will fully consider and take actions to address any potential adverse outcome for patients and consumers that may be raised during consultation, particularly for vulnerable members of the community.</w:t>
      </w:r>
    </w:p>
    <w:p w14:paraId="03D4ED45" w14:textId="77777777" w:rsidR="00EF7A15" w:rsidRPr="00EC21C3" w:rsidRDefault="00EF7A15" w:rsidP="00362DE5">
      <w:pPr>
        <w:pBdr>
          <w:top w:val="single" w:sz="4" w:space="1" w:color="auto"/>
          <w:left w:val="single" w:sz="4" w:space="4" w:color="auto"/>
          <w:bottom w:val="single" w:sz="4" w:space="1" w:color="auto"/>
          <w:right w:val="single" w:sz="4" w:space="4" w:color="auto"/>
        </w:pBdr>
        <w:spacing w:before="200"/>
        <w:ind w:left="426" w:hanging="426"/>
        <w:rPr>
          <w:b/>
          <w:color w:val="007DC3"/>
          <w:szCs w:val="20"/>
        </w:rPr>
      </w:pPr>
      <w:r w:rsidRPr="00EC21C3">
        <w:rPr>
          <w:b/>
          <w:color w:val="007DC3"/>
          <w:szCs w:val="20"/>
        </w:rPr>
        <w:t>4.</w:t>
      </w:r>
      <w:r w:rsidRPr="00EC21C3">
        <w:rPr>
          <w:b/>
          <w:color w:val="007DC3"/>
          <w:szCs w:val="20"/>
        </w:rPr>
        <w:tab/>
        <w:t xml:space="preserve">How will this proposal </w:t>
      </w:r>
      <w:r>
        <w:rPr>
          <w:b/>
          <w:color w:val="007DC3"/>
          <w:szCs w:val="20"/>
        </w:rPr>
        <w:t>effect</w:t>
      </w:r>
      <w:r w:rsidRPr="00EC21C3">
        <w:rPr>
          <w:b/>
          <w:color w:val="007DC3"/>
          <w:szCs w:val="20"/>
        </w:rPr>
        <w:t xml:space="preserve"> Aboriginal and Torres Strait Islander Peoples? How will the </w:t>
      </w:r>
      <w:r>
        <w:rPr>
          <w:b/>
          <w:color w:val="007DC3"/>
          <w:szCs w:val="20"/>
        </w:rPr>
        <w:t>effect</w:t>
      </w:r>
      <w:r w:rsidRPr="00EC21C3">
        <w:rPr>
          <w:b/>
          <w:color w:val="007DC3"/>
          <w:szCs w:val="20"/>
        </w:rPr>
        <w:t xml:space="preserve"> be different for Aboriginal and Torres Strait Islander Peoples compared to non-Aboriginal and Torres Strait Islander Peoples?</w:t>
      </w:r>
    </w:p>
    <w:p w14:paraId="1A9F1A67" w14:textId="77777777" w:rsidR="00EF7A15" w:rsidRPr="00EC21C3" w:rsidRDefault="00EF7A15" w:rsidP="0098594A">
      <w:pPr>
        <w:pStyle w:val="AHPRAbody"/>
        <w:rPr>
          <w:szCs w:val="20"/>
        </w:rPr>
      </w:pPr>
      <w:r w:rsidRPr="00EC21C3">
        <w:rPr>
          <w:szCs w:val="20"/>
        </w:rPr>
        <w:t xml:space="preserve">The Board has carefully considered any potential outcomes of replacing the </w:t>
      </w:r>
      <w:r>
        <w:rPr>
          <w:szCs w:val="20"/>
        </w:rPr>
        <w:t>g</w:t>
      </w:r>
      <w:r w:rsidRPr="00EC21C3">
        <w:rPr>
          <w:szCs w:val="20"/>
        </w:rPr>
        <w:t>uidelines with other supporting material on Aboriginal and Torres Strait Islander Peoples and how, when compared to non-Aboriginal and Torres Strait Islander Peoples they might be different, in order to put forward the proposed options for feedback as outlined in the consultation paper.</w:t>
      </w:r>
      <w:r w:rsidRPr="00EC21C3">
        <w:rPr>
          <w:b/>
          <w:szCs w:val="20"/>
        </w:rPr>
        <w:t xml:space="preserve"> </w:t>
      </w:r>
      <w:r w:rsidRPr="00EC21C3">
        <w:rPr>
          <w:szCs w:val="20"/>
        </w:rPr>
        <w:t xml:space="preserve">Our engagement through consultation will help us to identify any other potential outcomes and meet our responsibilities to protect safety and healthcare quality for Aboriginal and Torres Strait Islander Peoples. </w:t>
      </w:r>
    </w:p>
    <w:p w14:paraId="64C4ACF2" w14:textId="77777777" w:rsidR="00EF7A15" w:rsidRPr="00EC21C3" w:rsidRDefault="00EF7A15" w:rsidP="00362DE5">
      <w:pPr>
        <w:pBdr>
          <w:top w:val="single" w:sz="4" w:space="1" w:color="auto"/>
          <w:left w:val="single" w:sz="4" w:space="4" w:color="auto"/>
          <w:bottom w:val="single" w:sz="4" w:space="1" w:color="auto"/>
          <w:right w:val="single" w:sz="4" w:space="4" w:color="auto"/>
        </w:pBdr>
        <w:spacing w:before="200"/>
        <w:ind w:left="426" w:hanging="426"/>
        <w:rPr>
          <w:b/>
          <w:color w:val="007DC3"/>
          <w:szCs w:val="20"/>
        </w:rPr>
      </w:pPr>
      <w:r w:rsidRPr="00EC21C3">
        <w:rPr>
          <w:b/>
          <w:color w:val="007DC3"/>
          <w:szCs w:val="20"/>
        </w:rPr>
        <w:t>5.</w:t>
      </w:r>
      <w:r w:rsidRPr="00EC21C3">
        <w:rPr>
          <w:b/>
          <w:color w:val="007DC3"/>
          <w:szCs w:val="20"/>
        </w:rPr>
        <w:tab/>
        <w:t>How will consultation about this proposal engage Aboriginal and Torres Strait Islander Peoples?</w:t>
      </w:r>
    </w:p>
    <w:p w14:paraId="682B9D59" w14:textId="77777777" w:rsidR="00EF7A15" w:rsidRPr="00EC21C3" w:rsidRDefault="00EF7A15" w:rsidP="00B80C77">
      <w:pPr>
        <w:pStyle w:val="AHPRAbody"/>
        <w:rPr>
          <w:szCs w:val="20"/>
        </w:rPr>
      </w:pPr>
      <w:r w:rsidRPr="00EC21C3">
        <w:rPr>
          <w:szCs w:val="20"/>
        </w:rPr>
        <w:t>The Board is committed to the National Scheme’s</w:t>
      </w:r>
      <w:r w:rsidRPr="00EC21C3">
        <w:rPr>
          <w:color w:val="A6A6A6" w:themeColor="background1" w:themeShade="A6"/>
          <w:szCs w:val="20"/>
        </w:rPr>
        <w:t xml:space="preserve"> </w:t>
      </w:r>
      <w:hyperlink r:id="rId40" w:history="1">
        <w:r w:rsidRPr="00EC21C3">
          <w:rPr>
            <w:color w:val="0082F1"/>
            <w:szCs w:val="20"/>
            <w:u w:val="single"/>
            <w:lang w:val="en"/>
          </w:rPr>
          <w:t>Aboriginal and Torres Strait Islander Cultural Health and Safety Strategy 2020-2025</w:t>
        </w:r>
      </w:hyperlink>
      <w:r w:rsidRPr="00EC21C3">
        <w:rPr>
          <w:color w:val="54575B"/>
          <w:szCs w:val="20"/>
          <w:lang w:val="en"/>
        </w:rPr>
        <w:t xml:space="preserve"> </w:t>
      </w:r>
      <w:r w:rsidRPr="00EC21C3">
        <w:rPr>
          <w:szCs w:val="20"/>
        </w:rPr>
        <w:t xml:space="preserve">which focuses on achieving patient safety for Aboriginal and Torres Islander Peoples as the norm, and the inextricably linked elements of clinical and cultural safety. </w:t>
      </w:r>
    </w:p>
    <w:p w14:paraId="6C404C93" w14:textId="77777777" w:rsidR="00EF7A15" w:rsidRPr="00EC21C3" w:rsidRDefault="00EF7A15" w:rsidP="00B80C77">
      <w:pPr>
        <w:pStyle w:val="AHPRAbody"/>
        <w:rPr>
          <w:szCs w:val="20"/>
        </w:rPr>
      </w:pPr>
      <w:r w:rsidRPr="00EC21C3">
        <w:rPr>
          <w:szCs w:val="20"/>
        </w:rPr>
        <w:t xml:space="preserve">As part of our consultation process, we have tried to find the best way to meaningfully engage with Aboriginal and Torres Strait Islander Peoples. </w:t>
      </w:r>
    </w:p>
    <w:p w14:paraId="79C69D28" w14:textId="77777777" w:rsidR="00EF7A15" w:rsidRPr="00EC21C3" w:rsidRDefault="00EF7A15" w:rsidP="00362DE5">
      <w:pPr>
        <w:pBdr>
          <w:top w:val="single" w:sz="4" w:space="1" w:color="auto"/>
          <w:left w:val="single" w:sz="4" w:space="4" w:color="auto"/>
          <w:bottom w:val="single" w:sz="4" w:space="1" w:color="auto"/>
          <w:right w:val="single" w:sz="4" w:space="4" w:color="auto"/>
        </w:pBdr>
        <w:tabs>
          <w:tab w:val="left" w:pos="9026"/>
        </w:tabs>
        <w:spacing w:before="200"/>
        <w:ind w:left="426" w:hanging="426"/>
        <w:rPr>
          <w:b/>
          <w:color w:val="007DC3"/>
          <w:szCs w:val="20"/>
        </w:rPr>
      </w:pPr>
      <w:r w:rsidRPr="00EC21C3">
        <w:rPr>
          <w:b/>
          <w:color w:val="007DC3"/>
          <w:szCs w:val="20"/>
        </w:rPr>
        <w:t>6.</w:t>
      </w:r>
      <w:r w:rsidRPr="00EC21C3">
        <w:rPr>
          <w:b/>
          <w:color w:val="007DC3"/>
          <w:szCs w:val="20"/>
        </w:rPr>
        <w:tab/>
        <w:t xml:space="preserve">What might be the unintended impacts for Aboriginal and Torres Strait Islander Peoples? How will these be addressed? </w:t>
      </w:r>
    </w:p>
    <w:p w14:paraId="53880E2D" w14:textId="77777777" w:rsidR="00EF7A15" w:rsidRPr="00EC21C3" w:rsidRDefault="00EF7A15" w:rsidP="008B0BAC">
      <w:pPr>
        <w:pStyle w:val="AHPRAbody"/>
        <w:rPr>
          <w:szCs w:val="20"/>
        </w:rPr>
      </w:pPr>
      <w:r w:rsidRPr="00EC21C3">
        <w:rPr>
          <w:szCs w:val="20"/>
        </w:rPr>
        <w:t xml:space="preserve">The Board has carefully considered </w:t>
      </w:r>
      <w:r>
        <w:rPr>
          <w:szCs w:val="20"/>
        </w:rPr>
        <w:t>possible</w:t>
      </w:r>
      <w:r w:rsidRPr="00EC21C3">
        <w:rPr>
          <w:szCs w:val="20"/>
        </w:rPr>
        <w:t xml:space="preserve"> unintended outcomes </w:t>
      </w:r>
      <w:r>
        <w:rPr>
          <w:szCs w:val="20"/>
        </w:rPr>
        <w:t>of</w:t>
      </w:r>
      <w:r w:rsidRPr="00EC21C3">
        <w:rPr>
          <w:szCs w:val="20"/>
        </w:rPr>
        <w:t xml:space="preserve"> </w:t>
      </w:r>
      <w:r>
        <w:rPr>
          <w:szCs w:val="20"/>
        </w:rPr>
        <w:t xml:space="preserve">replacing </w:t>
      </w:r>
      <w:r w:rsidRPr="00EC21C3">
        <w:rPr>
          <w:szCs w:val="20"/>
        </w:rPr>
        <w:t xml:space="preserve">the </w:t>
      </w:r>
      <w:r>
        <w:rPr>
          <w:szCs w:val="20"/>
        </w:rPr>
        <w:t>g</w:t>
      </w:r>
      <w:r w:rsidRPr="00EC21C3">
        <w:rPr>
          <w:szCs w:val="20"/>
        </w:rPr>
        <w:t>uidelines with other supporting resources, as identified in the consultation paper. Continuing to engage with relevant organisations and Aboriginal and Torres Strait Islander Peoples will help us to identify any other potential outcomes. We will consider and take actions to address any other potential adverse outcomes for Aboriginal and Torres Strait Islander Peoples that may be raised during consultation.</w:t>
      </w:r>
    </w:p>
    <w:p w14:paraId="2594BDEC" w14:textId="77777777" w:rsidR="00EF7A15" w:rsidRPr="00EC21C3" w:rsidRDefault="00EF7A15" w:rsidP="00362DE5">
      <w:pPr>
        <w:pBdr>
          <w:top w:val="single" w:sz="4" w:space="1" w:color="auto"/>
          <w:left w:val="single" w:sz="4" w:space="4" w:color="auto"/>
          <w:bottom w:val="single" w:sz="4" w:space="1" w:color="auto"/>
          <w:right w:val="single" w:sz="4" w:space="4" w:color="auto"/>
        </w:pBdr>
        <w:spacing w:before="200"/>
        <w:ind w:left="426" w:hanging="426"/>
        <w:rPr>
          <w:b/>
          <w:color w:val="007DC3"/>
          <w:szCs w:val="20"/>
        </w:rPr>
      </w:pPr>
      <w:r w:rsidRPr="00EC21C3">
        <w:rPr>
          <w:b/>
          <w:color w:val="007DC3"/>
          <w:szCs w:val="20"/>
        </w:rPr>
        <w:t>7</w:t>
      </w:r>
      <w:r w:rsidRPr="00EC21C3">
        <w:rPr>
          <w:b/>
          <w:color w:val="007DC3"/>
          <w:szCs w:val="20"/>
        </w:rPr>
        <w:tab/>
        <w:t>How will the impact of this proposal be actively monitored and evaluated?</w:t>
      </w:r>
    </w:p>
    <w:p w14:paraId="5646DDF3" w14:textId="77777777" w:rsidR="00EF7A15" w:rsidRPr="00EC21C3" w:rsidRDefault="00EF7A15" w:rsidP="00FC63DF">
      <w:pPr>
        <w:pStyle w:val="AHPRAbody"/>
        <w:rPr>
          <w:szCs w:val="20"/>
        </w:rPr>
      </w:pPr>
      <w:r w:rsidRPr="00EC21C3">
        <w:rPr>
          <w:szCs w:val="20"/>
        </w:rPr>
        <w:t>Part of the Board’s work in keeping the public safe is ensuring that all standards, codes and guidelines are regularly reviewed.</w:t>
      </w:r>
    </w:p>
    <w:p w14:paraId="77BD9D99" w14:textId="77777777" w:rsidR="00EF7A15" w:rsidRPr="00EC21C3" w:rsidRDefault="00EF7A15" w:rsidP="00FC63DF">
      <w:pPr>
        <w:pStyle w:val="AHPRAbody"/>
        <w:rPr>
          <w:szCs w:val="20"/>
        </w:rPr>
      </w:pPr>
      <w:r w:rsidRPr="00EC21C3">
        <w:rPr>
          <w:szCs w:val="20"/>
        </w:rPr>
        <w:t>In keeping with this principle, the Board will conduct an evaluation of its review, implementation and outcomes and regularly review supporting material, to check it is working as intended.</w:t>
      </w:r>
    </w:p>
    <w:p w14:paraId="4053ED1E" w14:textId="77777777" w:rsidR="00EF7A15" w:rsidRDefault="00EF7A15" w:rsidP="00362DE5">
      <w:pPr>
        <w:rPr>
          <w:color w:val="007DC3"/>
          <w:sz w:val="32"/>
          <w:szCs w:val="32"/>
        </w:rPr>
      </w:pPr>
      <w:r>
        <w:rPr>
          <w:b/>
          <w:sz w:val="32"/>
          <w:szCs w:val="32"/>
        </w:rPr>
        <w:br w:type="page"/>
      </w:r>
    </w:p>
    <w:p w14:paraId="6EBC7F86" w14:textId="77777777" w:rsidR="00EF7A15" w:rsidRPr="008309F5" w:rsidRDefault="00EF7A15" w:rsidP="00362DE5">
      <w:pPr>
        <w:pStyle w:val="AHPRASubheading"/>
        <w:rPr>
          <w:b w:val="0"/>
          <w:sz w:val="32"/>
          <w:szCs w:val="32"/>
        </w:rPr>
      </w:pPr>
      <w:bookmarkStart w:id="115" w:name="_Toc71533454"/>
      <w:r>
        <w:rPr>
          <w:b w:val="0"/>
          <w:sz w:val="32"/>
          <w:szCs w:val="32"/>
        </w:rPr>
        <w:lastRenderedPageBreak/>
        <w:t>S</w:t>
      </w:r>
      <w:r w:rsidRPr="008309F5">
        <w:rPr>
          <w:b w:val="0"/>
          <w:sz w:val="32"/>
          <w:szCs w:val="32"/>
        </w:rPr>
        <w:t>tatement of assessment against Ahpra’s Procedures for the development of registration standards, codes and guidelines, and principles for best practice regulation</w:t>
      </w:r>
      <w:bookmarkEnd w:id="115"/>
    </w:p>
    <w:p w14:paraId="50751989" w14:textId="77777777" w:rsidR="00EF7A15" w:rsidRPr="00E64208" w:rsidRDefault="00EF7A15" w:rsidP="00362DE5">
      <w:pPr>
        <w:outlineLvl w:val="0"/>
      </w:pPr>
      <w:r w:rsidRPr="008309F5">
        <w:rPr>
          <w:b/>
          <w:noProof/>
          <w:sz w:val="32"/>
          <w:szCs w:val="32"/>
        </w:rPr>
        <mc:AlternateContent>
          <mc:Choice Requires="wps">
            <w:drawing>
              <wp:anchor distT="0" distB="0" distL="114300" distR="114300" simplePos="0" relativeHeight="251661315" behindDoc="0" locked="0" layoutInCell="1" allowOverlap="1" wp14:anchorId="74297589" wp14:editId="758EF90C">
                <wp:simplePos x="0" y="0"/>
                <wp:positionH relativeFrom="column">
                  <wp:posOffset>-929306</wp:posOffset>
                </wp:positionH>
                <wp:positionV relativeFrom="paragraph">
                  <wp:posOffset>12332</wp:posOffset>
                </wp:positionV>
                <wp:extent cx="2988000"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E8DB0" id="AutoShape 3" o:spid="_x0000_s1026" type="#_x0000_t32" style="position:absolute;margin-left:-73.15pt;margin-top:.95pt;width:235.3pt;height:0;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sO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fQQxjMYV0BUpbY2NEiP6tU8a/rdIaWrjqiWx+C3k4HcLGQk71LCxRkoshu+aAYxBPDj&#10;rI6N7QMkTAEdoySnmyT86BGFj5PFfJ6m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"/>
            </w:pict>
          </mc:Fallback>
        </mc:AlternateContent>
      </w:r>
    </w:p>
    <w:p w14:paraId="37617F4D" w14:textId="7DD03266" w:rsidR="00EF7A15" w:rsidRPr="00E64208" w:rsidRDefault="00304B01" w:rsidP="00362DE5">
      <w:pPr>
        <w:rPr>
          <w:rFonts w:cs="Arial"/>
        </w:rPr>
      </w:pPr>
      <w:r>
        <w:rPr>
          <w:rFonts w:cs="Arial"/>
        </w:rPr>
        <w:t>September</w:t>
      </w:r>
      <w:r w:rsidR="00EF7A15" w:rsidRPr="00177CFC">
        <w:rPr>
          <w:rFonts w:cs="Arial"/>
        </w:rPr>
        <w:t xml:space="preserve"> 2021</w:t>
      </w:r>
    </w:p>
    <w:p w14:paraId="325D8158" w14:textId="77777777" w:rsidR="00EF7A15" w:rsidRPr="008E13BC" w:rsidRDefault="00EF7A15" w:rsidP="008E13BC">
      <w:pPr>
        <w:pStyle w:val="AHPRADocumentsubheading"/>
      </w:pPr>
      <w:r w:rsidRPr="008E13BC">
        <w:t>Review of Guidelines on infection control</w:t>
      </w:r>
    </w:p>
    <w:p w14:paraId="4837D4AD" w14:textId="77777777" w:rsidR="00EF7A15" w:rsidRPr="009D61F8" w:rsidRDefault="00EF7A15" w:rsidP="00362DE5">
      <w:pPr>
        <w:rPr>
          <w:rFonts w:cs="Arial"/>
          <w:szCs w:val="20"/>
        </w:rPr>
      </w:pPr>
      <w:r w:rsidRPr="008E13BC">
        <w:rPr>
          <w:rFonts w:cs="Arial"/>
          <w:szCs w:val="20"/>
        </w:rPr>
        <w:t xml:space="preserve">The Australian Health Practitioner Regulation Agency (Ahpra) has </w:t>
      </w:r>
      <w:hyperlink r:id="rId41" w:history="1">
        <w:r w:rsidRPr="009D61F8">
          <w:rPr>
            <w:rFonts w:cs="Arial"/>
            <w:color w:val="0000FF"/>
            <w:szCs w:val="20"/>
            <w:u w:val="single"/>
          </w:rPr>
          <w:t>Procedures for the development of registration standards, codes and guidelines</w:t>
        </w:r>
      </w:hyperlink>
      <w:r w:rsidRPr="009D61F8">
        <w:rPr>
          <w:rFonts w:cs="Arial"/>
          <w:szCs w:val="20"/>
        </w:rPr>
        <w:t>. These procedures have been developed by Ahpra in accordance with Section 25 of the Health Practitioner Regulation National Law</w:t>
      </w:r>
      <w:r>
        <w:rPr>
          <w:rFonts w:cs="Arial"/>
          <w:szCs w:val="20"/>
        </w:rPr>
        <w:t>, as in force in each state and territory</w:t>
      </w:r>
      <w:r w:rsidRPr="009D61F8">
        <w:rPr>
          <w:rFonts w:cs="Arial"/>
          <w:szCs w:val="20"/>
        </w:rPr>
        <w:t xml:space="preserve"> (the National Law), which requires Ahpra to establish procedures for the purpose of ensuring that the National Registration and Accreditation Scheme (the National Scheme) operates in accordance with good regulatory practice.</w:t>
      </w:r>
    </w:p>
    <w:p w14:paraId="20E6C42C" w14:textId="77777777" w:rsidR="00EF7A15" w:rsidRPr="009D61F8" w:rsidRDefault="00EF7A15" w:rsidP="0079093B">
      <w:pPr>
        <w:rPr>
          <w:rFonts w:cs="Arial"/>
          <w:szCs w:val="20"/>
        </w:rPr>
      </w:pPr>
      <w:r w:rsidRPr="009D61F8">
        <w:rPr>
          <w:rFonts w:cs="Arial"/>
          <w:szCs w:val="20"/>
        </w:rPr>
        <w:t xml:space="preserve">The Dental Board of Australia (the Board) is reviewing its </w:t>
      </w:r>
      <w:r w:rsidRPr="009D61F8">
        <w:rPr>
          <w:rFonts w:cs="Arial"/>
          <w:i/>
          <w:szCs w:val="20"/>
        </w:rPr>
        <w:t>Guidelines on infection control</w:t>
      </w:r>
      <w:r w:rsidRPr="009D61F8">
        <w:rPr>
          <w:rFonts w:cs="Arial"/>
          <w:szCs w:val="20"/>
        </w:rPr>
        <w:t xml:space="preserve"> (the </w:t>
      </w:r>
      <w:r>
        <w:rPr>
          <w:rFonts w:cs="Arial"/>
          <w:szCs w:val="20"/>
        </w:rPr>
        <w:t>g</w:t>
      </w:r>
      <w:r w:rsidRPr="009D61F8">
        <w:rPr>
          <w:rFonts w:cs="Arial"/>
          <w:szCs w:val="20"/>
        </w:rPr>
        <w:t>uidelines).</w:t>
      </w:r>
    </w:p>
    <w:p w14:paraId="50007EDC" w14:textId="77777777" w:rsidR="00EF7A15" w:rsidRPr="009D61F8" w:rsidRDefault="00EF7A15" w:rsidP="0079093B">
      <w:pPr>
        <w:rPr>
          <w:rFonts w:cs="Arial"/>
          <w:szCs w:val="20"/>
        </w:rPr>
      </w:pPr>
      <w:r w:rsidRPr="009D61F8">
        <w:rPr>
          <w:rFonts w:cs="Arial"/>
          <w:szCs w:val="20"/>
        </w:rPr>
        <w:t xml:space="preserve">Below is the Board’s assessment of its proposal to replace the </w:t>
      </w:r>
      <w:r>
        <w:rPr>
          <w:rFonts w:cs="Arial"/>
          <w:szCs w:val="20"/>
        </w:rPr>
        <w:t>g</w:t>
      </w:r>
      <w:r w:rsidRPr="009D61F8">
        <w:rPr>
          <w:rFonts w:cs="Arial"/>
          <w:szCs w:val="20"/>
        </w:rPr>
        <w:t>uidelines with other supporting resources against the elements outlined in the Ahpra procedures.</w:t>
      </w:r>
    </w:p>
    <w:p w14:paraId="3E0FA493" w14:textId="77777777" w:rsidR="00EF7A15" w:rsidRPr="009D61F8" w:rsidRDefault="00EF7A15" w:rsidP="00362DE5">
      <w:pPr>
        <w:pBdr>
          <w:top w:val="single" w:sz="4" w:space="1" w:color="auto"/>
          <w:left w:val="single" w:sz="4" w:space="4" w:color="auto"/>
          <w:bottom w:val="single" w:sz="4" w:space="1" w:color="auto"/>
          <w:right w:val="single" w:sz="4" w:space="4" w:color="auto"/>
        </w:pBdr>
        <w:spacing w:before="200"/>
        <w:ind w:left="426" w:hanging="426"/>
        <w:rPr>
          <w:b/>
          <w:color w:val="007DC3"/>
          <w:szCs w:val="20"/>
        </w:rPr>
      </w:pPr>
      <w:r w:rsidRPr="009D61F8">
        <w:rPr>
          <w:b/>
          <w:color w:val="007DC3"/>
          <w:szCs w:val="20"/>
        </w:rPr>
        <w:t>1.</w:t>
      </w:r>
      <w:r w:rsidRPr="009D61F8">
        <w:rPr>
          <w:b/>
          <w:color w:val="007DC3"/>
          <w:szCs w:val="20"/>
        </w:rPr>
        <w:tab/>
        <w:t>The proposal takes into account the National Scheme’s objectives and guiding principles set out in Section 3 of the National Law</w:t>
      </w:r>
      <w:r>
        <w:rPr>
          <w:b/>
          <w:color w:val="007DC3"/>
          <w:szCs w:val="20"/>
        </w:rPr>
        <w:t>.</w:t>
      </w:r>
    </w:p>
    <w:p w14:paraId="79296F65" w14:textId="77777777" w:rsidR="00EF7A15" w:rsidRPr="009D61F8" w:rsidRDefault="00EF7A15" w:rsidP="0026142D">
      <w:pPr>
        <w:pStyle w:val="AHPRAbodybold"/>
        <w:rPr>
          <w:szCs w:val="20"/>
        </w:rPr>
      </w:pPr>
      <w:r w:rsidRPr="009D61F8">
        <w:rPr>
          <w:szCs w:val="20"/>
        </w:rPr>
        <w:t>National Board assessment</w:t>
      </w:r>
    </w:p>
    <w:p w14:paraId="45A36748" w14:textId="77777777" w:rsidR="00EF7A15" w:rsidRPr="009D61F8" w:rsidRDefault="00EF7A15" w:rsidP="00684436">
      <w:pPr>
        <w:pStyle w:val="AHPRAbody"/>
        <w:rPr>
          <w:szCs w:val="20"/>
        </w:rPr>
      </w:pPr>
      <w:r w:rsidRPr="009D61F8">
        <w:rPr>
          <w:szCs w:val="20"/>
        </w:rPr>
        <w:t xml:space="preserve">The Board considers that the proposal to replace the </w:t>
      </w:r>
      <w:r>
        <w:rPr>
          <w:szCs w:val="20"/>
        </w:rPr>
        <w:t>g</w:t>
      </w:r>
      <w:r w:rsidRPr="009D61F8">
        <w:rPr>
          <w:szCs w:val="20"/>
        </w:rPr>
        <w:t xml:space="preserve">uidelines with other supporting resources meets the objectives and guiding principles of the National Law. </w:t>
      </w:r>
    </w:p>
    <w:p w14:paraId="28BE1D15" w14:textId="77777777" w:rsidR="00EF7A15" w:rsidRPr="009D61F8" w:rsidRDefault="00EF7A15" w:rsidP="00684436">
      <w:pPr>
        <w:pStyle w:val="AHPRAbody"/>
        <w:rPr>
          <w:szCs w:val="20"/>
        </w:rPr>
      </w:pPr>
      <w:r w:rsidRPr="009D61F8">
        <w:rPr>
          <w:szCs w:val="20"/>
        </w:rPr>
        <w:t xml:space="preserve">The proposal to replace the </w:t>
      </w:r>
      <w:r>
        <w:rPr>
          <w:szCs w:val="20"/>
        </w:rPr>
        <w:t>g</w:t>
      </w:r>
      <w:r w:rsidRPr="009D61F8">
        <w:rPr>
          <w:szCs w:val="20"/>
        </w:rPr>
        <w:t xml:space="preserve">uidelines with other supporting resources considers the National Scheme’s main objective of protecting the public by promoting practitioner self-reflection, the use of informative resources for practitioners, and emphasising the </w:t>
      </w:r>
      <w:r>
        <w:rPr>
          <w:szCs w:val="20"/>
        </w:rPr>
        <w:t xml:space="preserve">Board’s existing standards, codes and guidelines </w:t>
      </w:r>
      <w:r w:rsidRPr="009D61F8">
        <w:rPr>
          <w:szCs w:val="20"/>
        </w:rPr>
        <w:t xml:space="preserve">as the key sources of professional standards expected of dental practitioners. </w:t>
      </w:r>
    </w:p>
    <w:p w14:paraId="206E85FF" w14:textId="77777777" w:rsidR="00EF7A15" w:rsidRPr="009D61F8" w:rsidRDefault="00EF7A15" w:rsidP="00684436">
      <w:pPr>
        <w:pStyle w:val="AHPRAbody"/>
        <w:rPr>
          <w:szCs w:val="20"/>
        </w:rPr>
      </w:pPr>
      <w:r w:rsidRPr="009D61F8">
        <w:rPr>
          <w:szCs w:val="20"/>
        </w:rPr>
        <w:t xml:space="preserve">By reducing administrative and regulatory </w:t>
      </w:r>
      <w:r>
        <w:rPr>
          <w:szCs w:val="20"/>
        </w:rPr>
        <w:t>duplication</w:t>
      </w:r>
      <w:r w:rsidRPr="009D61F8">
        <w:rPr>
          <w:szCs w:val="20"/>
        </w:rPr>
        <w:t xml:space="preserve"> and prescriptive requirements under the existing guidelines, the replacement of the </w:t>
      </w:r>
      <w:r>
        <w:rPr>
          <w:szCs w:val="20"/>
        </w:rPr>
        <w:t>g</w:t>
      </w:r>
      <w:r w:rsidRPr="009D61F8">
        <w:rPr>
          <w:szCs w:val="20"/>
        </w:rPr>
        <w:t>uidelines with other supporting resources contributes to the development of a flexible, responsive and sustainable Australian health workforce and to enable innovation in the education of, and service delivery by, health practitioners.</w:t>
      </w:r>
    </w:p>
    <w:p w14:paraId="4B175988" w14:textId="77777777" w:rsidR="00EF7A15" w:rsidRPr="009D61F8" w:rsidRDefault="00EF7A15" w:rsidP="00684436">
      <w:pPr>
        <w:pStyle w:val="AHPRAbody"/>
        <w:rPr>
          <w:szCs w:val="20"/>
        </w:rPr>
      </w:pPr>
      <w:r>
        <w:rPr>
          <w:szCs w:val="20"/>
        </w:rPr>
        <w:t>Likewise, t</w:t>
      </w:r>
      <w:r w:rsidRPr="009D61F8">
        <w:rPr>
          <w:szCs w:val="20"/>
        </w:rPr>
        <w:t xml:space="preserve">he proposal aligns with the National Law’s guiding principle that restrictions on the practice of a health profession are to be imposed under the scheme only if it is necessary to ensure health services are provided safely and are of an appropriate quality. </w:t>
      </w:r>
    </w:p>
    <w:p w14:paraId="59D2A4B3" w14:textId="77777777" w:rsidR="00EF7A15" w:rsidRPr="009D61F8" w:rsidRDefault="00EF7A15" w:rsidP="00362DE5">
      <w:pPr>
        <w:pBdr>
          <w:top w:val="single" w:sz="4" w:space="1" w:color="auto"/>
          <w:left w:val="single" w:sz="4" w:space="4" w:color="auto"/>
          <w:bottom w:val="single" w:sz="4" w:space="1" w:color="auto"/>
          <w:right w:val="single" w:sz="4" w:space="4" w:color="auto"/>
        </w:pBdr>
        <w:spacing w:before="200"/>
        <w:ind w:left="426" w:hanging="426"/>
        <w:rPr>
          <w:b/>
          <w:color w:val="007DC3"/>
          <w:szCs w:val="20"/>
        </w:rPr>
      </w:pPr>
      <w:r w:rsidRPr="009D61F8">
        <w:rPr>
          <w:b/>
          <w:color w:val="007DC3"/>
          <w:szCs w:val="20"/>
        </w:rPr>
        <w:t>2.</w:t>
      </w:r>
      <w:r w:rsidRPr="009D61F8">
        <w:rPr>
          <w:b/>
          <w:color w:val="007DC3"/>
          <w:szCs w:val="20"/>
        </w:rPr>
        <w:tab/>
        <w:t>The consultation requirements of the National Law are met</w:t>
      </w:r>
      <w:r>
        <w:rPr>
          <w:b/>
          <w:color w:val="007DC3"/>
          <w:szCs w:val="20"/>
        </w:rPr>
        <w:t>.</w:t>
      </w:r>
    </w:p>
    <w:p w14:paraId="01054F42" w14:textId="77777777" w:rsidR="00EF7A15" w:rsidRPr="009D61F8" w:rsidRDefault="00EF7A15" w:rsidP="0026142D">
      <w:pPr>
        <w:pStyle w:val="AHPRAbodybold"/>
        <w:rPr>
          <w:szCs w:val="20"/>
        </w:rPr>
      </w:pPr>
      <w:r w:rsidRPr="009D61F8">
        <w:rPr>
          <w:szCs w:val="20"/>
        </w:rPr>
        <w:t>National Board assessment</w:t>
      </w:r>
    </w:p>
    <w:p w14:paraId="43BE3D7D" w14:textId="77777777" w:rsidR="00EF7A15" w:rsidRPr="009D61F8" w:rsidRDefault="00EF7A15" w:rsidP="00E60D6F">
      <w:pPr>
        <w:pStyle w:val="Default"/>
        <w:rPr>
          <w:sz w:val="20"/>
          <w:szCs w:val="20"/>
        </w:rPr>
      </w:pPr>
      <w:r w:rsidRPr="009D61F8">
        <w:rPr>
          <w:sz w:val="20"/>
          <w:szCs w:val="20"/>
        </w:rPr>
        <w:t xml:space="preserve">The National Law requires wide-ranging consultation on proposed codes and guidelines. The National Law also requires National Boards to consult each other on matters of shared interest. </w:t>
      </w:r>
    </w:p>
    <w:p w14:paraId="7449CC2F" w14:textId="77777777" w:rsidR="00EF7A15" w:rsidRPr="009D61F8" w:rsidRDefault="00EF7A15" w:rsidP="00E60D6F">
      <w:pPr>
        <w:pStyle w:val="Default"/>
        <w:rPr>
          <w:sz w:val="20"/>
          <w:szCs w:val="20"/>
        </w:rPr>
      </w:pPr>
    </w:p>
    <w:p w14:paraId="4E2B2255" w14:textId="77777777" w:rsidR="00EF7A15" w:rsidRPr="009D61F8" w:rsidRDefault="00EF7A15" w:rsidP="001F2860">
      <w:pPr>
        <w:pStyle w:val="AHPRAbody"/>
        <w:rPr>
          <w:szCs w:val="20"/>
        </w:rPr>
      </w:pPr>
      <w:r w:rsidRPr="009D61F8">
        <w:rPr>
          <w:szCs w:val="20"/>
        </w:rPr>
        <w:t xml:space="preserve">The Board is ensuring that there is a wide-ranging consultation about its proposal in accordance with the </w:t>
      </w:r>
      <w:r>
        <w:rPr>
          <w:szCs w:val="20"/>
        </w:rPr>
        <w:t>c</w:t>
      </w:r>
      <w:r w:rsidRPr="009D61F8">
        <w:rPr>
          <w:szCs w:val="20"/>
        </w:rPr>
        <w:t xml:space="preserve">onsultation process of National Boards available on the </w:t>
      </w:r>
      <w:hyperlink r:id="rId42" w:history="1">
        <w:r w:rsidRPr="009D61F8">
          <w:rPr>
            <w:color w:val="0000FF"/>
            <w:szCs w:val="20"/>
            <w:u w:val="single"/>
          </w:rPr>
          <w:t>Ahpra website</w:t>
        </w:r>
      </w:hyperlink>
      <w:r w:rsidRPr="009D61F8">
        <w:rPr>
          <w:color w:val="0000FF"/>
          <w:szCs w:val="20"/>
          <w:u w:val="single"/>
        </w:rPr>
        <w:t>.</w:t>
      </w:r>
      <w:r w:rsidRPr="009D61F8">
        <w:rPr>
          <w:szCs w:val="20"/>
        </w:rPr>
        <w:t xml:space="preserve"> </w:t>
      </w:r>
      <w:r>
        <w:rPr>
          <w:szCs w:val="20"/>
        </w:rPr>
        <w:t>P</w:t>
      </w:r>
      <w:r w:rsidRPr="009D61F8">
        <w:rPr>
          <w:szCs w:val="20"/>
        </w:rPr>
        <w:t xml:space="preserve">ublic exposure to the proposal and the opportunity for public comment </w:t>
      </w:r>
      <w:r>
        <w:rPr>
          <w:szCs w:val="20"/>
        </w:rPr>
        <w:t xml:space="preserve">will occur </w:t>
      </w:r>
      <w:r w:rsidRPr="009D61F8">
        <w:rPr>
          <w:szCs w:val="20"/>
        </w:rPr>
        <w:t xml:space="preserve">via an eight-week public consultation. This will include publishing a consultation paper on the Board’s website and informing health practitioners and the community of the review via the Boards’ electronic newsletters and a social media campaign. </w:t>
      </w:r>
    </w:p>
    <w:p w14:paraId="67D0E913" w14:textId="77777777" w:rsidR="00EF7A15" w:rsidRDefault="00EF7A15" w:rsidP="00E60D6F">
      <w:pPr>
        <w:pStyle w:val="EndnoteText"/>
      </w:pPr>
      <w:r w:rsidRPr="009D61F8">
        <w:t>The Board will consider the feedback it receives when finalising the outcome.</w:t>
      </w:r>
    </w:p>
    <w:p w14:paraId="548A61B5" w14:textId="4F33EB3C" w:rsidR="00EF7A15" w:rsidRDefault="00EF7A15" w:rsidP="00E60D6F">
      <w:pPr>
        <w:pStyle w:val="EndnoteText"/>
      </w:pPr>
    </w:p>
    <w:p w14:paraId="15D445C6" w14:textId="0B8582C4" w:rsidR="00546EFB" w:rsidRDefault="00546EFB" w:rsidP="00E60D6F">
      <w:pPr>
        <w:pStyle w:val="EndnoteText"/>
      </w:pPr>
    </w:p>
    <w:p w14:paraId="1BF657C5" w14:textId="77777777" w:rsidR="00546EFB" w:rsidRDefault="00546EFB" w:rsidP="00E60D6F">
      <w:pPr>
        <w:pStyle w:val="EndnoteText"/>
      </w:pPr>
    </w:p>
    <w:p w14:paraId="5091BA83" w14:textId="77777777" w:rsidR="00EF7A15" w:rsidRPr="009D61F8" w:rsidRDefault="00EF7A15" w:rsidP="00362DE5">
      <w:pPr>
        <w:pBdr>
          <w:top w:val="single" w:sz="4" w:space="1" w:color="auto"/>
          <w:left w:val="single" w:sz="4" w:space="4" w:color="auto"/>
          <w:bottom w:val="single" w:sz="4" w:space="0" w:color="auto"/>
          <w:right w:val="single" w:sz="4" w:space="4" w:color="auto"/>
        </w:pBdr>
        <w:spacing w:before="200"/>
        <w:ind w:left="426" w:hanging="426"/>
        <w:rPr>
          <w:b/>
          <w:color w:val="007DC3"/>
          <w:szCs w:val="20"/>
        </w:rPr>
      </w:pPr>
      <w:r w:rsidRPr="009D61F8">
        <w:rPr>
          <w:b/>
          <w:color w:val="007DC3"/>
          <w:szCs w:val="20"/>
        </w:rPr>
        <w:lastRenderedPageBreak/>
        <w:t>3.</w:t>
      </w:r>
      <w:r w:rsidRPr="009D61F8">
        <w:rPr>
          <w:b/>
          <w:color w:val="007DC3"/>
          <w:szCs w:val="20"/>
        </w:rPr>
        <w:tab/>
        <w:t>The proposal considers the following principles for best practice regulation</w:t>
      </w:r>
      <w:r>
        <w:rPr>
          <w:b/>
          <w:color w:val="007DC3"/>
          <w:szCs w:val="20"/>
        </w:rPr>
        <w:t>.</w:t>
      </w:r>
    </w:p>
    <w:p w14:paraId="01AD0D48" w14:textId="77777777" w:rsidR="00EF7A15" w:rsidRPr="009D61F8" w:rsidRDefault="00EF7A15" w:rsidP="0026142D">
      <w:pPr>
        <w:pStyle w:val="AHPRAbodybold"/>
        <w:rPr>
          <w:szCs w:val="20"/>
        </w:rPr>
      </w:pPr>
      <w:r w:rsidRPr="009D61F8">
        <w:rPr>
          <w:szCs w:val="20"/>
        </w:rPr>
        <w:t>National Board assessment</w:t>
      </w:r>
    </w:p>
    <w:p w14:paraId="66E346E4" w14:textId="77777777" w:rsidR="00EF7A15" w:rsidRPr="009D61F8" w:rsidRDefault="00EF7A15" w:rsidP="00362DE5">
      <w:pPr>
        <w:rPr>
          <w:rFonts w:cs="Arial"/>
          <w:szCs w:val="20"/>
        </w:rPr>
      </w:pPr>
      <w:r w:rsidRPr="009D61F8">
        <w:rPr>
          <w:rFonts w:cs="Arial"/>
          <w:szCs w:val="20"/>
        </w:rPr>
        <w:t xml:space="preserve">In developing the </w:t>
      </w:r>
      <w:r>
        <w:rPr>
          <w:rFonts w:cs="Arial"/>
          <w:szCs w:val="20"/>
        </w:rPr>
        <w:t>proposal</w:t>
      </w:r>
      <w:r w:rsidRPr="009D61F8">
        <w:rPr>
          <w:rFonts w:cs="Arial"/>
          <w:szCs w:val="20"/>
        </w:rPr>
        <w:t>, the Board ha</w:t>
      </w:r>
      <w:r>
        <w:rPr>
          <w:rFonts w:cs="Arial"/>
          <w:szCs w:val="20"/>
        </w:rPr>
        <w:t>s</w:t>
      </w:r>
      <w:r w:rsidRPr="009D61F8">
        <w:rPr>
          <w:rFonts w:cs="Arial"/>
          <w:szCs w:val="20"/>
        </w:rPr>
        <w:t xml:space="preserve"> considered principles for best practice regulation.  </w:t>
      </w:r>
    </w:p>
    <w:p w14:paraId="38237A76" w14:textId="77777777" w:rsidR="00EF7A15" w:rsidRPr="009D61F8" w:rsidRDefault="00EF7A15" w:rsidP="00362DE5">
      <w:pPr>
        <w:rPr>
          <w:rFonts w:cs="Arial"/>
          <w:szCs w:val="20"/>
        </w:rPr>
      </w:pPr>
      <w:r w:rsidRPr="009D61F8">
        <w:rPr>
          <w:rFonts w:cs="Arial"/>
          <w:szCs w:val="20"/>
        </w:rPr>
        <w:t>The Board ha</w:t>
      </w:r>
      <w:r>
        <w:rPr>
          <w:rFonts w:cs="Arial"/>
          <w:szCs w:val="20"/>
        </w:rPr>
        <w:t>s</w:t>
      </w:r>
      <w:r w:rsidRPr="009D61F8">
        <w:rPr>
          <w:rFonts w:cs="Arial"/>
          <w:szCs w:val="20"/>
        </w:rPr>
        <w:t xml:space="preserve"> taken care not to propose unnecessary regulatory burdens that would create unjustified costs for the profession or the community. </w:t>
      </w:r>
    </w:p>
    <w:p w14:paraId="441DE559" w14:textId="77777777" w:rsidR="00EF7A15" w:rsidRPr="009D61F8" w:rsidRDefault="00EF7A15" w:rsidP="00362DE5">
      <w:pPr>
        <w:rPr>
          <w:rFonts w:cs="Arial"/>
          <w:szCs w:val="20"/>
        </w:rPr>
      </w:pPr>
      <w:r w:rsidRPr="009D61F8">
        <w:rPr>
          <w:rFonts w:cs="Arial"/>
          <w:szCs w:val="20"/>
        </w:rPr>
        <w:t>The Boards make the following assessment specific to each of the principles expressed in the Ahpra procedures.</w:t>
      </w:r>
    </w:p>
    <w:p w14:paraId="49F45110" w14:textId="77777777" w:rsidR="00EF7A15" w:rsidRPr="009D61F8" w:rsidRDefault="00EF7A15" w:rsidP="0026142D">
      <w:pPr>
        <w:pStyle w:val="AHPRAbodybold"/>
        <w:rPr>
          <w:szCs w:val="20"/>
        </w:rPr>
      </w:pPr>
      <w:r w:rsidRPr="009D61F8">
        <w:rPr>
          <w:szCs w:val="20"/>
        </w:rPr>
        <w:t>A.</w:t>
      </w:r>
      <w:r w:rsidRPr="009D61F8">
        <w:rPr>
          <w:szCs w:val="20"/>
        </w:rPr>
        <w:tab/>
        <w:t xml:space="preserve">Whether the proposal is the best option for achieving the proposal’s stated purpose and protection of the public  </w:t>
      </w:r>
    </w:p>
    <w:p w14:paraId="3CD6A276" w14:textId="77777777" w:rsidR="00EF7A15" w:rsidRPr="009D61F8" w:rsidRDefault="00EF7A15" w:rsidP="00362DE5">
      <w:pPr>
        <w:tabs>
          <w:tab w:val="left" w:pos="567"/>
        </w:tabs>
        <w:spacing w:before="200"/>
        <w:rPr>
          <w:color w:val="007DC3"/>
          <w:szCs w:val="20"/>
        </w:rPr>
      </w:pPr>
      <w:r w:rsidRPr="009D61F8">
        <w:rPr>
          <w:color w:val="007DC3"/>
          <w:szCs w:val="20"/>
        </w:rPr>
        <w:t>National Board assessment</w:t>
      </w:r>
    </w:p>
    <w:p w14:paraId="112365EE" w14:textId="77777777" w:rsidR="00EF7A15" w:rsidRPr="009D61F8" w:rsidRDefault="00EF7A15" w:rsidP="00191295">
      <w:pPr>
        <w:pStyle w:val="AHPRAbody"/>
        <w:rPr>
          <w:szCs w:val="20"/>
        </w:rPr>
      </w:pPr>
      <w:r w:rsidRPr="009D61F8">
        <w:rPr>
          <w:szCs w:val="20"/>
        </w:rPr>
        <w:t xml:space="preserve">The proposal is the best option for achieving the stated purpose and protection of the public because it promotes a supportive, self-reflective approach to dental practice, while retaining the regulatory safeguards of the Board’s existing standards, codes and guidelines, to rely on for enforcement </w:t>
      </w:r>
      <w:r>
        <w:rPr>
          <w:szCs w:val="20"/>
        </w:rPr>
        <w:t>a</w:t>
      </w:r>
      <w:r w:rsidRPr="009D61F8">
        <w:rPr>
          <w:szCs w:val="20"/>
        </w:rPr>
        <w:t>nd compliance.</w:t>
      </w:r>
    </w:p>
    <w:p w14:paraId="160A25DE" w14:textId="77777777" w:rsidR="00EF7A15" w:rsidRPr="009D61F8" w:rsidRDefault="00EF7A15" w:rsidP="0026142D">
      <w:pPr>
        <w:pStyle w:val="AHPRAbodybold"/>
        <w:rPr>
          <w:szCs w:val="20"/>
        </w:rPr>
      </w:pPr>
      <w:r w:rsidRPr="009D61F8">
        <w:rPr>
          <w:szCs w:val="20"/>
        </w:rPr>
        <w:t>B.</w:t>
      </w:r>
      <w:r w:rsidRPr="009D61F8">
        <w:rPr>
          <w:szCs w:val="20"/>
        </w:rPr>
        <w:tab/>
        <w:t xml:space="preserve">Whether the proposal results in an unnecessary restriction of competition among health practitioners </w:t>
      </w:r>
    </w:p>
    <w:p w14:paraId="1E5B774A" w14:textId="77777777" w:rsidR="00EF7A15" w:rsidRPr="009D61F8" w:rsidRDefault="00EF7A15" w:rsidP="00362DE5">
      <w:pPr>
        <w:spacing w:before="200"/>
        <w:rPr>
          <w:color w:val="007DC3"/>
          <w:szCs w:val="20"/>
        </w:rPr>
      </w:pPr>
      <w:r w:rsidRPr="009D61F8">
        <w:rPr>
          <w:color w:val="007DC3"/>
          <w:szCs w:val="20"/>
        </w:rPr>
        <w:t>National Board assessment</w:t>
      </w:r>
    </w:p>
    <w:p w14:paraId="35FC09DB" w14:textId="77777777" w:rsidR="00EF7A15" w:rsidRPr="009D61F8" w:rsidRDefault="00EF7A15" w:rsidP="00500D7C">
      <w:pPr>
        <w:pStyle w:val="AHPRAbody"/>
        <w:rPr>
          <w:szCs w:val="20"/>
        </w:rPr>
      </w:pPr>
      <w:r w:rsidRPr="009D61F8">
        <w:rPr>
          <w:szCs w:val="20"/>
        </w:rPr>
        <w:t xml:space="preserve">The proposal does not result in any unnecessary restriction of competition among health practitioners as it does not seek to limit or restrict practice.  </w:t>
      </w:r>
    </w:p>
    <w:p w14:paraId="2112E456" w14:textId="77777777" w:rsidR="00EF7A15" w:rsidRPr="009D61F8" w:rsidRDefault="00EF7A15" w:rsidP="0026142D">
      <w:pPr>
        <w:pStyle w:val="AHPRAbodybold"/>
        <w:rPr>
          <w:szCs w:val="20"/>
        </w:rPr>
      </w:pPr>
      <w:r w:rsidRPr="009D61F8">
        <w:rPr>
          <w:szCs w:val="20"/>
        </w:rPr>
        <w:t>C.</w:t>
      </w:r>
      <w:r w:rsidRPr="009D61F8">
        <w:rPr>
          <w:szCs w:val="20"/>
        </w:rPr>
        <w:tab/>
        <w:t xml:space="preserve">Whether the proposal results in an unnecessary restriction of consumer choice </w:t>
      </w:r>
    </w:p>
    <w:p w14:paraId="6CCE7F8C" w14:textId="77777777" w:rsidR="00EF7A15" w:rsidRPr="009D61F8" w:rsidRDefault="00EF7A15" w:rsidP="00362DE5">
      <w:pPr>
        <w:spacing w:before="200"/>
        <w:rPr>
          <w:color w:val="007DC3"/>
          <w:szCs w:val="20"/>
        </w:rPr>
      </w:pPr>
      <w:r w:rsidRPr="009D61F8">
        <w:rPr>
          <w:color w:val="007DC3"/>
          <w:szCs w:val="20"/>
        </w:rPr>
        <w:t>National Board assessment</w:t>
      </w:r>
    </w:p>
    <w:p w14:paraId="49000290" w14:textId="77777777" w:rsidR="00EF7A15" w:rsidRPr="009D61F8" w:rsidRDefault="00EF7A15" w:rsidP="0026142D">
      <w:pPr>
        <w:pStyle w:val="AHPRAbody"/>
        <w:rPr>
          <w:szCs w:val="20"/>
        </w:rPr>
      </w:pPr>
      <w:r w:rsidRPr="009D61F8">
        <w:rPr>
          <w:szCs w:val="20"/>
        </w:rPr>
        <w:t>The proposal does not result in any unnecessary restriction of consumer choice as it does not affect the labour market or workforce supply.</w:t>
      </w:r>
    </w:p>
    <w:p w14:paraId="206F2CF3" w14:textId="77777777" w:rsidR="00EF7A15" w:rsidRPr="009D61F8" w:rsidRDefault="00EF7A15" w:rsidP="0026142D">
      <w:pPr>
        <w:pStyle w:val="AHPRAbodybold"/>
        <w:rPr>
          <w:szCs w:val="20"/>
        </w:rPr>
      </w:pPr>
      <w:r w:rsidRPr="009D61F8">
        <w:rPr>
          <w:szCs w:val="20"/>
        </w:rPr>
        <w:t>D.</w:t>
      </w:r>
      <w:r w:rsidRPr="009D61F8">
        <w:rPr>
          <w:szCs w:val="20"/>
        </w:rPr>
        <w:tab/>
        <w:t xml:space="preserve">Whether the overall costs of the proposal to members of the public and/or registrants and/or governments are reasonable in relation to the benefits to be achieved </w:t>
      </w:r>
    </w:p>
    <w:p w14:paraId="641C2990" w14:textId="77777777" w:rsidR="00EF7A15" w:rsidRPr="009D61F8" w:rsidRDefault="00EF7A15" w:rsidP="00362DE5">
      <w:pPr>
        <w:spacing w:before="200"/>
        <w:rPr>
          <w:color w:val="007DC3"/>
          <w:szCs w:val="20"/>
        </w:rPr>
      </w:pPr>
      <w:r w:rsidRPr="009D61F8">
        <w:rPr>
          <w:color w:val="007DC3"/>
          <w:szCs w:val="20"/>
        </w:rPr>
        <w:t>National Board assessment</w:t>
      </w:r>
    </w:p>
    <w:p w14:paraId="27735780" w14:textId="77777777" w:rsidR="00EF7A15" w:rsidRPr="009D61F8" w:rsidRDefault="00EF7A15" w:rsidP="00205CB7">
      <w:pPr>
        <w:pStyle w:val="AHPRAbody"/>
        <w:rPr>
          <w:szCs w:val="20"/>
        </w:rPr>
      </w:pPr>
      <w:r w:rsidRPr="009D61F8">
        <w:rPr>
          <w:szCs w:val="20"/>
        </w:rPr>
        <w:t>As the proposal reduces regulatory burden on practitioners, the costs to members of the public and practitioners and/or governments are likely to be minimal. While the proposal is a change from the status quo, in substance, the requirement for practitioners to practi</w:t>
      </w:r>
      <w:r>
        <w:rPr>
          <w:szCs w:val="20"/>
        </w:rPr>
        <w:t>s</w:t>
      </w:r>
      <w:r w:rsidRPr="009D61F8">
        <w:rPr>
          <w:szCs w:val="20"/>
        </w:rPr>
        <w:t>e safely remains the same. The proposal emphasises supporting practitioners to behave professionally. The benefits of the proposal outweigh any minimal costs related to health practitioners and other stakeholders needing to become familiar with the Board’s new resources.</w:t>
      </w:r>
    </w:p>
    <w:p w14:paraId="0EF08958" w14:textId="77777777" w:rsidR="00EF7A15" w:rsidRPr="009D61F8" w:rsidRDefault="00EF7A15" w:rsidP="0026142D">
      <w:pPr>
        <w:pStyle w:val="AHPRAbodybold"/>
        <w:rPr>
          <w:szCs w:val="20"/>
        </w:rPr>
      </w:pPr>
      <w:r w:rsidRPr="009D61F8">
        <w:rPr>
          <w:szCs w:val="20"/>
        </w:rPr>
        <w:t>E.</w:t>
      </w:r>
      <w:r w:rsidRPr="009D61F8">
        <w:rPr>
          <w:szCs w:val="20"/>
        </w:rPr>
        <w:tab/>
        <w:t>Whether the proposal’s requirements are clearly stated using plain language to reduce uncertainty, enable the public to understand the requirements, and enable understanding and compliance by registrants</w:t>
      </w:r>
    </w:p>
    <w:p w14:paraId="3CD19F27" w14:textId="77777777" w:rsidR="00EF7A15" w:rsidRPr="009D61F8" w:rsidRDefault="00EF7A15" w:rsidP="00362DE5">
      <w:pPr>
        <w:spacing w:before="200"/>
        <w:rPr>
          <w:color w:val="007DC3"/>
          <w:szCs w:val="20"/>
        </w:rPr>
      </w:pPr>
      <w:r w:rsidRPr="009D61F8">
        <w:rPr>
          <w:color w:val="007DC3"/>
          <w:szCs w:val="20"/>
        </w:rPr>
        <w:t>National Board assessment</w:t>
      </w:r>
    </w:p>
    <w:p w14:paraId="50D37F1F" w14:textId="77777777" w:rsidR="00EF7A15" w:rsidRPr="009D61F8" w:rsidRDefault="00EF7A15" w:rsidP="00046CAF">
      <w:pPr>
        <w:pStyle w:val="AHPRAbody"/>
        <w:rPr>
          <w:b/>
          <w:szCs w:val="20"/>
        </w:rPr>
      </w:pPr>
      <w:r w:rsidRPr="009D61F8">
        <w:rPr>
          <w:szCs w:val="20"/>
        </w:rPr>
        <w:t>The resources developed to support practitioners enable understanding and compliance by practitioners and members of the public. The focus on using a plain English style fact sheet as part of the supporting resources enhances understanding. The Board is committed to reviewing its consumer-facing resources and will develop a separate set of resources for consumers, following the outcome of the review.</w:t>
      </w:r>
    </w:p>
    <w:p w14:paraId="5CC0ADF0" w14:textId="77777777" w:rsidR="00EF7A15" w:rsidRPr="009D61F8" w:rsidRDefault="00EF7A15" w:rsidP="0026142D">
      <w:pPr>
        <w:pStyle w:val="AHPRAbodybold"/>
        <w:rPr>
          <w:szCs w:val="20"/>
        </w:rPr>
      </w:pPr>
      <w:r w:rsidRPr="009D61F8">
        <w:rPr>
          <w:szCs w:val="20"/>
        </w:rPr>
        <w:t>F.</w:t>
      </w:r>
      <w:r w:rsidRPr="009D61F8">
        <w:rPr>
          <w:szCs w:val="20"/>
        </w:rPr>
        <w:tab/>
        <w:t xml:space="preserve">Whether the </w:t>
      </w:r>
      <w:r>
        <w:rPr>
          <w:szCs w:val="20"/>
        </w:rPr>
        <w:t>Board</w:t>
      </w:r>
      <w:r w:rsidRPr="009D61F8">
        <w:rPr>
          <w:szCs w:val="20"/>
        </w:rPr>
        <w:t xml:space="preserve"> ha</w:t>
      </w:r>
      <w:r>
        <w:rPr>
          <w:szCs w:val="20"/>
        </w:rPr>
        <w:t>s</w:t>
      </w:r>
      <w:r w:rsidRPr="009D61F8">
        <w:rPr>
          <w:szCs w:val="20"/>
        </w:rPr>
        <w:t xml:space="preserve"> procedures in place to ensure the proposed registration standard, code or guideline remains relevant and effective over time </w:t>
      </w:r>
    </w:p>
    <w:p w14:paraId="66DDBCAE" w14:textId="77777777" w:rsidR="00EF7A15" w:rsidRPr="009D61F8" w:rsidRDefault="00EF7A15" w:rsidP="00362DE5">
      <w:pPr>
        <w:spacing w:before="200"/>
        <w:rPr>
          <w:color w:val="007DC3"/>
          <w:szCs w:val="20"/>
        </w:rPr>
      </w:pPr>
      <w:r w:rsidRPr="009D61F8">
        <w:rPr>
          <w:color w:val="007DC3"/>
          <w:szCs w:val="20"/>
        </w:rPr>
        <w:t>National Board assessment</w:t>
      </w:r>
    </w:p>
    <w:p w14:paraId="639C6003" w14:textId="77777777" w:rsidR="00EF7A15" w:rsidRPr="009D61F8" w:rsidRDefault="00EF7A15" w:rsidP="002E589F">
      <w:pPr>
        <w:pStyle w:val="AHPRAbody"/>
        <w:rPr>
          <w:szCs w:val="20"/>
        </w:rPr>
      </w:pPr>
      <w:r w:rsidRPr="009D61F8">
        <w:rPr>
          <w:szCs w:val="20"/>
        </w:rPr>
        <w:lastRenderedPageBreak/>
        <w:t>The Board’s standards, codes and guidelines are subject to regular review, usually every three years. These reviews are incorporated as part of the Board’s regulatory workplan.</w:t>
      </w:r>
    </w:p>
    <w:p w14:paraId="011C3626" w14:textId="77777777" w:rsidR="00EF7A15" w:rsidRPr="009D61F8" w:rsidRDefault="00EF7A15" w:rsidP="002E589F">
      <w:pPr>
        <w:pStyle w:val="AHPRAbody"/>
        <w:rPr>
          <w:szCs w:val="20"/>
        </w:rPr>
      </w:pPr>
      <w:r w:rsidRPr="009D61F8">
        <w:rPr>
          <w:szCs w:val="20"/>
        </w:rPr>
        <w:t>In keeping with this principle, the Board will conduct an evaluation of its review, implementation and outcomes and regularly review supporting material. The Board will have regard to emerging evidence relating to practice issues where required, to ensure that the Board’s regulatory approach remains relevant and effective over time.</w:t>
      </w:r>
    </w:p>
    <w:bookmarkEnd w:id="111"/>
    <w:bookmarkEnd w:id="112"/>
    <w:p w14:paraId="3256083A" w14:textId="77777777" w:rsidR="00EF7A15" w:rsidRPr="009D61F8" w:rsidRDefault="00EF7A15" w:rsidP="009D61F8">
      <w:pPr>
        <w:spacing w:after="0"/>
        <w:rPr>
          <w:rFonts w:cs="Arial"/>
        </w:rPr>
      </w:pPr>
      <w:r w:rsidRPr="000E7E28">
        <w:tab/>
      </w:r>
    </w:p>
    <w:p w14:paraId="6ABB270B" w14:textId="0274908F" w:rsidR="00247C84" w:rsidRPr="00AD64EA" w:rsidRDefault="00247C84" w:rsidP="00293D8E">
      <w:pPr>
        <w:pStyle w:val="AHPRAbody"/>
        <w:rPr>
          <w:b/>
        </w:rPr>
      </w:pPr>
    </w:p>
    <w:sectPr w:rsidR="00247C84" w:rsidRPr="00AD64EA" w:rsidSect="00D51C8D">
      <w:footerReference w:type="default" r:id="rId43"/>
      <w:footerReference w:type="first" r:id="rId44"/>
      <w:pgSz w:w="11900" w:h="16840"/>
      <w:pgMar w:top="1392" w:right="1247" w:bottom="992" w:left="1247" w:header="567" w:footer="567"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CDA36C7" w16cex:dateUtc="2021-07-19T23:26:00Z"/>
  <w16cex:commentExtensible w16cex:durableId="290B0AA5" w16cex:dateUtc="2021-07-19T23:38:00Z"/>
  <w16cex:commentExtensible w16cex:durableId="41890C31" w16cex:dateUtc="2021-07-19T23:42:00Z"/>
  <w16cex:commentExtensible w16cex:durableId="41997A61" w16cex:dateUtc="2021-07-19T23:54:00Z"/>
  <w16cex:commentExtensible w16cex:durableId="2F7EF274" w16cex:dateUtc="2021-07-20T00: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7AB15" w14:textId="77777777" w:rsidR="00010B43" w:rsidRDefault="00010B43" w:rsidP="00FC2881">
      <w:pPr>
        <w:spacing w:after="0"/>
      </w:pPr>
      <w:r>
        <w:separator/>
      </w:r>
    </w:p>
    <w:p w14:paraId="5D9AF7BB" w14:textId="77777777" w:rsidR="00010B43" w:rsidRDefault="00010B43"/>
  </w:endnote>
  <w:endnote w:type="continuationSeparator" w:id="0">
    <w:p w14:paraId="3972379F" w14:textId="77777777" w:rsidR="00010B43" w:rsidRDefault="00010B43" w:rsidP="00FC2881">
      <w:pPr>
        <w:spacing w:after="0"/>
      </w:pPr>
      <w:r>
        <w:continuationSeparator/>
      </w:r>
    </w:p>
    <w:p w14:paraId="6DCC9B1C" w14:textId="77777777" w:rsidR="00010B43" w:rsidRDefault="00010B43"/>
  </w:endnote>
  <w:endnote w:type="continuationNotice" w:id="1">
    <w:p w14:paraId="67622B9E" w14:textId="77777777" w:rsidR="00010B43" w:rsidRDefault="00010B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Helvetica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64B6" w14:textId="77777777" w:rsidR="004B7B72" w:rsidRDefault="004B7B72" w:rsidP="00FC2881">
    <w:pPr>
      <w:pStyle w:val="AHPRAfootnote"/>
      <w:framePr w:wrap="around" w:vAnchor="text" w:hAnchor="margin" w:xAlign="right" w:y="1"/>
    </w:pPr>
    <w:r>
      <w:fldChar w:fldCharType="begin"/>
    </w:r>
    <w:r>
      <w:instrText xml:space="preserve">PAGE  </w:instrText>
    </w:r>
    <w:r>
      <w:fldChar w:fldCharType="end"/>
    </w:r>
  </w:p>
  <w:p w14:paraId="0D5183B2" w14:textId="77777777" w:rsidR="004B7B72" w:rsidRDefault="004B7B72" w:rsidP="00FC2881">
    <w:pPr>
      <w:pStyle w:val="AHPRAfootnote"/>
      <w:ind w:right="360"/>
    </w:pPr>
  </w:p>
  <w:p w14:paraId="0B35F485" w14:textId="77777777" w:rsidR="004B7B72" w:rsidRDefault="004B7B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B1F6" w14:textId="77777777" w:rsidR="004B7B72" w:rsidRPr="00154F2A" w:rsidRDefault="004B7B72" w:rsidP="0099652A">
    <w:pPr>
      <w:spacing w:after="0"/>
      <w:jc w:val="center"/>
      <w:rPr>
        <w:color w:val="5F6062"/>
        <w:sz w:val="14"/>
        <w:szCs w:val="14"/>
      </w:rPr>
    </w:pPr>
  </w:p>
  <w:p w14:paraId="6C551D3F" w14:textId="4D9932DA" w:rsidR="004B7B72" w:rsidRPr="000E7E28" w:rsidRDefault="00317B31" w:rsidP="000E7E28">
    <w:pPr>
      <w:pStyle w:val="AHPRApagenumber"/>
    </w:pPr>
    <w:sdt>
      <w:sdtPr>
        <w:id w:val="-1267458113"/>
        <w:docPartObj>
          <w:docPartGallery w:val="Page Numbers (Top of Page)"/>
          <w:docPartUnique/>
        </w:docPartObj>
      </w:sdtPr>
      <w:sdtEndPr/>
      <w:sdtContent>
        <w:r w:rsidR="004B7B72" w:rsidRPr="000E7E28">
          <w:t xml:space="preserve">Page </w:t>
        </w:r>
        <w:r w:rsidR="004B7B72">
          <w:fldChar w:fldCharType="begin"/>
        </w:r>
        <w:r w:rsidR="004B7B72">
          <w:instrText xml:space="preserve"> PAGE </w:instrText>
        </w:r>
        <w:r w:rsidR="004B7B72">
          <w:fldChar w:fldCharType="separate"/>
        </w:r>
        <w:r w:rsidR="004B7B72">
          <w:rPr>
            <w:noProof/>
          </w:rPr>
          <w:t>2</w:t>
        </w:r>
        <w:r w:rsidR="004B7B72">
          <w:rPr>
            <w:noProof/>
          </w:rPr>
          <w:fldChar w:fldCharType="end"/>
        </w:r>
        <w:r w:rsidR="004B7B72" w:rsidRPr="000E7E28">
          <w:t xml:space="preserve"> of </w:t>
        </w:r>
        <w:r w:rsidR="00B87180">
          <w:t>13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789D" w14:textId="77777777" w:rsidR="004B7B72" w:rsidRDefault="004B7B72" w:rsidP="00586D5F">
    <w:pPr>
      <w:spacing w:after="0"/>
      <w:jc w:val="center"/>
      <w:rPr>
        <w:rFonts w:ascii="Calibri" w:hAnsi="Calibri" w:cs="Calibri"/>
        <w:color w:val="5F6062"/>
        <w:sz w:val="18"/>
        <w:szCs w:val="18"/>
      </w:rPr>
    </w:pPr>
    <w:bookmarkStart w:id="10" w:name="_Hlk24447634"/>
    <w:bookmarkStart w:id="11" w:name="_Hlk24447268"/>
    <w:r>
      <w:rPr>
        <w:color w:val="5F6062"/>
        <w:sz w:val="18"/>
        <w:szCs w:val="18"/>
      </w:rPr>
      <w:t>Australian Health Practitioner Regulation Agency</w:t>
    </w:r>
  </w:p>
  <w:p w14:paraId="5766E8C3" w14:textId="77777777" w:rsidR="004B7B72" w:rsidRDefault="004B7B72" w:rsidP="00586D5F">
    <w:pPr>
      <w:spacing w:after="0"/>
      <w:jc w:val="center"/>
      <w:rPr>
        <w:color w:val="5F6062"/>
        <w:sz w:val="18"/>
        <w:szCs w:val="18"/>
      </w:rPr>
    </w:pPr>
    <w:r>
      <w:rPr>
        <w:color w:val="5F6062"/>
        <w:sz w:val="18"/>
        <w:szCs w:val="18"/>
      </w:rPr>
      <w:t>National Boards</w:t>
    </w:r>
  </w:p>
  <w:p w14:paraId="21FC76DB" w14:textId="77777777" w:rsidR="004B7B72" w:rsidRPr="00126A8D" w:rsidRDefault="004B7B72" w:rsidP="00586D5F">
    <w:pPr>
      <w:spacing w:after="0"/>
      <w:jc w:val="center"/>
      <w:rPr>
        <w:color w:val="5F6062"/>
        <w:sz w:val="16"/>
        <w:szCs w:val="16"/>
      </w:rPr>
    </w:pPr>
    <w:r w:rsidRPr="00126A8D">
      <w:rPr>
        <w:color w:val="0067B9"/>
        <w:sz w:val="16"/>
        <w:szCs w:val="16"/>
      </w:rPr>
      <w:t>GPO Box 9958 Melbourne VIC 3001</w:t>
    </w:r>
    <w:r w:rsidRPr="00126A8D">
      <w:rPr>
        <w:color w:val="5F6062"/>
        <w:sz w:val="16"/>
        <w:szCs w:val="16"/>
      </w:rPr>
      <w:t xml:space="preserve">     </w:t>
    </w:r>
    <w:r w:rsidRPr="00126A8D">
      <w:rPr>
        <w:color w:val="279989"/>
        <w:sz w:val="16"/>
        <w:szCs w:val="16"/>
      </w:rPr>
      <w:t>Ahpra.gov.au</w:t>
    </w:r>
    <w:r w:rsidRPr="00126A8D">
      <w:rPr>
        <w:color w:val="5F6062"/>
        <w:sz w:val="16"/>
        <w:szCs w:val="16"/>
      </w:rPr>
      <w:t xml:space="preserve">     </w:t>
    </w:r>
    <w:r w:rsidRPr="00126A8D">
      <w:rPr>
        <w:color w:val="0067B9"/>
        <w:sz w:val="16"/>
        <w:szCs w:val="16"/>
      </w:rPr>
      <w:t>1300 419 495</w:t>
    </w:r>
  </w:p>
  <w:bookmarkEnd w:id="10"/>
  <w:p w14:paraId="6D686641" w14:textId="77777777" w:rsidR="004B7B72" w:rsidRPr="00126A8D" w:rsidRDefault="004B7B72" w:rsidP="00586D5F">
    <w:pPr>
      <w:spacing w:after="0"/>
      <w:jc w:val="center"/>
      <w:rPr>
        <w:color w:val="5F6062"/>
        <w:sz w:val="14"/>
        <w:szCs w:val="14"/>
      </w:rPr>
    </w:pPr>
  </w:p>
  <w:p w14:paraId="5927BC61" w14:textId="77777777" w:rsidR="004B7B72" w:rsidRPr="00126A8D" w:rsidRDefault="004B7B72" w:rsidP="00586D5F">
    <w:pPr>
      <w:spacing w:after="0"/>
      <w:ind w:left="1418" w:firstLine="22"/>
      <w:rPr>
        <w:color w:val="5F6062"/>
        <w:sz w:val="14"/>
        <w:szCs w:val="14"/>
      </w:rPr>
    </w:pPr>
    <w:r w:rsidRPr="00126A8D">
      <w:rPr>
        <w:color w:val="5F6062"/>
        <w:sz w:val="14"/>
        <w:szCs w:val="14"/>
      </w:rPr>
      <w:t xml:space="preserve">Ahpra and the National Boards regulate these registered health professions: Aboriginal and Torres Strait Islander </w:t>
    </w:r>
  </w:p>
  <w:p w14:paraId="6472BD50" w14:textId="77777777" w:rsidR="004B7B72" w:rsidRPr="00126A8D" w:rsidRDefault="004B7B72" w:rsidP="00586D5F">
    <w:pPr>
      <w:spacing w:after="0"/>
      <w:ind w:left="1440"/>
      <w:rPr>
        <w:color w:val="5F6062"/>
        <w:sz w:val="14"/>
        <w:szCs w:val="14"/>
      </w:rPr>
    </w:pPr>
    <w:r w:rsidRPr="00126A8D">
      <w:rPr>
        <w:color w:val="5F6062"/>
        <w:sz w:val="14"/>
        <w:szCs w:val="14"/>
      </w:rPr>
      <w:t xml:space="preserve">health practice, Chinese medicine, chiropractic, dental, medical, medical radiation practice, midwifery, nursing, </w:t>
    </w:r>
  </w:p>
  <w:p w14:paraId="20D58B5E" w14:textId="77777777" w:rsidR="004B7B72" w:rsidRPr="00126A8D" w:rsidRDefault="004B7B72" w:rsidP="00586D5F">
    <w:pPr>
      <w:spacing w:after="0"/>
      <w:ind w:left="1418"/>
      <w:rPr>
        <w:color w:val="5F6062"/>
        <w:sz w:val="14"/>
        <w:szCs w:val="14"/>
      </w:rPr>
    </w:pPr>
    <w:r w:rsidRPr="00126A8D">
      <w:rPr>
        <w:color w:val="5F6062"/>
        <w:sz w:val="14"/>
        <w:szCs w:val="14"/>
      </w:rPr>
      <w:t>occupational therapy, optometry, osteopathy, paramedicine, pharmacy, physiotherapy, podiatry and psychology.</w:t>
    </w:r>
    <w:bookmarkEnd w:id="11"/>
  </w:p>
  <w:p w14:paraId="3B505ECE" w14:textId="77777777" w:rsidR="004B7B72" w:rsidRPr="00586D5F" w:rsidRDefault="004B7B72" w:rsidP="00586D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4278" w14:textId="7382D5C0" w:rsidR="004B7B72" w:rsidRPr="00126A8D" w:rsidRDefault="004B7B72" w:rsidP="00A928CD">
    <w:pPr>
      <w:spacing w:after="0"/>
      <w:jc w:val="center"/>
      <w:rPr>
        <w:color w:val="5F6062"/>
        <w:sz w:val="14"/>
        <w:szCs w:val="14"/>
      </w:rPr>
    </w:pPr>
  </w:p>
  <w:p w14:paraId="3CA55167" w14:textId="77777777" w:rsidR="004B7B72" w:rsidRPr="000E7E28" w:rsidRDefault="00317B31" w:rsidP="00A928CD">
    <w:pPr>
      <w:pStyle w:val="AHPRApagenumber"/>
    </w:pPr>
    <w:sdt>
      <w:sdtPr>
        <w:id w:val="1620172678"/>
        <w:docPartObj>
          <w:docPartGallery w:val="Page Numbers (Top of Page)"/>
          <w:docPartUnique/>
        </w:docPartObj>
      </w:sdtPr>
      <w:sdtEndPr/>
      <w:sdtContent>
        <w:r w:rsidR="004B7B72" w:rsidRPr="000E7E28">
          <w:t xml:space="preserve">Page </w:t>
        </w:r>
        <w:r w:rsidR="004B7B72">
          <w:fldChar w:fldCharType="begin"/>
        </w:r>
        <w:r w:rsidR="004B7B72">
          <w:instrText xml:space="preserve"> PAGE </w:instrText>
        </w:r>
        <w:r w:rsidR="004B7B72">
          <w:fldChar w:fldCharType="separate"/>
        </w:r>
        <w:r w:rsidR="004B7B72">
          <w:t>3</w:t>
        </w:r>
        <w:r w:rsidR="004B7B72">
          <w:rPr>
            <w:noProof/>
          </w:rPr>
          <w:fldChar w:fldCharType="end"/>
        </w:r>
        <w:r w:rsidR="004B7B72" w:rsidRPr="000E7E28">
          <w:t xml:space="preserve"> of </w:t>
        </w:r>
        <w:r w:rsidR="004B7B72">
          <w:fldChar w:fldCharType="begin"/>
        </w:r>
        <w:r w:rsidR="004B7B72">
          <w:instrText xml:space="preserve"> NUMPAGES  </w:instrText>
        </w:r>
        <w:r w:rsidR="004B7B72">
          <w:fldChar w:fldCharType="separate"/>
        </w:r>
        <w:r w:rsidR="004B7B72">
          <w:t>14</w:t>
        </w:r>
        <w:r w:rsidR="004B7B72">
          <w:rPr>
            <w:noProof/>
          </w:rPr>
          <w:fldChar w:fldCharType="end"/>
        </w:r>
      </w:sdtContent>
    </w:sdt>
  </w:p>
  <w:p w14:paraId="0E59ED55" w14:textId="77777777" w:rsidR="004B7B72" w:rsidRPr="00586D5F" w:rsidRDefault="004B7B72" w:rsidP="00586D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3FDBE" w14:textId="77777777" w:rsidR="00B87180" w:rsidRPr="00154F2A" w:rsidRDefault="00B87180" w:rsidP="0099652A">
    <w:pPr>
      <w:spacing w:after="0"/>
      <w:jc w:val="center"/>
      <w:rPr>
        <w:color w:val="5F6062"/>
        <w:sz w:val="14"/>
        <w:szCs w:val="14"/>
      </w:rPr>
    </w:pPr>
  </w:p>
  <w:p w14:paraId="1E6A4D66" w14:textId="6B65A64C" w:rsidR="00B87180" w:rsidRPr="000E7E28" w:rsidRDefault="00B87180" w:rsidP="000E7E28">
    <w:pPr>
      <w:pStyle w:val="AHPRApagenumb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CCC00" w14:textId="77777777" w:rsidR="0065489F" w:rsidRPr="00126A8D" w:rsidRDefault="0065489F" w:rsidP="00A928CD">
    <w:pPr>
      <w:spacing w:after="0"/>
      <w:jc w:val="center"/>
      <w:rPr>
        <w:color w:val="5F6062"/>
        <w:sz w:val="14"/>
        <w:szCs w:val="14"/>
      </w:rPr>
    </w:pPr>
  </w:p>
  <w:p w14:paraId="2F0AECED" w14:textId="60249D5F" w:rsidR="0065489F" w:rsidRPr="000E7E28" w:rsidRDefault="00317B31" w:rsidP="00A928CD">
    <w:pPr>
      <w:pStyle w:val="AHPRApagenumber"/>
    </w:pPr>
    <w:sdt>
      <w:sdtPr>
        <w:id w:val="1336806891"/>
        <w:docPartObj>
          <w:docPartGallery w:val="Page Numbers (Top of Page)"/>
          <w:docPartUnique/>
        </w:docPartObj>
      </w:sdtPr>
      <w:sdtEndPr/>
      <w:sdtContent/>
    </w:sdt>
  </w:p>
  <w:p w14:paraId="512FFA2B" w14:textId="77777777" w:rsidR="0065489F" w:rsidRPr="00586D5F" w:rsidRDefault="0065489F" w:rsidP="0058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595C8" w14:textId="77777777" w:rsidR="00010B43" w:rsidRDefault="00010B43" w:rsidP="000E7E28">
      <w:pPr>
        <w:spacing w:after="0"/>
      </w:pPr>
      <w:r>
        <w:separator/>
      </w:r>
    </w:p>
  </w:footnote>
  <w:footnote w:type="continuationSeparator" w:id="0">
    <w:p w14:paraId="176BCCC8" w14:textId="77777777" w:rsidR="00010B43" w:rsidRDefault="00010B43" w:rsidP="00FC2881">
      <w:pPr>
        <w:spacing w:after="0"/>
      </w:pPr>
      <w:r>
        <w:continuationSeparator/>
      </w:r>
    </w:p>
    <w:p w14:paraId="1D9BDBC4" w14:textId="77777777" w:rsidR="00010B43" w:rsidRDefault="00010B43"/>
  </w:footnote>
  <w:footnote w:type="continuationNotice" w:id="1">
    <w:p w14:paraId="6F5428EC" w14:textId="77777777" w:rsidR="00010B43" w:rsidRDefault="00010B43">
      <w:pPr>
        <w:spacing w:after="0"/>
      </w:pPr>
    </w:p>
  </w:footnote>
  <w:footnote w:id="2">
    <w:p w14:paraId="08F535BA" w14:textId="77777777" w:rsidR="00EF7A15" w:rsidRPr="00FA6673" w:rsidRDefault="00EF7A15" w:rsidP="00362DE5">
      <w:pPr>
        <w:pStyle w:val="AHPRAbodyContextparanumbered"/>
        <w:numPr>
          <w:ilvl w:val="0"/>
          <w:numId w:val="0"/>
        </w:numPr>
      </w:pPr>
      <w:r>
        <w:rPr>
          <w:rStyle w:val="FootnoteReference"/>
        </w:rPr>
        <w:footnoteRef/>
      </w:r>
      <w:r>
        <w:t xml:space="preserve"> </w:t>
      </w:r>
      <w:r w:rsidRPr="00E90B0E">
        <w:rPr>
          <w:sz w:val="16"/>
          <w:szCs w:val="16"/>
        </w:rPr>
        <w:t>This statement has been developed by A</w:t>
      </w:r>
      <w:r>
        <w:rPr>
          <w:sz w:val="16"/>
          <w:szCs w:val="16"/>
        </w:rPr>
        <w:t>hpra</w:t>
      </w:r>
      <w:r w:rsidRPr="00E90B0E">
        <w:rPr>
          <w:sz w:val="16"/>
          <w:szCs w:val="16"/>
        </w:rPr>
        <w:t xml:space="preserve"> and the National Boards in accordance with section 25(c) and 35(c) of the </w:t>
      </w:r>
      <w:r w:rsidRPr="0077456D">
        <w:rPr>
          <w:sz w:val="16"/>
          <w:szCs w:val="16"/>
        </w:rPr>
        <w:t xml:space="preserve">Health Practitioner Regulation National Law </w:t>
      </w:r>
      <w:r w:rsidRPr="00E90B0E">
        <w:rPr>
          <w:sz w:val="16"/>
          <w:szCs w:val="16"/>
        </w:rPr>
        <w:t>as in force in each state and territory (the National Law). Section 25(c) requires A</w:t>
      </w:r>
      <w:r>
        <w:rPr>
          <w:sz w:val="16"/>
          <w:szCs w:val="16"/>
        </w:rPr>
        <w:t>hpra</w:t>
      </w:r>
      <w:r w:rsidRPr="00E90B0E">
        <w:rPr>
          <w:sz w:val="16"/>
          <w:szCs w:val="16"/>
        </w:rPr>
        <w:t xml:space="preserve"> to establish procedures for ensuring that the National Registration and Accreditation Scheme (the National Scheme) operates in accordance with good regulatory practice. Section 35(c) assigns the National Boards functions to develop or approve standards, codes and guidelines for the health profession including the development of registration standards for approval by the Health Council and that provide guidance to health practitioners registered in the profession. Section 40 of the National Law requires National Boards to ensure that there is wide-ranging consultation during the development of a registration standard, code, or guideline.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98F3F" w14:textId="7DE03A1A" w:rsidR="004B7B72" w:rsidRDefault="004B7B72" w:rsidP="005F4818">
    <w:pPr>
      <w:jc w:val="right"/>
    </w:pPr>
    <w:r>
      <w:rPr>
        <w:noProof/>
      </w:rPr>
      <w:drawing>
        <wp:anchor distT="0" distB="0" distL="114300" distR="114300" simplePos="0" relativeHeight="251658240" behindDoc="0" locked="0" layoutInCell="1" allowOverlap="1" wp14:anchorId="031689E5" wp14:editId="5737C6B1">
          <wp:simplePos x="0" y="0"/>
          <wp:positionH relativeFrom="margin">
            <wp:posOffset>3780155</wp:posOffset>
          </wp:positionH>
          <wp:positionV relativeFrom="paragraph">
            <wp:posOffset>12095</wp:posOffset>
          </wp:positionV>
          <wp:extent cx="2452373" cy="939383"/>
          <wp:effectExtent l="0" t="0" r="5080" b="0"/>
          <wp:wrapSquare wrapText="bothSides"/>
          <wp:docPr id="6" name="Picture 6" descr="The Dental Board of Australia and Ahpr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2019 Logo DBA.png"/>
                  <pic:cNvPicPr/>
                </pic:nvPicPr>
                <pic:blipFill>
                  <a:blip r:embed="rId1"/>
                  <a:stretch>
                    <a:fillRect/>
                  </a:stretch>
                </pic:blipFill>
                <pic:spPr>
                  <a:xfrm>
                    <a:off x="0" y="0"/>
                    <a:ext cx="2452373" cy="939383"/>
                  </a:xfrm>
                  <a:prstGeom prst="rect">
                    <a:avLst/>
                  </a:prstGeom>
                </pic:spPr>
              </pic:pic>
            </a:graphicData>
          </a:graphic>
        </wp:anchor>
      </w:drawing>
    </w:r>
  </w:p>
  <w:p w14:paraId="02C93B42" w14:textId="77777777" w:rsidR="004B7B72" w:rsidRDefault="004B7B72" w:rsidP="005F4818">
    <w:pPr>
      <w:jc w:val="right"/>
    </w:pPr>
  </w:p>
  <w:p w14:paraId="7CF2FE82" w14:textId="77777777" w:rsidR="004B7B72" w:rsidRDefault="004B7B72" w:rsidP="005F4818">
    <w:pPr>
      <w:jc w:val="right"/>
    </w:pPr>
  </w:p>
  <w:p w14:paraId="111AAF87" w14:textId="77777777" w:rsidR="004B7B72" w:rsidRDefault="004B7B72" w:rsidP="005F4818">
    <w:pPr>
      <w:jc w:val="right"/>
    </w:pPr>
  </w:p>
  <w:p w14:paraId="47CC809F" w14:textId="77777777" w:rsidR="004B7B72" w:rsidRDefault="004B7B72" w:rsidP="005F4818">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A7873" w14:textId="7B166E33" w:rsidR="00B67569" w:rsidRDefault="00B67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D552" w14:textId="268E9C28" w:rsidR="00B67569" w:rsidRDefault="00B675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2BE5" w14:textId="4FF4BD7E" w:rsidR="00B67569" w:rsidRDefault="00B67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6pt;height:10.8pt" o:bullet="t">
        <v:imagedata r:id="rId1" o:title="Why icon"/>
      </v:shape>
    </w:pict>
  </w:numPicBullet>
  <w:numPicBullet w:numPicBulletId="1">
    <w:pict>
      <v:shape id="_x0000_i1031" type="#_x0000_t75" style="width:15.6pt;height:15.6pt" o:bullet="t">
        <v:imagedata r:id="rId2" o:title="How icon"/>
      </v:shape>
    </w:pict>
  </w:numPicBullet>
  <w:numPicBullet w:numPicBulletId="2">
    <w:pict>
      <v:shape id="_x0000_i1032" type="#_x0000_t75" style="width:15.6pt;height:15.6pt" o:bullet="t">
        <v:imagedata r:id="rId3" o:title="What icon"/>
      </v:shape>
    </w:pict>
  </w:numPicBullet>
  <w:numPicBullet w:numPicBulletId="3">
    <w:pict>
      <v:shape id="_x0000_i1033" type="#_x0000_t75" style="width:10.2pt;height:15.6pt" o:bullet="t">
        <v:imagedata r:id="rId4" o:title="Who icon"/>
      </v:shape>
    </w:pict>
  </w:numPicBullet>
  <w:abstractNum w:abstractNumId="0" w15:restartNumberingAfterBreak="0">
    <w:nsid w:val="FFFFFF7C"/>
    <w:multiLevelType w:val="singleLevel"/>
    <w:tmpl w:val="B9709B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A4203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5F4C3EC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A62460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51E6AE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77EA8B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D98EC54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92403D"/>
    <w:multiLevelType w:val="hybridMultilevel"/>
    <w:tmpl w:val="C1C2B75E"/>
    <w:lvl w:ilvl="0" w:tplc="04188020">
      <w:start w:val="1"/>
      <w:numFmt w:val="lowerLetter"/>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55B3674"/>
    <w:multiLevelType w:val="multilevel"/>
    <w:tmpl w:val="A0347692"/>
    <w:styleLink w:val="AHPRABullets"/>
    <w:lvl w:ilvl="0">
      <w:start w:val="1"/>
      <w:numFmt w:val="bullet"/>
      <w:pStyle w:val="BodyTextBullets"/>
      <w:lvlText w:val=""/>
      <w:lvlJc w:val="left"/>
      <w:pPr>
        <w:ind w:left="369" w:hanging="369"/>
      </w:pPr>
      <w:rPr>
        <w:rFonts w:ascii="Symbol" w:hAnsi="Symbol" w:hint="default"/>
      </w:rPr>
    </w:lvl>
    <w:lvl w:ilvl="1">
      <w:start w:val="1"/>
      <w:numFmt w:val="bullet"/>
      <w:pStyle w:val="BodyTextBullets2"/>
      <w:lvlText w:val=""/>
      <w:lvlJc w:val="left"/>
      <w:pPr>
        <w:ind w:left="737" w:hanging="368"/>
      </w:pPr>
      <w:rPr>
        <w:rFonts w:ascii="Symbol" w:hAnsi="Symbol" w:hint="default"/>
        <w:color w:val="auto"/>
      </w:rPr>
    </w:lvl>
    <w:lvl w:ilvl="2">
      <w:start w:val="1"/>
      <w:numFmt w:val="bullet"/>
      <w:pStyle w:val="BodyTextBullets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8BB17D6"/>
    <w:multiLevelType w:val="multilevel"/>
    <w:tmpl w:val="C4183F12"/>
    <w:numStyleLink w:val="AHPRANumberedlist"/>
  </w:abstractNum>
  <w:abstractNum w:abstractNumId="10" w15:restartNumberingAfterBreak="0">
    <w:nsid w:val="09DB3D66"/>
    <w:multiLevelType w:val="hybridMultilevel"/>
    <w:tmpl w:val="A8E4C74E"/>
    <w:lvl w:ilvl="0" w:tplc="83A25FEE">
      <w:start w:val="1"/>
      <w:numFmt w:val="bullet"/>
      <w:pStyle w:val="Howheading"/>
      <w:lvlText w:val=""/>
      <w:lvlPicBulletId w:val="1"/>
      <w:lvlJc w:val="left"/>
      <w:pPr>
        <w:ind w:left="720" w:hanging="72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2" w15:restartNumberingAfterBreak="0">
    <w:nsid w:val="0ABE4E08"/>
    <w:multiLevelType w:val="hybridMultilevel"/>
    <w:tmpl w:val="539C0624"/>
    <w:lvl w:ilvl="0" w:tplc="DFE022D2">
      <w:start w:val="2"/>
      <w:numFmt w:val="decimal"/>
      <w:lvlText w:val="(%1)"/>
      <w:lvlJc w:val="left"/>
      <w:pPr>
        <w:tabs>
          <w:tab w:val="num" w:pos="425"/>
        </w:tabs>
        <w:ind w:left="425" w:hanging="425"/>
      </w:pPr>
      <w:rPr>
        <w:rFonts w:ascii="Palatino Linotype" w:hAnsi="Palatino Linotype" w:hint="default"/>
        <w:b w:val="0"/>
        <w:i w:val="0"/>
        <w:sz w:val="20"/>
      </w:rPr>
    </w:lvl>
    <w:lvl w:ilvl="1" w:tplc="2B76BEF8">
      <w:start w:val="1"/>
      <w:numFmt w:val="lowerLetter"/>
      <w:lvlText w:val="%2."/>
      <w:lvlJc w:val="left"/>
      <w:pPr>
        <w:tabs>
          <w:tab w:val="num" w:pos="425"/>
        </w:tabs>
        <w:ind w:left="851" w:hanging="426"/>
      </w:pPr>
      <w:rPr>
        <w:b w:val="0"/>
        <w:i w:val="0"/>
        <w:sz w:val="20"/>
        <w:szCs w:val="20"/>
      </w:rPr>
    </w:lvl>
    <w:lvl w:ilvl="2" w:tplc="C95A1ACE">
      <w:start w:val="1"/>
      <w:numFmt w:val="lowerRoman"/>
      <w:lvlText w:val="(%3)"/>
      <w:lvlJc w:val="left"/>
      <w:pPr>
        <w:tabs>
          <w:tab w:val="num" w:pos="425"/>
        </w:tabs>
        <w:ind w:left="1276" w:hanging="425"/>
      </w:pPr>
      <w:rPr>
        <w:rFonts w:ascii="Palatino Linotype" w:hAnsi="Palatino Linotype" w:hint="default"/>
        <w:b w:val="0"/>
        <w:i w:val="0"/>
        <w:sz w:val="20"/>
      </w:rPr>
    </w:lvl>
    <w:lvl w:ilvl="3" w:tplc="C48A69D0">
      <w:start w:val="1"/>
      <w:numFmt w:val="decimal"/>
      <w:lvlText w:val="(%4)"/>
      <w:lvlJc w:val="left"/>
      <w:pPr>
        <w:tabs>
          <w:tab w:val="num" w:pos="1723"/>
        </w:tabs>
        <w:ind w:left="1723" w:hanging="360"/>
      </w:pPr>
    </w:lvl>
    <w:lvl w:ilvl="4" w:tplc="C4628D42">
      <w:start w:val="1"/>
      <w:numFmt w:val="lowerLetter"/>
      <w:lvlText w:val="(%5)"/>
      <w:lvlJc w:val="left"/>
      <w:pPr>
        <w:tabs>
          <w:tab w:val="num" w:pos="2083"/>
        </w:tabs>
        <w:ind w:left="2083" w:hanging="360"/>
      </w:pPr>
    </w:lvl>
    <w:lvl w:ilvl="5" w:tplc="98265878">
      <w:start w:val="1"/>
      <w:numFmt w:val="lowerRoman"/>
      <w:lvlText w:val="(%6)"/>
      <w:lvlJc w:val="left"/>
      <w:pPr>
        <w:tabs>
          <w:tab w:val="num" w:pos="2443"/>
        </w:tabs>
        <w:ind w:left="2443" w:hanging="360"/>
      </w:pPr>
    </w:lvl>
    <w:lvl w:ilvl="6" w:tplc="6848F81C">
      <w:start w:val="1"/>
      <w:numFmt w:val="decimal"/>
      <w:lvlText w:val="%7."/>
      <w:lvlJc w:val="left"/>
      <w:pPr>
        <w:tabs>
          <w:tab w:val="num" w:pos="2803"/>
        </w:tabs>
        <w:ind w:left="2803" w:hanging="360"/>
      </w:pPr>
    </w:lvl>
    <w:lvl w:ilvl="7" w:tplc="E6E8D1DA">
      <w:start w:val="1"/>
      <w:numFmt w:val="lowerLetter"/>
      <w:lvlText w:val="%8."/>
      <w:lvlJc w:val="left"/>
      <w:pPr>
        <w:tabs>
          <w:tab w:val="num" w:pos="3163"/>
        </w:tabs>
        <w:ind w:left="3163" w:hanging="360"/>
      </w:pPr>
    </w:lvl>
    <w:lvl w:ilvl="8" w:tplc="1F9C01FA">
      <w:start w:val="1"/>
      <w:numFmt w:val="lowerRoman"/>
      <w:lvlText w:val="%9."/>
      <w:lvlJc w:val="left"/>
      <w:pPr>
        <w:tabs>
          <w:tab w:val="num" w:pos="3523"/>
        </w:tabs>
        <w:ind w:left="3523" w:hanging="360"/>
      </w:pPr>
    </w:lvl>
  </w:abstractNum>
  <w:abstractNum w:abstractNumId="13" w15:restartNumberingAfterBreak="0">
    <w:nsid w:val="0AC315E7"/>
    <w:multiLevelType w:val="multilevel"/>
    <w:tmpl w:val="1018D608"/>
    <w:styleLink w:val="StyleZ"/>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C037DB3"/>
    <w:multiLevelType w:val="multilevel"/>
    <w:tmpl w:val="BE20683A"/>
    <w:numStyleLink w:val="AHPRANumberedheadinglist"/>
  </w:abstractNum>
  <w:abstractNum w:abstractNumId="15" w15:restartNumberingAfterBreak="0">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6" w15:restartNumberingAfterBreak="0">
    <w:nsid w:val="152D19FF"/>
    <w:multiLevelType w:val="multilevel"/>
    <w:tmpl w:val="BE20683A"/>
    <w:numStyleLink w:val="AHPRANumberedheadinglist"/>
  </w:abstractNum>
  <w:abstractNum w:abstractNumId="17" w15:restartNumberingAfterBreak="0">
    <w:nsid w:val="19AA45F1"/>
    <w:multiLevelType w:val="hybridMultilevel"/>
    <w:tmpl w:val="E6B2FA9C"/>
    <w:lvl w:ilvl="0" w:tplc="36D87068">
      <w:start w:val="1"/>
      <w:numFmt w:val="bullet"/>
      <w:pStyle w:val="Bodytextbulletlist"/>
      <w:lvlText w:val=""/>
      <w:lvlJc w:val="left"/>
      <w:pPr>
        <w:tabs>
          <w:tab w:val="num" w:pos="340"/>
        </w:tabs>
        <w:ind w:left="340" w:hanging="34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A32458"/>
    <w:multiLevelType w:val="multilevel"/>
    <w:tmpl w:val="1FE60310"/>
    <w:lvl w:ilvl="0">
      <w:start w:val="1"/>
      <w:numFmt w:val="lowerLetter"/>
      <w:lvlText w:val="%1."/>
      <w:lvlJc w:val="left"/>
      <w:pPr>
        <w:ind w:left="738" w:hanging="369"/>
      </w:pPr>
      <w:rPr>
        <w:rFonts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8" w:firstLine="0"/>
      </w:pPr>
      <w:rPr>
        <w:rFonts w:ascii="Arial" w:hAnsi="Arial" w:hint="default"/>
        <w:b w:val="0"/>
        <w:i w:val="0"/>
        <w:color w:val="auto"/>
        <w:sz w:val="20"/>
      </w:rPr>
    </w:lvl>
    <w:lvl w:ilvl="2">
      <w:start w:val="1"/>
      <w:numFmt w:val="decimal"/>
      <w:lvlText w:val="%1.%2.%3"/>
      <w:lvlJc w:val="left"/>
      <w:pPr>
        <w:ind w:left="738" w:firstLine="368"/>
      </w:pPr>
      <w:rPr>
        <w:rFonts w:ascii="Arial" w:hAnsi="Arial" w:hint="default"/>
        <w:b w:val="0"/>
        <w:i w:val="0"/>
        <w:color w:val="auto"/>
        <w:sz w:val="20"/>
      </w:rPr>
    </w:lvl>
    <w:lvl w:ilvl="3">
      <w:start w:val="1"/>
      <w:numFmt w:val="decimal"/>
      <w:lvlText w:val="%1.%2.%3.%4."/>
      <w:lvlJc w:val="left"/>
      <w:pPr>
        <w:ind w:left="1845" w:hanging="369"/>
      </w:pPr>
      <w:rPr>
        <w:rFonts w:hint="default"/>
      </w:rPr>
    </w:lvl>
    <w:lvl w:ilvl="4">
      <w:start w:val="1"/>
      <w:numFmt w:val="decimal"/>
      <w:lvlText w:val="%1.%2.%3.%4.%5."/>
      <w:lvlJc w:val="left"/>
      <w:pPr>
        <w:ind w:left="2214" w:hanging="369"/>
      </w:pPr>
      <w:rPr>
        <w:rFonts w:hint="default"/>
      </w:rPr>
    </w:lvl>
    <w:lvl w:ilvl="5">
      <w:start w:val="1"/>
      <w:numFmt w:val="decimal"/>
      <w:lvlText w:val="%1.%2.%3.%4.%5.%6."/>
      <w:lvlJc w:val="left"/>
      <w:pPr>
        <w:ind w:left="2583" w:hanging="369"/>
      </w:pPr>
      <w:rPr>
        <w:rFonts w:hint="default"/>
      </w:rPr>
    </w:lvl>
    <w:lvl w:ilvl="6">
      <w:start w:val="1"/>
      <w:numFmt w:val="decimal"/>
      <w:lvlText w:val="%1.%2.%3.%4.%5.%6.%7."/>
      <w:lvlJc w:val="left"/>
      <w:pPr>
        <w:ind w:left="2952" w:hanging="369"/>
      </w:pPr>
      <w:rPr>
        <w:rFonts w:hint="default"/>
      </w:rPr>
    </w:lvl>
    <w:lvl w:ilvl="7">
      <w:start w:val="1"/>
      <w:numFmt w:val="decimal"/>
      <w:lvlText w:val="%1.%2.%3.%4.%5.%6.%7.%8."/>
      <w:lvlJc w:val="left"/>
      <w:pPr>
        <w:ind w:left="3321" w:hanging="369"/>
      </w:pPr>
      <w:rPr>
        <w:rFonts w:hint="default"/>
      </w:rPr>
    </w:lvl>
    <w:lvl w:ilvl="8">
      <w:start w:val="1"/>
      <w:numFmt w:val="decimal"/>
      <w:lvlText w:val="%1.%2.%3.%4.%5.%6.%7.%8.%9."/>
      <w:lvlJc w:val="left"/>
      <w:pPr>
        <w:ind w:left="3690" w:hanging="369"/>
      </w:pPr>
      <w:rPr>
        <w:rFonts w:hint="default"/>
      </w:rPr>
    </w:lvl>
  </w:abstractNum>
  <w:abstractNum w:abstractNumId="19" w15:restartNumberingAfterBreak="0">
    <w:nsid w:val="1D296F27"/>
    <w:multiLevelType w:val="multilevel"/>
    <w:tmpl w:val="2D986C5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pStyle w:val="ListNumber2"/>
      <w:lvlText w:val="%1.%2"/>
      <w:lvlJc w:val="left"/>
      <w:pPr>
        <w:ind w:left="1021" w:hanging="652"/>
      </w:pPr>
      <w:rPr>
        <w:rFonts w:ascii="Arial" w:hAnsi="Arial" w:hint="default"/>
        <w:b w:val="0"/>
        <w:i w:val="0"/>
        <w:color w:val="auto"/>
        <w:sz w:val="20"/>
      </w:rPr>
    </w:lvl>
    <w:lvl w:ilvl="2">
      <w:start w:val="1"/>
      <w:numFmt w:val="decimal"/>
      <w:pStyle w:val="ListNumber3"/>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0" w15:restartNumberingAfterBreak="0">
    <w:nsid w:val="1FCB5BE0"/>
    <w:multiLevelType w:val="multilevel"/>
    <w:tmpl w:val="957E7A6A"/>
    <w:styleLink w:val="AHPRAListBullets"/>
    <w:lvl w:ilvl="0">
      <w:start w:val="1"/>
      <w:numFmt w:val="bullet"/>
      <w:pStyle w:val="ListBullet1a"/>
      <w:lvlText w:val=""/>
      <w:lvlJc w:val="left"/>
      <w:pPr>
        <w:ind w:left="737" w:hanging="368"/>
      </w:pPr>
      <w:rPr>
        <w:rFonts w:ascii="Symbol" w:hAnsi="Symbol" w:hint="default"/>
      </w:rPr>
    </w:lvl>
    <w:lvl w:ilvl="1">
      <w:start w:val="1"/>
      <w:numFmt w:val="bullet"/>
      <w:lvlText w:val=""/>
      <w:lvlJc w:val="left"/>
      <w:pPr>
        <w:ind w:left="1389" w:hanging="368"/>
      </w:pPr>
      <w:rPr>
        <w:rFonts w:ascii="Symbol" w:hAnsi="Symbol" w:hint="default"/>
        <w:color w:val="auto"/>
      </w:rPr>
    </w:lvl>
    <w:lvl w:ilvl="2">
      <w:start w:val="1"/>
      <w:numFmt w:val="bullet"/>
      <w:lvlText w:val=""/>
      <w:lvlJc w:val="left"/>
      <w:pPr>
        <w:ind w:left="2240" w:hanging="369"/>
      </w:pPr>
      <w:rPr>
        <w:rFonts w:ascii="Symbol" w:hAnsi="Symbol" w:hint="default"/>
      </w:rPr>
    </w:lvl>
    <w:lvl w:ilvl="3">
      <w:start w:val="1"/>
      <w:numFmt w:val="bullet"/>
      <w:pStyle w:val="ListBullet1b"/>
      <w:lvlText w:val=""/>
      <w:lvlJc w:val="left"/>
      <w:pPr>
        <w:ind w:left="1021" w:hanging="284"/>
      </w:pPr>
      <w:rPr>
        <w:rFonts w:ascii="Symbol" w:hAnsi="Symbol" w:hint="default"/>
        <w:color w:val="auto"/>
      </w:rPr>
    </w:lvl>
    <w:lvl w:ilvl="4">
      <w:start w:val="1"/>
      <w:numFmt w:val="bullet"/>
      <w:lvlText w:val=""/>
      <w:lvlJc w:val="left"/>
      <w:pPr>
        <w:ind w:left="1673" w:hanging="284"/>
      </w:pPr>
      <w:rPr>
        <w:rFonts w:ascii="Symbol" w:hAnsi="Symbol" w:hint="default"/>
        <w:color w:val="auto"/>
      </w:rPr>
    </w:lvl>
    <w:lvl w:ilvl="5">
      <w:start w:val="1"/>
      <w:numFmt w:val="bullet"/>
      <w:lvlText w:val=""/>
      <w:lvlJc w:val="left"/>
      <w:pPr>
        <w:ind w:left="2126" w:hanging="368"/>
      </w:pPr>
      <w:rPr>
        <w:rFonts w:ascii="Symbol" w:hAnsi="Symbol" w:hint="default"/>
        <w:color w:val="auto"/>
      </w:rPr>
    </w:lvl>
    <w:lvl w:ilvl="6">
      <w:start w:val="1"/>
      <w:numFmt w:val="bullet"/>
      <w:pStyle w:val="ListBullet1c"/>
      <w:lvlText w:val="o"/>
      <w:lvlJc w:val="left"/>
      <w:pPr>
        <w:ind w:left="1389" w:hanging="368"/>
      </w:pPr>
      <w:rPr>
        <w:rFonts w:ascii="Courier New" w:hAnsi="Courier New" w:hint="default"/>
      </w:rPr>
    </w:lvl>
    <w:lvl w:ilvl="7">
      <w:start w:val="1"/>
      <w:numFmt w:val="bullet"/>
      <w:lvlText w:val="o"/>
      <w:lvlJc w:val="left"/>
      <w:pPr>
        <w:ind w:left="2041" w:hanging="368"/>
      </w:pPr>
      <w:rPr>
        <w:rFonts w:ascii="Courier New" w:hAnsi="Courier New" w:hint="default"/>
        <w:color w:val="auto"/>
      </w:rPr>
    </w:lvl>
    <w:lvl w:ilvl="8">
      <w:start w:val="1"/>
      <w:numFmt w:val="bullet"/>
      <w:lvlText w:val="o"/>
      <w:lvlJc w:val="left"/>
      <w:pPr>
        <w:ind w:left="2977" w:hanging="369"/>
      </w:pPr>
      <w:rPr>
        <w:rFonts w:ascii="Courier New" w:hAnsi="Courier New" w:hint="default"/>
      </w:rPr>
    </w:lvl>
  </w:abstractNum>
  <w:abstractNum w:abstractNumId="21" w15:restartNumberingAfterBreak="0">
    <w:nsid w:val="2822578D"/>
    <w:multiLevelType w:val="multilevel"/>
    <w:tmpl w:val="BE20683A"/>
    <w:numStyleLink w:val="AHPRANumberedheadinglist"/>
  </w:abstractNum>
  <w:abstractNum w:abstractNumId="22" w15:restartNumberingAfterBreak="0">
    <w:nsid w:val="2BDF3881"/>
    <w:multiLevelType w:val="singleLevel"/>
    <w:tmpl w:val="04090019"/>
    <w:lvl w:ilvl="0">
      <w:start w:val="1"/>
      <w:numFmt w:val="lowerLetter"/>
      <w:lvlText w:val="%1."/>
      <w:lvlJc w:val="left"/>
      <w:pPr>
        <w:ind w:left="360" w:hanging="360"/>
      </w:pPr>
      <w:rPr>
        <w:rFonts w:hint="default"/>
      </w:rPr>
    </w:lvl>
  </w:abstractNum>
  <w:abstractNum w:abstractNumId="23" w15:restartNumberingAfterBreak="0">
    <w:nsid w:val="2EC749FE"/>
    <w:multiLevelType w:val="hybridMultilevel"/>
    <w:tmpl w:val="8DB6E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200978"/>
    <w:multiLevelType w:val="hybridMultilevel"/>
    <w:tmpl w:val="F07C6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02D73AA"/>
    <w:multiLevelType w:val="hybridMultilevel"/>
    <w:tmpl w:val="F3C471EA"/>
    <w:lvl w:ilvl="0" w:tplc="79CE3232">
      <w:start w:val="1"/>
      <w:numFmt w:val="decimal"/>
      <w:pStyle w:val="Tablenumberedlist"/>
      <w:lvlText w:val="%1."/>
      <w:lvlJc w:val="left"/>
      <w:pPr>
        <w:tabs>
          <w:tab w:val="num" w:pos="284"/>
        </w:tabs>
        <w:ind w:left="284" w:hanging="284"/>
      </w:pPr>
      <w:rPr>
        <w:rFonts w:ascii="Arial" w:hAnsi="Arial" w:hint="default"/>
        <w:b w:val="0"/>
        <w:bCs w:val="0"/>
        <w:i w:val="0"/>
        <w:iCs w:val="0"/>
        <w:color w:val="EEECE1" w:themeColor="background2"/>
        <w:sz w:val="18"/>
        <w:szCs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B140A4"/>
    <w:multiLevelType w:val="hybridMultilevel"/>
    <w:tmpl w:val="4BE02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381DD3"/>
    <w:multiLevelType w:val="hybridMultilevel"/>
    <w:tmpl w:val="C1767B28"/>
    <w:lvl w:ilvl="0" w:tplc="4E9298B4">
      <w:start w:val="1"/>
      <w:numFmt w:val="lowerLetter"/>
      <w:lvlText w:val="%1."/>
      <w:lvlJc w:val="left"/>
      <w:pPr>
        <w:ind w:left="1791" w:hanging="360"/>
      </w:pPr>
      <w:rPr>
        <w:color w:val="auto"/>
      </w:rPr>
    </w:lvl>
    <w:lvl w:ilvl="1" w:tplc="0C090019">
      <w:start w:val="1"/>
      <w:numFmt w:val="lowerLetter"/>
      <w:lvlText w:val="%2."/>
      <w:lvlJc w:val="left"/>
      <w:pPr>
        <w:ind w:left="2511" w:hanging="360"/>
      </w:pPr>
    </w:lvl>
    <w:lvl w:ilvl="2" w:tplc="0C09001B" w:tentative="1">
      <w:start w:val="1"/>
      <w:numFmt w:val="lowerRoman"/>
      <w:lvlText w:val="%3."/>
      <w:lvlJc w:val="right"/>
      <w:pPr>
        <w:ind w:left="3231" w:hanging="180"/>
      </w:pPr>
    </w:lvl>
    <w:lvl w:ilvl="3" w:tplc="0C09000F" w:tentative="1">
      <w:start w:val="1"/>
      <w:numFmt w:val="decimal"/>
      <w:lvlText w:val="%4."/>
      <w:lvlJc w:val="left"/>
      <w:pPr>
        <w:ind w:left="3951" w:hanging="360"/>
      </w:pPr>
    </w:lvl>
    <w:lvl w:ilvl="4" w:tplc="0C090019" w:tentative="1">
      <w:start w:val="1"/>
      <w:numFmt w:val="lowerLetter"/>
      <w:lvlText w:val="%5."/>
      <w:lvlJc w:val="left"/>
      <w:pPr>
        <w:ind w:left="4671" w:hanging="360"/>
      </w:pPr>
    </w:lvl>
    <w:lvl w:ilvl="5" w:tplc="0C09001B" w:tentative="1">
      <w:start w:val="1"/>
      <w:numFmt w:val="lowerRoman"/>
      <w:lvlText w:val="%6."/>
      <w:lvlJc w:val="right"/>
      <w:pPr>
        <w:ind w:left="5391" w:hanging="180"/>
      </w:pPr>
    </w:lvl>
    <w:lvl w:ilvl="6" w:tplc="0C09000F" w:tentative="1">
      <w:start w:val="1"/>
      <w:numFmt w:val="decimal"/>
      <w:lvlText w:val="%7."/>
      <w:lvlJc w:val="left"/>
      <w:pPr>
        <w:ind w:left="6111" w:hanging="360"/>
      </w:pPr>
    </w:lvl>
    <w:lvl w:ilvl="7" w:tplc="0C090019" w:tentative="1">
      <w:start w:val="1"/>
      <w:numFmt w:val="lowerLetter"/>
      <w:lvlText w:val="%8."/>
      <w:lvlJc w:val="left"/>
      <w:pPr>
        <w:ind w:left="6831" w:hanging="360"/>
      </w:pPr>
    </w:lvl>
    <w:lvl w:ilvl="8" w:tplc="0C09001B" w:tentative="1">
      <w:start w:val="1"/>
      <w:numFmt w:val="lowerRoman"/>
      <w:lvlText w:val="%9."/>
      <w:lvlJc w:val="right"/>
      <w:pPr>
        <w:ind w:left="7551" w:hanging="180"/>
      </w:pPr>
    </w:lvl>
  </w:abstractNum>
  <w:abstractNum w:abstractNumId="30" w15:restartNumberingAfterBreak="0">
    <w:nsid w:val="3BD0645F"/>
    <w:multiLevelType w:val="hybridMultilevel"/>
    <w:tmpl w:val="A71A2024"/>
    <w:lvl w:ilvl="0" w:tplc="8392FC64">
      <w:start w:val="1"/>
      <w:numFmt w:val="bullet"/>
      <w:pStyle w:val="Whatheading"/>
      <w:lvlText w:val=""/>
      <w:lvlPicBulletId w:val="2"/>
      <w:lvlJc w:val="left"/>
      <w:pPr>
        <w:ind w:left="720" w:hanging="72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5A0B87"/>
    <w:multiLevelType w:val="hybridMultilevel"/>
    <w:tmpl w:val="D46CCD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3E0165BD"/>
    <w:multiLevelType w:val="hybridMultilevel"/>
    <w:tmpl w:val="AC468C54"/>
    <w:lvl w:ilvl="0" w:tplc="E5708F78">
      <w:start w:val="1"/>
      <w:numFmt w:val="decimal"/>
      <w:pStyle w:val="AHPRAbodyContextparanumbered"/>
      <w:lvlText w:val="%1."/>
      <w:lvlJc w:val="left"/>
      <w:pPr>
        <w:ind w:left="360" w:hanging="360"/>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C144662">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3166DE2"/>
    <w:multiLevelType w:val="hybridMultilevel"/>
    <w:tmpl w:val="7BA87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4754ED"/>
    <w:multiLevelType w:val="hybridMultilevel"/>
    <w:tmpl w:val="3A18FB6C"/>
    <w:lvl w:ilvl="0" w:tplc="16309986">
      <w:start w:val="1"/>
      <w:numFmt w:val="bullet"/>
      <w:pStyle w:val="Whoheading"/>
      <w:lvlText w:val=""/>
      <w:lvlPicBulletId w:val="3"/>
      <w:lvlJc w:val="left"/>
      <w:pPr>
        <w:ind w:left="720" w:hanging="72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04433A"/>
    <w:multiLevelType w:val="multilevel"/>
    <w:tmpl w:val="C4183F12"/>
    <w:numStyleLink w:val="AHPRANumberedlist"/>
  </w:abstractNum>
  <w:abstractNum w:abstractNumId="37" w15:restartNumberingAfterBreak="0">
    <w:nsid w:val="5144542D"/>
    <w:multiLevelType w:val="hybridMultilevel"/>
    <w:tmpl w:val="3296EB18"/>
    <w:lvl w:ilvl="0" w:tplc="7E2E2DC2">
      <w:start w:val="1"/>
      <w:numFmt w:val="bullet"/>
      <w:pStyle w:val="Tablebullet"/>
      <w:lvlText w:val=""/>
      <w:lvlJc w:val="left"/>
      <w:pPr>
        <w:tabs>
          <w:tab w:val="num" w:pos="284"/>
        </w:tabs>
        <w:ind w:left="284" w:hanging="284"/>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423B3"/>
    <w:multiLevelType w:val="hybridMultilevel"/>
    <w:tmpl w:val="A5D4231E"/>
    <w:lvl w:ilvl="0" w:tplc="61242222">
      <w:start w:val="1"/>
      <w:numFmt w:val="bullet"/>
      <w:lvlText w:val="•"/>
      <w:lvlJc w:val="left"/>
      <w:pPr>
        <w:tabs>
          <w:tab w:val="num" w:pos="720"/>
        </w:tabs>
        <w:ind w:left="720" w:hanging="360"/>
      </w:pPr>
      <w:rPr>
        <w:rFonts w:ascii="Times New Roman" w:hAnsi="Times New Roman" w:hint="default"/>
      </w:rPr>
    </w:lvl>
    <w:lvl w:ilvl="1" w:tplc="BB7C0032" w:tentative="1">
      <w:start w:val="1"/>
      <w:numFmt w:val="bullet"/>
      <w:lvlText w:val="•"/>
      <w:lvlJc w:val="left"/>
      <w:pPr>
        <w:tabs>
          <w:tab w:val="num" w:pos="1440"/>
        </w:tabs>
        <w:ind w:left="1440" w:hanging="360"/>
      </w:pPr>
      <w:rPr>
        <w:rFonts w:ascii="Times New Roman" w:hAnsi="Times New Roman" w:hint="default"/>
      </w:rPr>
    </w:lvl>
    <w:lvl w:ilvl="2" w:tplc="BED0A8FC" w:tentative="1">
      <w:start w:val="1"/>
      <w:numFmt w:val="bullet"/>
      <w:lvlText w:val="•"/>
      <w:lvlJc w:val="left"/>
      <w:pPr>
        <w:tabs>
          <w:tab w:val="num" w:pos="2160"/>
        </w:tabs>
        <w:ind w:left="2160" w:hanging="360"/>
      </w:pPr>
      <w:rPr>
        <w:rFonts w:ascii="Times New Roman" w:hAnsi="Times New Roman" w:hint="default"/>
      </w:rPr>
    </w:lvl>
    <w:lvl w:ilvl="3" w:tplc="6EF2A2B0" w:tentative="1">
      <w:start w:val="1"/>
      <w:numFmt w:val="bullet"/>
      <w:lvlText w:val="•"/>
      <w:lvlJc w:val="left"/>
      <w:pPr>
        <w:tabs>
          <w:tab w:val="num" w:pos="2880"/>
        </w:tabs>
        <w:ind w:left="2880" w:hanging="360"/>
      </w:pPr>
      <w:rPr>
        <w:rFonts w:ascii="Times New Roman" w:hAnsi="Times New Roman" w:hint="default"/>
      </w:rPr>
    </w:lvl>
    <w:lvl w:ilvl="4" w:tplc="CA0E138E" w:tentative="1">
      <w:start w:val="1"/>
      <w:numFmt w:val="bullet"/>
      <w:lvlText w:val="•"/>
      <w:lvlJc w:val="left"/>
      <w:pPr>
        <w:tabs>
          <w:tab w:val="num" w:pos="3600"/>
        </w:tabs>
        <w:ind w:left="3600" w:hanging="360"/>
      </w:pPr>
      <w:rPr>
        <w:rFonts w:ascii="Times New Roman" w:hAnsi="Times New Roman" w:hint="default"/>
      </w:rPr>
    </w:lvl>
    <w:lvl w:ilvl="5" w:tplc="9340725C" w:tentative="1">
      <w:start w:val="1"/>
      <w:numFmt w:val="bullet"/>
      <w:lvlText w:val="•"/>
      <w:lvlJc w:val="left"/>
      <w:pPr>
        <w:tabs>
          <w:tab w:val="num" w:pos="4320"/>
        </w:tabs>
        <w:ind w:left="4320" w:hanging="360"/>
      </w:pPr>
      <w:rPr>
        <w:rFonts w:ascii="Times New Roman" w:hAnsi="Times New Roman" w:hint="default"/>
      </w:rPr>
    </w:lvl>
    <w:lvl w:ilvl="6" w:tplc="C292FB5E" w:tentative="1">
      <w:start w:val="1"/>
      <w:numFmt w:val="bullet"/>
      <w:lvlText w:val="•"/>
      <w:lvlJc w:val="left"/>
      <w:pPr>
        <w:tabs>
          <w:tab w:val="num" w:pos="5040"/>
        </w:tabs>
        <w:ind w:left="5040" w:hanging="360"/>
      </w:pPr>
      <w:rPr>
        <w:rFonts w:ascii="Times New Roman" w:hAnsi="Times New Roman" w:hint="default"/>
      </w:rPr>
    </w:lvl>
    <w:lvl w:ilvl="7" w:tplc="111E1294" w:tentative="1">
      <w:start w:val="1"/>
      <w:numFmt w:val="bullet"/>
      <w:lvlText w:val="•"/>
      <w:lvlJc w:val="left"/>
      <w:pPr>
        <w:tabs>
          <w:tab w:val="num" w:pos="5760"/>
        </w:tabs>
        <w:ind w:left="5760" w:hanging="360"/>
      </w:pPr>
      <w:rPr>
        <w:rFonts w:ascii="Times New Roman" w:hAnsi="Times New Roman" w:hint="default"/>
      </w:rPr>
    </w:lvl>
    <w:lvl w:ilvl="8" w:tplc="F798374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ACC55E0"/>
    <w:multiLevelType w:val="hybridMultilevel"/>
    <w:tmpl w:val="C96835DA"/>
    <w:lvl w:ilvl="0" w:tplc="79287AF0">
      <w:start w:val="1"/>
      <w:numFmt w:val="bullet"/>
      <w:pStyle w:val="AHPRABulletlevel3"/>
      <w:lvlText w:val="o"/>
      <w:lvlJc w:val="left"/>
      <w:pPr>
        <w:ind w:left="1440" w:hanging="360"/>
      </w:pPr>
      <w:rPr>
        <w:rFonts w:ascii="Courier New" w:hAnsi="Courier New" w:cs="Courier New" w:hint="default"/>
      </w:rPr>
    </w:lvl>
    <w:lvl w:ilvl="1" w:tplc="ABFE9912">
      <w:start w:val="1"/>
      <w:numFmt w:val="bullet"/>
      <w:lvlText w:val="o"/>
      <w:lvlJc w:val="left"/>
      <w:pPr>
        <w:ind w:left="2160" w:hanging="360"/>
      </w:pPr>
      <w:rPr>
        <w:rFonts w:ascii="Courier New" w:hAnsi="Courier New" w:cs="Courier New" w:hint="default"/>
      </w:rPr>
    </w:lvl>
    <w:lvl w:ilvl="2" w:tplc="EB500410">
      <w:start w:val="1"/>
      <w:numFmt w:val="bullet"/>
      <w:lvlText w:val=""/>
      <w:lvlJc w:val="left"/>
      <w:pPr>
        <w:ind w:left="2880" w:hanging="360"/>
      </w:pPr>
      <w:rPr>
        <w:rFonts w:ascii="Wingdings" w:hAnsi="Wingdings" w:hint="default"/>
      </w:rPr>
    </w:lvl>
    <w:lvl w:ilvl="3" w:tplc="2EDC1474" w:tentative="1">
      <w:start w:val="1"/>
      <w:numFmt w:val="bullet"/>
      <w:lvlText w:val=""/>
      <w:lvlJc w:val="left"/>
      <w:pPr>
        <w:ind w:left="3600" w:hanging="360"/>
      </w:pPr>
      <w:rPr>
        <w:rFonts w:ascii="Symbol" w:hAnsi="Symbol" w:hint="default"/>
      </w:rPr>
    </w:lvl>
    <w:lvl w:ilvl="4" w:tplc="F78A26EA" w:tentative="1">
      <w:start w:val="1"/>
      <w:numFmt w:val="bullet"/>
      <w:lvlText w:val="o"/>
      <w:lvlJc w:val="left"/>
      <w:pPr>
        <w:ind w:left="4320" w:hanging="360"/>
      </w:pPr>
      <w:rPr>
        <w:rFonts w:ascii="Courier New" w:hAnsi="Courier New" w:cs="Courier New" w:hint="default"/>
      </w:rPr>
    </w:lvl>
    <w:lvl w:ilvl="5" w:tplc="531837A6" w:tentative="1">
      <w:start w:val="1"/>
      <w:numFmt w:val="bullet"/>
      <w:lvlText w:val=""/>
      <w:lvlJc w:val="left"/>
      <w:pPr>
        <w:ind w:left="5040" w:hanging="360"/>
      </w:pPr>
      <w:rPr>
        <w:rFonts w:ascii="Wingdings" w:hAnsi="Wingdings" w:hint="default"/>
      </w:rPr>
    </w:lvl>
    <w:lvl w:ilvl="6" w:tplc="3E4C456A" w:tentative="1">
      <w:start w:val="1"/>
      <w:numFmt w:val="bullet"/>
      <w:lvlText w:val=""/>
      <w:lvlJc w:val="left"/>
      <w:pPr>
        <w:ind w:left="5760" w:hanging="360"/>
      </w:pPr>
      <w:rPr>
        <w:rFonts w:ascii="Symbol" w:hAnsi="Symbol" w:hint="default"/>
      </w:rPr>
    </w:lvl>
    <w:lvl w:ilvl="7" w:tplc="4BCA0C3A" w:tentative="1">
      <w:start w:val="1"/>
      <w:numFmt w:val="bullet"/>
      <w:lvlText w:val="o"/>
      <w:lvlJc w:val="left"/>
      <w:pPr>
        <w:ind w:left="6480" w:hanging="360"/>
      </w:pPr>
      <w:rPr>
        <w:rFonts w:ascii="Courier New" w:hAnsi="Courier New" w:cs="Courier New" w:hint="default"/>
      </w:rPr>
    </w:lvl>
    <w:lvl w:ilvl="8" w:tplc="6CF0C60E" w:tentative="1">
      <w:start w:val="1"/>
      <w:numFmt w:val="bullet"/>
      <w:lvlText w:val=""/>
      <w:lvlJc w:val="left"/>
      <w:pPr>
        <w:ind w:left="7200" w:hanging="360"/>
      </w:pPr>
      <w:rPr>
        <w:rFonts w:ascii="Wingdings" w:hAnsi="Wingdings" w:hint="default"/>
      </w:rPr>
    </w:lvl>
  </w:abstractNum>
  <w:abstractNum w:abstractNumId="40" w15:restartNumberingAfterBreak="0">
    <w:nsid w:val="6CCB6D8B"/>
    <w:multiLevelType w:val="hybridMultilevel"/>
    <w:tmpl w:val="FCDE5E22"/>
    <w:lvl w:ilvl="0" w:tplc="A18E57F2">
      <w:start w:val="1"/>
      <w:numFmt w:val="bullet"/>
      <w:pStyle w:val="Whyheading"/>
      <w:lvlText w:val=""/>
      <w:lvlPicBulletId w:val="0"/>
      <w:lvlJc w:val="left"/>
      <w:pPr>
        <w:ind w:left="720" w:hanging="72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E154B0"/>
    <w:multiLevelType w:val="multilevel"/>
    <w:tmpl w:val="C4183F12"/>
    <w:numStyleLink w:val="AHPRANumberedlist"/>
  </w:abstractNum>
  <w:abstractNum w:abstractNumId="42" w15:restartNumberingAfterBreak="0">
    <w:nsid w:val="7C2610BB"/>
    <w:multiLevelType w:val="hybridMultilevel"/>
    <w:tmpl w:val="FF68D3AC"/>
    <w:lvl w:ilvl="0" w:tplc="59660276">
      <w:start w:val="1"/>
      <w:numFmt w:val="bullet"/>
      <w:pStyle w:val="AHPRABulletlevel2"/>
      <w:lvlText w:val=""/>
      <w:lvlJc w:val="left"/>
      <w:pPr>
        <w:ind w:left="720" w:hanging="360"/>
      </w:pPr>
      <w:rPr>
        <w:rFonts w:ascii="Symbol" w:hAnsi="Symbol" w:hint="default"/>
      </w:rPr>
    </w:lvl>
    <w:lvl w:ilvl="1" w:tplc="D7E61410">
      <w:start w:val="1"/>
      <w:numFmt w:val="bullet"/>
      <w:lvlText w:val="o"/>
      <w:lvlJc w:val="left"/>
      <w:pPr>
        <w:ind w:left="1440" w:hanging="360"/>
      </w:pPr>
      <w:rPr>
        <w:rFonts w:ascii="Courier New" w:hAnsi="Courier New" w:cs="Courier New" w:hint="default"/>
      </w:rPr>
    </w:lvl>
    <w:lvl w:ilvl="2" w:tplc="F9E42D84">
      <w:start w:val="1"/>
      <w:numFmt w:val="bullet"/>
      <w:lvlText w:val=""/>
      <w:lvlJc w:val="left"/>
      <w:pPr>
        <w:ind w:left="2160" w:hanging="360"/>
      </w:pPr>
      <w:rPr>
        <w:rFonts w:ascii="Wingdings" w:hAnsi="Wingdings" w:hint="default"/>
      </w:rPr>
    </w:lvl>
    <w:lvl w:ilvl="3" w:tplc="A08ED374" w:tentative="1">
      <w:start w:val="1"/>
      <w:numFmt w:val="bullet"/>
      <w:lvlText w:val=""/>
      <w:lvlJc w:val="left"/>
      <w:pPr>
        <w:ind w:left="2880" w:hanging="360"/>
      </w:pPr>
      <w:rPr>
        <w:rFonts w:ascii="Symbol" w:hAnsi="Symbol" w:hint="default"/>
      </w:rPr>
    </w:lvl>
    <w:lvl w:ilvl="4" w:tplc="9E522334" w:tentative="1">
      <w:start w:val="1"/>
      <w:numFmt w:val="bullet"/>
      <w:lvlText w:val="o"/>
      <w:lvlJc w:val="left"/>
      <w:pPr>
        <w:ind w:left="3600" w:hanging="360"/>
      </w:pPr>
      <w:rPr>
        <w:rFonts w:ascii="Courier New" w:hAnsi="Courier New" w:cs="Courier New" w:hint="default"/>
      </w:rPr>
    </w:lvl>
    <w:lvl w:ilvl="5" w:tplc="E7984C7E" w:tentative="1">
      <w:start w:val="1"/>
      <w:numFmt w:val="bullet"/>
      <w:lvlText w:val=""/>
      <w:lvlJc w:val="left"/>
      <w:pPr>
        <w:ind w:left="4320" w:hanging="360"/>
      </w:pPr>
      <w:rPr>
        <w:rFonts w:ascii="Wingdings" w:hAnsi="Wingdings" w:hint="default"/>
      </w:rPr>
    </w:lvl>
    <w:lvl w:ilvl="6" w:tplc="D040C7D6" w:tentative="1">
      <w:start w:val="1"/>
      <w:numFmt w:val="bullet"/>
      <w:lvlText w:val=""/>
      <w:lvlJc w:val="left"/>
      <w:pPr>
        <w:ind w:left="5040" w:hanging="360"/>
      </w:pPr>
      <w:rPr>
        <w:rFonts w:ascii="Symbol" w:hAnsi="Symbol" w:hint="default"/>
      </w:rPr>
    </w:lvl>
    <w:lvl w:ilvl="7" w:tplc="FE6C1E88" w:tentative="1">
      <w:start w:val="1"/>
      <w:numFmt w:val="bullet"/>
      <w:lvlText w:val="o"/>
      <w:lvlJc w:val="left"/>
      <w:pPr>
        <w:ind w:left="5760" w:hanging="360"/>
      </w:pPr>
      <w:rPr>
        <w:rFonts w:ascii="Courier New" w:hAnsi="Courier New" w:cs="Courier New" w:hint="default"/>
      </w:rPr>
    </w:lvl>
    <w:lvl w:ilvl="8" w:tplc="BC1AA34A" w:tentative="1">
      <w:start w:val="1"/>
      <w:numFmt w:val="bullet"/>
      <w:lvlText w:val=""/>
      <w:lvlJc w:val="left"/>
      <w:pPr>
        <w:ind w:left="6480" w:hanging="360"/>
      </w:pPr>
      <w:rPr>
        <w:rFonts w:ascii="Wingdings" w:hAnsi="Wingdings" w:hint="default"/>
      </w:rPr>
    </w:lvl>
  </w:abstractNum>
  <w:abstractNum w:abstractNumId="43" w15:restartNumberingAfterBreak="0">
    <w:nsid w:val="7C731660"/>
    <w:multiLevelType w:val="multilevel"/>
    <w:tmpl w:val="C4183F12"/>
    <w:numStyleLink w:val="AHPRANumberedlist"/>
  </w:abstractNum>
  <w:abstractNum w:abstractNumId="44" w15:restartNumberingAfterBreak="0">
    <w:nsid w:val="7DB1527D"/>
    <w:multiLevelType w:val="hybridMultilevel"/>
    <w:tmpl w:val="FA646064"/>
    <w:lvl w:ilvl="0" w:tplc="B590CB76">
      <w:start w:val="1"/>
      <w:numFmt w:val="decimal"/>
      <w:lvlText w:val="%1."/>
      <w:lvlJc w:val="left"/>
      <w:pPr>
        <w:ind w:left="9149" w:hanging="360"/>
      </w:pPr>
      <w:rPr>
        <w:b w:val="0"/>
        <w:bCs w:val="0"/>
      </w:rPr>
    </w:lvl>
    <w:lvl w:ilvl="1" w:tplc="099ADB24">
      <w:start w:val="1"/>
      <w:numFmt w:val="lowerLetter"/>
      <w:lvlText w:val="%2."/>
      <w:lvlJc w:val="left"/>
      <w:pPr>
        <w:ind w:left="1080" w:hanging="360"/>
      </w:pPr>
    </w:lvl>
    <w:lvl w:ilvl="2" w:tplc="715EA184">
      <w:start w:val="1"/>
      <w:numFmt w:val="lowerRoman"/>
      <w:lvlText w:val="%3."/>
      <w:lvlJc w:val="right"/>
      <w:pPr>
        <w:ind w:left="1800" w:hanging="180"/>
      </w:pPr>
    </w:lvl>
    <w:lvl w:ilvl="3" w:tplc="C5526FAC">
      <w:start w:val="1"/>
      <w:numFmt w:val="decimal"/>
      <w:lvlText w:val="%4."/>
      <w:lvlJc w:val="left"/>
      <w:pPr>
        <w:ind w:left="2520" w:hanging="360"/>
      </w:pPr>
    </w:lvl>
    <w:lvl w:ilvl="4" w:tplc="79542CEA">
      <w:start w:val="1"/>
      <w:numFmt w:val="lowerLetter"/>
      <w:lvlText w:val="%5."/>
      <w:lvlJc w:val="left"/>
      <w:pPr>
        <w:ind w:left="3240" w:hanging="360"/>
      </w:pPr>
    </w:lvl>
    <w:lvl w:ilvl="5" w:tplc="5C848E3C">
      <w:start w:val="1"/>
      <w:numFmt w:val="lowerRoman"/>
      <w:lvlText w:val="%6."/>
      <w:lvlJc w:val="right"/>
      <w:pPr>
        <w:ind w:left="3960" w:hanging="180"/>
      </w:pPr>
    </w:lvl>
    <w:lvl w:ilvl="6" w:tplc="027465E6">
      <w:start w:val="1"/>
      <w:numFmt w:val="decimal"/>
      <w:lvlText w:val="%7."/>
      <w:lvlJc w:val="left"/>
      <w:pPr>
        <w:ind w:left="4680" w:hanging="360"/>
      </w:pPr>
    </w:lvl>
    <w:lvl w:ilvl="7" w:tplc="C3926054">
      <w:start w:val="1"/>
      <w:numFmt w:val="lowerLetter"/>
      <w:lvlText w:val="%8."/>
      <w:lvlJc w:val="left"/>
      <w:pPr>
        <w:ind w:left="5400" w:hanging="360"/>
      </w:pPr>
    </w:lvl>
    <w:lvl w:ilvl="8" w:tplc="E8A6A58E">
      <w:start w:val="1"/>
      <w:numFmt w:val="lowerRoman"/>
      <w:lvlText w:val="%9."/>
      <w:lvlJc w:val="right"/>
      <w:pPr>
        <w:ind w:left="6120" w:hanging="180"/>
      </w:pPr>
    </w:lvl>
  </w:abstractNum>
  <w:num w:numId="1">
    <w:abstractNumId w:val="39"/>
  </w:num>
  <w:num w:numId="2">
    <w:abstractNumId w:val="34"/>
  </w:num>
  <w:num w:numId="3">
    <w:abstractNumId w:val="11"/>
  </w:num>
  <w:num w:numId="4">
    <w:abstractNumId w:val="15"/>
  </w:num>
  <w:num w:numId="5">
    <w:abstractNumId w:val="16"/>
  </w:num>
  <w:num w:numId="6">
    <w:abstractNumId w:val="21"/>
  </w:num>
  <w:num w:numId="7">
    <w:abstractNumId w:val="9"/>
  </w:num>
  <w:num w:numId="8">
    <w:abstractNumId w:val="28"/>
  </w:num>
  <w:num w:numId="9">
    <w:abstractNumId w:val="42"/>
  </w:num>
  <w:num w:numId="10">
    <w:abstractNumId w:val="36"/>
  </w:num>
  <w:num w:numId="11">
    <w:abstractNumId w:val="14"/>
  </w:num>
  <w:num w:numId="12">
    <w:abstractNumId w:val="41"/>
  </w:num>
  <w:num w:numId="13">
    <w:abstractNumId w:val="43"/>
  </w:num>
  <w:num w:numId="14">
    <w:abstractNumId w:val="8"/>
  </w:num>
  <w:num w:numId="15">
    <w:abstractNumId w:val="19"/>
  </w:num>
  <w:num w:numId="16">
    <w:abstractNumId w:val="20"/>
  </w:num>
  <w:num w:numId="17">
    <w:abstractNumId w:val="20"/>
    <w:lvlOverride w:ilvl="0">
      <w:lvl w:ilvl="0">
        <w:start w:val="1"/>
        <w:numFmt w:val="bullet"/>
        <w:pStyle w:val="ListBullet1a"/>
        <w:lvlText w:val=""/>
        <w:lvlJc w:val="left"/>
        <w:pPr>
          <w:ind w:left="737" w:hanging="368"/>
        </w:pPr>
        <w:rPr>
          <w:rFonts w:ascii="Symbol" w:hAnsi="Symbol" w:hint="default"/>
        </w:rPr>
      </w:lvl>
    </w:lvlOverride>
    <w:lvlOverride w:ilvl="1">
      <w:lvl w:ilvl="1">
        <w:start w:val="1"/>
        <w:numFmt w:val="bullet"/>
        <w:lvlText w:val=""/>
        <w:lvlJc w:val="left"/>
        <w:pPr>
          <w:ind w:left="1389" w:hanging="368"/>
        </w:pPr>
        <w:rPr>
          <w:rFonts w:ascii="Symbol" w:hAnsi="Symbol" w:hint="default"/>
          <w:color w:val="auto"/>
        </w:rPr>
      </w:lvl>
    </w:lvlOverride>
    <w:lvlOverride w:ilvl="2">
      <w:lvl w:ilvl="2">
        <w:start w:val="1"/>
        <w:numFmt w:val="bullet"/>
        <w:lvlText w:val=""/>
        <w:lvlJc w:val="left"/>
        <w:pPr>
          <w:ind w:left="2240" w:hanging="369"/>
        </w:pPr>
        <w:rPr>
          <w:rFonts w:ascii="Symbol" w:hAnsi="Symbol" w:hint="default"/>
        </w:rPr>
      </w:lvl>
    </w:lvlOverride>
    <w:lvlOverride w:ilvl="3">
      <w:lvl w:ilvl="3">
        <w:start w:val="1"/>
        <w:numFmt w:val="bullet"/>
        <w:pStyle w:val="ListBullet1b"/>
        <w:lvlText w:val=""/>
        <w:lvlJc w:val="left"/>
        <w:pPr>
          <w:ind w:left="1106" w:hanging="369"/>
        </w:pPr>
        <w:rPr>
          <w:rFonts w:ascii="Symbol" w:hAnsi="Symbol" w:hint="default"/>
          <w:color w:val="auto"/>
        </w:rPr>
      </w:lvl>
    </w:lvlOverride>
    <w:lvlOverride w:ilvl="4">
      <w:lvl w:ilvl="4">
        <w:start w:val="1"/>
        <w:numFmt w:val="bullet"/>
        <w:lvlText w:val=""/>
        <w:lvlJc w:val="left"/>
        <w:pPr>
          <w:ind w:left="1758" w:hanging="369"/>
        </w:pPr>
        <w:rPr>
          <w:rFonts w:ascii="Symbol" w:hAnsi="Symbol" w:hint="default"/>
          <w:color w:val="auto"/>
        </w:rPr>
      </w:lvl>
    </w:lvlOverride>
    <w:lvlOverride w:ilvl="5">
      <w:lvl w:ilvl="5">
        <w:start w:val="1"/>
        <w:numFmt w:val="bullet"/>
        <w:lvlText w:val=""/>
        <w:lvlJc w:val="left"/>
        <w:pPr>
          <w:tabs>
            <w:tab w:val="num" w:pos="2240"/>
          </w:tabs>
          <w:ind w:left="2608" w:hanging="368"/>
        </w:pPr>
        <w:rPr>
          <w:rFonts w:ascii="Symbol" w:hAnsi="Symbol" w:hint="default"/>
          <w:color w:val="auto"/>
        </w:rPr>
      </w:lvl>
    </w:lvlOverride>
    <w:lvlOverride w:ilvl="6">
      <w:lvl w:ilvl="6">
        <w:start w:val="1"/>
        <w:numFmt w:val="bullet"/>
        <w:pStyle w:val="ListBullet1c"/>
        <w:lvlText w:val="o"/>
        <w:lvlJc w:val="left"/>
        <w:pPr>
          <w:ind w:left="1474" w:hanging="368"/>
        </w:pPr>
        <w:rPr>
          <w:rFonts w:ascii="Courier New" w:hAnsi="Courier New" w:hint="default"/>
        </w:rPr>
      </w:lvl>
    </w:lvlOverride>
    <w:lvlOverride w:ilvl="7">
      <w:lvl w:ilvl="7">
        <w:start w:val="1"/>
        <w:numFmt w:val="bullet"/>
        <w:lvlText w:val="o"/>
        <w:lvlJc w:val="left"/>
        <w:pPr>
          <w:ind w:left="2126" w:hanging="368"/>
        </w:pPr>
        <w:rPr>
          <w:rFonts w:ascii="Courier New" w:hAnsi="Courier New" w:hint="default"/>
          <w:color w:val="auto"/>
        </w:rPr>
      </w:lvl>
    </w:lvlOverride>
    <w:lvlOverride w:ilvl="8">
      <w:lvl w:ilvl="8">
        <w:start w:val="1"/>
        <w:numFmt w:val="bullet"/>
        <w:lvlText w:val="o"/>
        <w:lvlJc w:val="left"/>
        <w:pPr>
          <w:ind w:left="2977" w:hanging="369"/>
        </w:pPr>
        <w:rPr>
          <w:rFonts w:ascii="Courier New" w:hAnsi="Courier New" w:hint="default"/>
        </w:rPr>
      </w:lvl>
    </w:lvlOverride>
  </w:num>
  <w:num w:numId="18">
    <w:abstractNumId w:val="23"/>
  </w:num>
  <w:num w:numId="19">
    <w:abstractNumId w:val="27"/>
  </w:num>
  <w:num w:numId="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8"/>
  </w:num>
  <w:num w:numId="23">
    <w:abstractNumId w:val="17"/>
  </w:num>
  <w:num w:numId="24">
    <w:abstractNumId w:val="24"/>
  </w:num>
  <w:num w:numId="25">
    <w:abstractNumId w:val="25"/>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 w:ilvl="0">
        <w:start w:val="1"/>
        <w:numFmt w:val="decimal"/>
        <w:lvlText w:val="%1."/>
        <w:lvlJc w:val="left"/>
        <w:pPr>
          <w:ind w:left="369" w:hanging="369"/>
        </w:pPr>
        <w:rPr>
          <w:rFonts w:ascii="Arial" w:hAnsi="Arial" w:cs="Times New Roman" w:hint="default"/>
          <w:b/>
          <w:bCs/>
          <w:i w:val="0"/>
          <w:dstrike w:val="0"/>
          <w:noProof w:val="0"/>
          <w:color w:val="auto"/>
          <w:spacing w:val="0"/>
          <w:kern w:val="0"/>
          <w:position w:val="0"/>
          <w:sz w:val="20"/>
          <w:u w:val="none"/>
          <w:vertAlign w:val="baseline"/>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13"/>
  </w:num>
  <w:num w:numId="31">
    <w:abstractNumId w:val="22"/>
  </w:num>
  <w:num w:numId="32">
    <w:abstractNumId w:val="43"/>
  </w:num>
  <w:num w:numId="33">
    <w:abstractNumId w:val="33"/>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31"/>
  </w:num>
  <w:num w:numId="42">
    <w:abstractNumId w:val="29"/>
  </w:num>
  <w:num w:numId="43">
    <w:abstractNumId w:val="7"/>
  </w:num>
  <w:num w:numId="44">
    <w:abstractNumId w:val="18"/>
  </w:num>
  <w:num w:numId="45">
    <w:abstractNumId w:val="37"/>
  </w:num>
  <w:num w:numId="46">
    <w:abstractNumId w:val="26"/>
  </w:num>
  <w:num w:numId="47">
    <w:abstractNumId w:val="40"/>
  </w:num>
  <w:num w:numId="48">
    <w:abstractNumId w:val="10"/>
  </w:num>
  <w:num w:numId="49">
    <w:abstractNumId w:val="30"/>
  </w:num>
  <w:num w:numId="50">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formatting="1" w:enforcement="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D9"/>
    <w:rsid w:val="00000033"/>
    <w:rsid w:val="000018DF"/>
    <w:rsid w:val="0000328B"/>
    <w:rsid w:val="00004C5B"/>
    <w:rsid w:val="00006922"/>
    <w:rsid w:val="00007F3D"/>
    <w:rsid w:val="00010B43"/>
    <w:rsid w:val="00011D68"/>
    <w:rsid w:val="000123C4"/>
    <w:rsid w:val="000140B6"/>
    <w:rsid w:val="000158EA"/>
    <w:rsid w:val="0001616D"/>
    <w:rsid w:val="000222FB"/>
    <w:rsid w:val="000243DD"/>
    <w:rsid w:val="00032367"/>
    <w:rsid w:val="00032E00"/>
    <w:rsid w:val="000334D7"/>
    <w:rsid w:val="000337B8"/>
    <w:rsid w:val="000344BA"/>
    <w:rsid w:val="00044417"/>
    <w:rsid w:val="000445BB"/>
    <w:rsid w:val="000470F9"/>
    <w:rsid w:val="00054760"/>
    <w:rsid w:val="00057545"/>
    <w:rsid w:val="00065072"/>
    <w:rsid w:val="0006754C"/>
    <w:rsid w:val="00071439"/>
    <w:rsid w:val="00073FE6"/>
    <w:rsid w:val="000748BD"/>
    <w:rsid w:val="000751F0"/>
    <w:rsid w:val="00075345"/>
    <w:rsid w:val="0007595C"/>
    <w:rsid w:val="00087D27"/>
    <w:rsid w:val="00087F32"/>
    <w:rsid w:val="0009115C"/>
    <w:rsid w:val="00091707"/>
    <w:rsid w:val="000945FB"/>
    <w:rsid w:val="000A47D0"/>
    <w:rsid w:val="000A666D"/>
    <w:rsid w:val="000A6BF7"/>
    <w:rsid w:val="000B0AB4"/>
    <w:rsid w:val="000B2F5F"/>
    <w:rsid w:val="000B57CC"/>
    <w:rsid w:val="000B5C53"/>
    <w:rsid w:val="000B5E75"/>
    <w:rsid w:val="000B7F75"/>
    <w:rsid w:val="000C2275"/>
    <w:rsid w:val="000D3A38"/>
    <w:rsid w:val="000E035E"/>
    <w:rsid w:val="000E13E0"/>
    <w:rsid w:val="000E2D83"/>
    <w:rsid w:val="000E573B"/>
    <w:rsid w:val="000E6940"/>
    <w:rsid w:val="000E7DD5"/>
    <w:rsid w:val="000E7E28"/>
    <w:rsid w:val="000F2535"/>
    <w:rsid w:val="000F33EC"/>
    <w:rsid w:val="000F5D90"/>
    <w:rsid w:val="0010139F"/>
    <w:rsid w:val="001025A5"/>
    <w:rsid w:val="00102E58"/>
    <w:rsid w:val="00104B13"/>
    <w:rsid w:val="001070EA"/>
    <w:rsid w:val="001103A2"/>
    <w:rsid w:val="001167E2"/>
    <w:rsid w:val="00120F56"/>
    <w:rsid w:val="00123AC5"/>
    <w:rsid w:val="00123DDC"/>
    <w:rsid w:val="00126A8D"/>
    <w:rsid w:val="0012DECC"/>
    <w:rsid w:val="00130CD5"/>
    <w:rsid w:val="00132D50"/>
    <w:rsid w:val="00136D51"/>
    <w:rsid w:val="00144DEF"/>
    <w:rsid w:val="001506FE"/>
    <w:rsid w:val="00154F2A"/>
    <w:rsid w:val="00157F75"/>
    <w:rsid w:val="00165FE8"/>
    <w:rsid w:val="00173419"/>
    <w:rsid w:val="00184AF9"/>
    <w:rsid w:val="0019125C"/>
    <w:rsid w:val="0019129C"/>
    <w:rsid w:val="0019344E"/>
    <w:rsid w:val="00194C88"/>
    <w:rsid w:val="00196DBD"/>
    <w:rsid w:val="00196EBB"/>
    <w:rsid w:val="00196F14"/>
    <w:rsid w:val="001A1672"/>
    <w:rsid w:val="001A5F9F"/>
    <w:rsid w:val="001B07AE"/>
    <w:rsid w:val="001B34F0"/>
    <w:rsid w:val="001B41B1"/>
    <w:rsid w:val="001B6E39"/>
    <w:rsid w:val="001C2209"/>
    <w:rsid w:val="001C3B16"/>
    <w:rsid w:val="001C3EFF"/>
    <w:rsid w:val="001C425C"/>
    <w:rsid w:val="001D19E5"/>
    <w:rsid w:val="001D2FFD"/>
    <w:rsid w:val="001D583D"/>
    <w:rsid w:val="001D6111"/>
    <w:rsid w:val="001D6DE9"/>
    <w:rsid w:val="001D7B3E"/>
    <w:rsid w:val="001E0216"/>
    <w:rsid w:val="001E104F"/>
    <w:rsid w:val="001E1E31"/>
    <w:rsid w:val="001E2484"/>
    <w:rsid w:val="001E2849"/>
    <w:rsid w:val="001E2DF5"/>
    <w:rsid w:val="001E3697"/>
    <w:rsid w:val="001E4A94"/>
    <w:rsid w:val="001E5621"/>
    <w:rsid w:val="001E6489"/>
    <w:rsid w:val="001E6508"/>
    <w:rsid w:val="001E7F5E"/>
    <w:rsid w:val="001F0AC4"/>
    <w:rsid w:val="001F0D14"/>
    <w:rsid w:val="001F177D"/>
    <w:rsid w:val="001F2571"/>
    <w:rsid w:val="001F5B8C"/>
    <w:rsid w:val="001F5F4F"/>
    <w:rsid w:val="001F76C4"/>
    <w:rsid w:val="00200513"/>
    <w:rsid w:val="0020095C"/>
    <w:rsid w:val="00203720"/>
    <w:rsid w:val="00205501"/>
    <w:rsid w:val="00210B55"/>
    <w:rsid w:val="00211459"/>
    <w:rsid w:val="00212050"/>
    <w:rsid w:val="00215077"/>
    <w:rsid w:val="00215BD9"/>
    <w:rsid w:val="00217F63"/>
    <w:rsid w:val="00220A3B"/>
    <w:rsid w:val="00221A0F"/>
    <w:rsid w:val="002229D9"/>
    <w:rsid w:val="00224708"/>
    <w:rsid w:val="00233078"/>
    <w:rsid w:val="002350A5"/>
    <w:rsid w:val="002351B5"/>
    <w:rsid w:val="00243623"/>
    <w:rsid w:val="00245D59"/>
    <w:rsid w:val="00247C84"/>
    <w:rsid w:val="002509B3"/>
    <w:rsid w:val="0025261E"/>
    <w:rsid w:val="00255CA1"/>
    <w:rsid w:val="002565F4"/>
    <w:rsid w:val="002622E7"/>
    <w:rsid w:val="0026295B"/>
    <w:rsid w:val="00264CC2"/>
    <w:rsid w:val="00266C25"/>
    <w:rsid w:val="00274266"/>
    <w:rsid w:val="0028013F"/>
    <w:rsid w:val="00281FBA"/>
    <w:rsid w:val="00282790"/>
    <w:rsid w:val="00282A79"/>
    <w:rsid w:val="00286FD0"/>
    <w:rsid w:val="0029118C"/>
    <w:rsid w:val="00293D8E"/>
    <w:rsid w:val="002943F9"/>
    <w:rsid w:val="0029492D"/>
    <w:rsid w:val="00294FDB"/>
    <w:rsid w:val="00295069"/>
    <w:rsid w:val="0029593A"/>
    <w:rsid w:val="00295B44"/>
    <w:rsid w:val="002A0E54"/>
    <w:rsid w:val="002A221C"/>
    <w:rsid w:val="002A42BE"/>
    <w:rsid w:val="002A5038"/>
    <w:rsid w:val="002B1CDD"/>
    <w:rsid w:val="002B1F47"/>
    <w:rsid w:val="002B2D48"/>
    <w:rsid w:val="002B7377"/>
    <w:rsid w:val="002C08FB"/>
    <w:rsid w:val="002C2F82"/>
    <w:rsid w:val="002C34EA"/>
    <w:rsid w:val="002C66A2"/>
    <w:rsid w:val="002C7784"/>
    <w:rsid w:val="002C7B15"/>
    <w:rsid w:val="002D0D70"/>
    <w:rsid w:val="002D1659"/>
    <w:rsid w:val="002D184D"/>
    <w:rsid w:val="002D50F4"/>
    <w:rsid w:val="002D70AA"/>
    <w:rsid w:val="002D72E9"/>
    <w:rsid w:val="002E3444"/>
    <w:rsid w:val="002E58FC"/>
    <w:rsid w:val="002F5226"/>
    <w:rsid w:val="002F58F8"/>
    <w:rsid w:val="0030201D"/>
    <w:rsid w:val="00303BE1"/>
    <w:rsid w:val="003047CB"/>
    <w:rsid w:val="00304B01"/>
    <w:rsid w:val="00305AFC"/>
    <w:rsid w:val="00305E11"/>
    <w:rsid w:val="00306922"/>
    <w:rsid w:val="003144FE"/>
    <w:rsid w:val="00315EB2"/>
    <w:rsid w:val="0031741D"/>
    <w:rsid w:val="00317B31"/>
    <w:rsid w:val="003200A0"/>
    <w:rsid w:val="003221FD"/>
    <w:rsid w:val="00324C80"/>
    <w:rsid w:val="00325894"/>
    <w:rsid w:val="00331DD5"/>
    <w:rsid w:val="003354E4"/>
    <w:rsid w:val="003452DB"/>
    <w:rsid w:val="00347CAD"/>
    <w:rsid w:val="003546FC"/>
    <w:rsid w:val="00355392"/>
    <w:rsid w:val="00356C62"/>
    <w:rsid w:val="00357F8E"/>
    <w:rsid w:val="0036212B"/>
    <w:rsid w:val="003707B8"/>
    <w:rsid w:val="00381324"/>
    <w:rsid w:val="00384AFD"/>
    <w:rsid w:val="00384F42"/>
    <w:rsid w:val="00391E8B"/>
    <w:rsid w:val="00393516"/>
    <w:rsid w:val="0039452E"/>
    <w:rsid w:val="003A0612"/>
    <w:rsid w:val="003A164F"/>
    <w:rsid w:val="003A2C24"/>
    <w:rsid w:val="003A3975"/>
    <w:rsid w:val="003A5F38"/>
    <w:rsid w:val="003B2437"/>
    <w:rsid w:val="003B3288"/>
    <w:rsid w:val="003B3E53"/>
    <w:rsid w:val="003B72BE"/>
    <w:rsid w:val="003C112F"/>
    <w:rsid w:val="003C2CFF"/>
    <w:rsid w:val="003C4681"/>
    <w:rsid w:val="003C4FCB"/>
    <w:rsid w:val="003C5B33"/>
    <w:rsid w:val="003C6B25"/>
    <w:rsid w:val="003C7C9E"/>
    <w:rsid w:val="003D261F"/>
    <w:rsid w:val="003D4349"/>
    <w:rsid w:val="003D6DBD"/>
    <w:rsid w:val="003D6E8D"/>
    <w:rsid w:val="003E00B5"/>
    <w:rsid w:val="003E2331"/>
    <w:rsid w:val="003E28E6"/>
    <w:rsid w:val="003E3268"/>
    <w:rsid w:val="003E3767"/>
    <w:rsid w:val="003F2F06"/>
    <w:rsid w:val="00400F5A"/>
    <w:rsid w:val="004012FC"/>
    <w:rsid w:val="004042B2"/>
    <w:rsid w:val="00405944"/>
    <w:rsid w:val="00405C0A"/>
    <w:rsid w:val="004120F4"/>
    <w:rsid w:val="004130C3"/>
    <w:rsid w:val="00414639"/>
    <w:rsid w:val="00414F2C"/>
    <w:rsid w:val="004170DF"/>
    <w:rsid w:val="00420003"/>
    <w:rsid w:val="00426431"/>
    <w:rsid w:val="0043070A"/>
    <w:rsid w:val="00434D1F"/>
    <w:rsid w:val="00436370"/>
    <w:rsid w:val="00440013"/>
    <w:rsid w:val="00443EC0"/>
    <w:rsid w:val="00443FBC"/>
    <w:rsid w:val="00446AF3"/>
    <w:rsid w:val="0045040B"/>
    <w:rsid w:val="00450B34"/>
    <w:rsid w:val="00450F52"/>
    <w:rsid w:val="00451289"/>
    <w:rsid w:val="00453B90"/>
    <w:rsid w:val="004573C7"/>
    <w:rsid w:val="004574B4"/>
    <w:rsid w:val="004606A7"/>
    <w:rsid w:val="00461611"/>
    <w:rsid w:val="0046353A"/>
    <w:rsid w:val="00466BBF"/>
    <w:rsid w:val="00473B23"/>
    <w:rsid w:val="0048285D"/>
    <w:rsid w:val="0048292F"/>
    <w:rsid w:val="00494727"/>
    <w:rsid w:val="00496FB7"/>
    <w:rsid w:val="004978D5"/>
    <w:rsid w:val="004979AC"/>
    <w:rsid w:val="004A1BEC"/>
    <w:rsid w:val="004A1FA3"/>
    <w:rsid w:val="004A2D12"/>
    <w:rsid w:val="004A3E02"/>
    <w:rsid w:val="004A4CFE"/>
    <w:rsid w:val="004A4D44"/>
    <w:rsid w:val="004A5E5D"/>
    <w:rsid w:val="004A5F61"/>
    <w:rsid w:val="004B0296"/>
    <w:rsid w:val="004B438E"/>
    <w:rsid w:val="004B6CC4"/>
    <w:rsid w:val="004B747B"/>
    <w:rsid w:val="004B7B72"/>
    <w:rsid w:val="004C2749"/>
    <w:rsid w:val="004C633C"/>
    <w:rsid w:val="004C7068"/>
    <w:rsid w:val="004C72C2"/>
    <w:rsid w:val="004D2FD3"/>
    <w:rsid w:val="004D7537"/>
    <w:rsid w:val="004E259C"/>
    <w:rsid w:val="004E2743"/>
    <w:rsid w:val="004E57C3"/>
    <w:rsid w:val="004E5F01"/>
    <w:rsid w:val="004E69AD"/>
    <w:rsid w:val="004E71CF"/>
    <w:rsid w:val="004F5C05"/>
    <w:rsid w:val="0050091D"/>
    <w:rsid w:val="00506EB0"/>
    <w:rsid w:val="00507BB5"/>
    <w:rsid w:val="00510AA5"/>
    <w:rsid w:val="005111B0"/>
    <w:rsid w:val="00513BDE"/>
    <w:rsid w:val="00514E2D"/>
    <w:rsid w:val="0051518D"/>
    <w:rsid w:val="00516908"/>
    <w:rsid w:val="00516EF2"/>
    <w:rsid w:val="00517C54"/>
    <w:rsid w:val="0052185F"/>
    <w:rsid w:val="00523BAC"/>
    <w:rsid w:val="00527D1E"/>
    <w:rsid w:val="00531A8F"/>
    <w:rsid w:val="00532A7E"/>
    <w:rsid w:val="005334CB"/>
    <w:rsid w:val="00535930"/>
    <w:rsid w:val="0053749F"/>
    <w:rsid w:val="0054404C"/>
    <w:rsid w:val="00544C0E"/>
    <w:rsid w:val="00546058"/>
    <w:rsid w:val="00546B56"/>
    <w:rsid w:val="00546EFB"/>
    <w:rsid w:val="00547BBB"/>
    <w:rsid w:val="00547DCC"/>
    <w:rsid w:val="005522AF"/>
    <w:rsid w:val="00553A4C"/>
    <w:rsid w:val="00553E57"/>
    <w:rsid w:val="00554335"/>
    <w:rsid w:val="00554FAB"/>
    <w:rsid w:val="005562FC"/>
    <w:rsid w:val="00556437"/>
    <w:rsid w:val="005565CE"/>
    <w:rsid w:val="00560008"/>
    <w:rsid w:val="005620E6"/>
    <w:rsid w:val="00562F8B"/>
    <w:rsid w:val="005649A8"/>
    <w:rsid w:val="00566574"/>
    <w:rsid w:val="005708AE"/>
    <w:rsid w:val="005727A7"/>
    <w:rsid w:val="005737D5"/>
    <w:rsid w:val="00573A36"/>
    <w:rsid w:val="005741D8"/>
    <w:rsid w:val="005772B8"/>
    <w:rsid w:val="005773B7"/>
    <w:rsid w:val="00580E1C"/>
    <w:rsid w:val="0058250E"/>
    <w:rsid w:val="005829EC"/>
    <w:rsid w:val="005844FA"/>
    <w:rsid w:val="00586405"/>
    <w:rsid w:val="00586D5F"/>
    <w:rsid w:val="0059095E"/>
    <w:rsid w:val="00590A0E"/>
    <w:rsid w:val="00595AE5"/>
    <w:rsid w:val="00596446"/>
    <w:rsid w:val="00597278"/>
    <w:rsid w:val="005A0BD2"/>
    <w:rsid w:val="005A0FA9"/>
    <w:rsid w:val="005A21B3"/>
    <w:rsid w:val="005A4764"/>
    <w:rsid w:val="005A6174"/>
    <w:rsid w:val="005A7AAB"/>
    <w:rsid w:val="005A7B6D"/>
    <w:rsid w:val="005B0682"/>
    <w:rsid w:val="005B0D39"/>
    <w:rsid w:val="005B1A37"/>
    <w:rsid w:val="005C00D2"/>
    <w:rsid w:val="005C0E9E"/>
    <w:rsid w:val="005C196C"/>
    <w:rsid w:val="005C1CCA"/>
    <w:rsid w:val="005C2DD3"/>
    <w:rsid w:val="005C4E40"/>
    <w:rsid w:val="005C5932"/>
    <w:rsid w:val="005C5F5D"/>
    <w:rsid w:val="005C625D"/>
    <w:rsid w:val="005C6817"/>
    <w:rsid w:val="005C7716"/>
    <w:rsid w:val="005C7F34"/>
    <w:rsid w:val="005D515C"/>
    <w:rsid w:val="005E01B4"/>
    <w:rsid w:val="005E0C78"/>
    <w:rsid w:val="005E0EDA"/>
    <w:rsid w:val="005E1422"/>
    <w:rsid w:val="005E1F4B"/>
    <w:rsid w:val="005E3FA6"/>
    <w:rsid w:val="005E3FDF"/>
    <w:rsid w:val="005E5E12"/>
    <w:rsid w:val="005E62B2"/>
    <w:rsid w:val="005F11EF"/>
    <w:rsid w:val="005F1673"/>
    <w:rsid w:val="005F4818"/>
    <w:rsid w:val="00603451"/>
    <w:rsid w:val="00611407"/>
    <w:rsid w:val="00613FD6"/>
    <w:rsid w:val="0061561D"/>
    <w:rsid w:val="00616043"/>
    <w:rsid w:val="006169C1"/>
    <w:rsid w:val="00616BF1"/>
    <w:rsid w:val="006257CE"/>
    <w:rsid w:val="0063105A"/>
    <w:rsid w:val="006351FA"/>
    <w:rsid w:val="00640B2C"/>
    <w:rsid w:val="00641525"/>
    <w:rsid w:val="0064356C"/>
    <w:rsid w:val="00643BF3"/>
    <w:rsid w:val="00643D00"/>
    <w:rsid w:val="006453B0"/>
    <w:rsid w:val="00645D65"/>
    <w:rsid w:val="00646BFB"/>
    <w:rsid w:val="00650D1E"/>
    <w:rsid w:val="0065489F"/>
    <w:rsid w:val="006572AB"/>
    <w:rsid w:val="00667CAD"/>
    <w:rsid w:val="00670880"/>
    <w:rsid w:val="00670F48"/>
    <w:rsid w:val="00672A98"/>
    <w:rsid w:val="006733D0"/>
    <w:rsid w:val="00673427"/>
    <w:rsid w:val="00674AF5"/>
    <w:rsid w:val="00676A82"/>
    <w:rsid w:val="00677DA9"/>
    <w:rsid w:val="00681003"/>
    <w:rsid w:val="00681D5E"/>
    <w:rsid w:val="00683E9E"/>
    <w:rsid w:val="006848C8"/>
    <w:rsid w:val="00686C54"/>
    <w:rsid w:val="00695A36"/>
    <w:rsid w:val="006975CB"/>
    <w:rsid w:val="006A4E3F"/>
    <w:rsid w:val="006A4EEA"/>
    <w:rsid w:val="006A7C5F"/>
    <w:rsid w:val="006B3235"/>
    <w:rsid w:val="006B3FFD"/>
    <w:rsid w:val="006B579D"/>
    <w:rsid w:val="006C0257"/>
    <w:rsid w:val="006C0E29"/>
    <w:rsid w:val="006C2C5A"/>
    <w:rsid w:val="006D1774"/>
    <w:rsid w:val="006D27C9"/>
    <w:rsid w:val="006D29BA"/>
    <w:rsid w:val="006D30FE"/>
    <w:rsid w:val="006D3653"/>
    <w:rsid w:val="006D3757"/>
    <w:rsid w:val="006D45FD"/>
    <w:rsid w:val="006D5058"/>
    <w:rsid w:val="006D5A5E"/>
    <w:rsid w:val="006D6D35"/>
    <w:rsid w:val="006D72BF"/>
    <w:rsid w:val="006E10F5"/>
    <w:rsid w:val="006E6299"/>
    <w:rsid w:val="006F1F30"/>
    <w:rsid w:val="006F2028"/>
    <w:rsid w:val="006F5142"/>
    <w:rsid w:val="006F585B"/>
    <w:rsid w:val="006F7348"/>
    <w:rsid w:val="006F796D"/>
    <w:rsid w:val="006F7F7A"/>
    <w:rsid w:val="0070079C"/>
    <w:rsid w:val="00700C3B"/>
    <w:rsid w:val="0070155F"/>
    <w:rsid w:val="007040CB"/>
    <w:rsid w:val="00710748"/>
    <w:rsid w:val="00712D74"/>
    <w:rsid w:val="00713C46"/>
    <w:rsid w:val="0071A6A3"/>
    <w:rsid w:val="00724795"/>
    <w:rsid w:val="007258D3"/>
    <w:rsid w:val="00727005"/>
    <w:rsid w:val="0072704D"/>
    <w:rsid w:val="00727F28"/>
    <w:rsid w:val="00730E85"/>
    <w:rsid w:val="00731DE1"/>
    <w:rsid w:val="00731E3C"/>
    <w:rsid w:val="00733166"/>
    <w:rsid w:val="00733CCF"/>
    <w:rsid w:val="0073444B"/>
    <w:rsid w:val="007372A4"/>
    <w:rsid w:val="007373E2"/>
    <w:rsid w:val="007379CA"/>
    <w:rsid w:val="00740433"/>
    <w:rsid w:val="00741B04"/>
    <w:rsid w:val="00743F6C"/>
    <w:rsid w:val="00750E81"/>
    <w:rsid w:val="0076115C"/>
    <w:rsid w:val="00765BAB"/>
    <w:rsid w:val="007664F3"/>
    <w:rsid w:val="007733AA"/>
    <w:rsid w:val="00777789"/>
    <w:rsid w:val="00782D0F"/>
    <w:rsid w:val="007836E9"/>
    <w:rsid w:val="00783740"/>
    <w:rsid w:val="007846DA"/>
    <w:rsid w:val="00784E4A"/>
    <w:rsid w:val="00786867"/>
    <w:rsid w:val="00787358"/>
    <w:rsid w:val="00787D27"/>
    <w:rsid w:val="0079197C"/>
    <w:rsid w:val="00792888"/>
    <w:rsid w:val="00793082"/>
    <w:rsid w:val="007963CC"/>
    <w:rsid w:val="007A35B9"/>
    <w:rsid w:val="007A3EB5"/>
    <w:rsid w:val="007A6EEC"/>
    <w:rsid w:val="007B1874"/>
    <w:rsid w:val="007B1CB1"/>
    <w:rsid w:val="007B4F86"/>
    <w:rsid w:val="007B6CDC"/>
    <w:rsid w:val="007B77D6"/>
    <w:rsid w:val="007C07B7"/>
    <w:rsid w:val="007C0B6E"/>
    <w:rsid w:val="007C0BAB"/>
    <w:rsid w:val="007C0E5E"/>
    <w:rsid w:val="007C15A2"/>
    <w:rsid w:val="007C15E4"/>
    <w:rsid w:val="007C32F7"/>
    <w:rsid w:val="007C4E89"/>
    <w:rsid w:val="007C595F"/>
    <w:rsid w:val="007C6876"/>
    <w:rsid w:val="007C6E5C"/>
    <w:rsid w:val="007D0648"/>
    <w:rsid w:val="007D4836"/>
    <w:rsid w:val="007D625E"/>
    <w:rsid w:val="007E0484"/>
    <w:rsid w:val="007E0520"/>
    <w:rsid w:val="007E18B5"/>
    <w:rsid w:val="007E1DF4"/>
    <w:rsid w:val="007E2C57"/>
    <w:rsid w:val="007E2C84"/>
    <w:rsid w:val="007E3545"/>
    <w:rsid w:val="007E4B23"/>
    <w:rsid w:val="007E6D37"/>
    <w:rsid w:val="007F0095"/>
    <w:rsid w:val="007F75BA"/>
    <w:rsid w:val="00801BDF"/>
    <w:rsid w:val="008032CB"/>
    <w:rsid w:val="00803790"/>
    <w:rsid w:val="008038A7"/>
    <w:rsid w:val="008045DC"/>
    <w:rsid w:val="00805B05"/>
    <w:rsid w:val="00807AD3"/>
    <w:rsid w:val="00810DDE"/>
    <w:rsid w:val="00811F96"/>
    <w:rsid w:val="008153AA"/>
    <w:rsid w:val="00815546"/>
    <w:rsid w:val="008172D9"/>
    <w:rsid w:val="00821B69"/>
    <w:rsid w:val="008230E0"/>
    <w:rsid w:val="00831330"/>
    <w:rsid w:val="00832A0E"/>
    <w:rsid w:val="00832D96"/>
    <w:rsid w:val="008338F7"/>
    <w:rsid w:val="00833C7B"/>
    <w:rsid w:val="00834C49"/>
    <w:rsid w:val="00836397"/>
    <w:rsid w:val="008409CE"/>
    <w:rsid w:val="008420CB"/>
    <w:rsid w:val="00845054"/>
    <w:rsid w:val="0085127E"/>
    <w:rsid w:val="0085285E"/>
    <w:rsid w:val="00852D1C"/>
    <w:rsid w:val="0085457E"/>
    <w:rsid w:val="00854F13"/>
    <w:rsid w:val="00855F33"/>
    <w:rsid w:val="00856147"/>
    <w:rsid w:val="00860F40"/>
    <w:rsid w:val="008615C9"/>
    <w:rsid w:val="00864020"/>
    <w:rsid w:val="00865254"/>
    <w:rsid w:val="00866940"/>
    <w:rsid w:val="00867755"/>
    <w:rsid w:val="00867953"/>
    <w:rsid w:val="00872BEA"/>
    <w:rsid w:val="008754D1"/>
    <w:rsid w:val="00876D55"/>
    <w:rsid w:val="00881A15"/>
    <w:rsid w:val="00881CD1"/>
    <w:rsid w:val="00882E60"/>
    <w:rsid w:val="00883482"/>
    <w:rsid w:val="008836E8"/>
    <w:rsid w:val="00885122"/>
    <w:rsid w:val="00886929"/>
    <w:rsid w:val="00887757"/>
    <w:rsid w:val="00891097"/>
    <w:rsid w:val="008979D5"/>
    <w:rsid w:val="008A1E0A"/>
    <w:rsid w:val="008A2745"/>
    <w:rsid w:val="008A29BB"/>
    <w:rsid w:val="008A4C3B"/>
    <w:rsid w:val="008A7297"/>
    <w:rsid w:val="008B127B"/>
    <w:rsid w:val="008B18A8"/>
    <w:rsid w:val="008B2AD7"/>
    <w:rsid w:val="008B30FB"/>
    <w:rsid w:val="008B3A79"/>
    <w:rsid w:val="008B59E3"/>
    <w:rsid w:val="008C546F"/>
    <w:rsid w:val="008C7FEB"/>
    <w:rsid w:val="008D10FA"/>
    <w:rsid w:val="008D2D73"/>
    <w:rsid w:val="008D6B7E"/>
    <w:rsid w:val="008D7379"/>
    <w:rsid w:val="008D7845"/>
    <w:rsid w:val="008E5D2C"/>
    <w:rsid w:val="008E70FD"/>
    <w:rsid w:val="008E7AF0"/>
    <w:rsid w:val="008F4DC8"/>
    <w:rsid w:val="008F66A8"/>
    <w:rsid w:val="00901B23"/>
    <w:rsid w:val="009031EA"/>
    <w:rsid w:val="00916667"/>
    <w:rsid w:val="00916D28"/>
    <w:rsid w:val="00923B23"/>
    <w:rsid w:val="00930DF0"/>
    <w:rsid w:val="00933463"/>
    <w:rsid w:val="0093428F"/>
    <w:rsid w:val="0093578A"/>
    <w:rsid w:val="009373B9"/>
    <w:rsid w:val="00937ED0"/>
    <w:rsid w:val="00940EB3"/>
    <w:rsid w:val="00943DAB"/>
    <w:rsid w:val="00951A6D"/>
    <w:rsid w:val="00952797"/>
    <w:rsid w:val="00953F45"/>
    <w:rsid w:val="00954C11"/>
    <w:rsid w:val="00955810"/>
    <w:rsid w:val="00955A48"/>
    <w:rsid w:val="009566C1"/>
    <w:rsid w:val="009612E7"/>
    <w:rsid w:val="00962926"/>
    <w:rsid w:val="00964401"/>
    <w:rsid w:val="00965DCC"/>
    <w:rsid w:val="00966EFF"/>
    <w:rsid w:val="00967AB8"/>
    <w:rsid w:val="00970388"/>
    <w:rsid w:val="00971147"/>
    <w:rsid w:val="00972393"/>
    <w:rsid w:val="00972975"/>
    <w:rsid w:val="00975AB1"/>
    <w:rsid w:val="009777D3"/>
    <w:rsid w:val="009847BA"/>
    <w:rsid w:val="009859E6"/>
    <w:rsid w:val="00993435"/>
    <w:rsid w:val="00993ABB"/>
    <w:rsid w:val="009942C3"/>
    <w:rsid w:val="00994A57"/>
    <w:rsid w:val="00995E64"/>
    <w:rsid w:val="0099652A"/>
    <w:rsid w:val="009A0A5D"/>
    <w:rsid w:val="009A36E4"/>
    <w:rsid w:val="009A4414"/>
    <w:rsid w:val="009A74A1"/>
    <w:rsid w:val="009B1294"/>
    <w:rsid w:val="009B4373"/>
    <w:rsid w:val="009C1E14"/>
    <w:rsid w:val="009C300A"/>
    <w:rsid w:val="009C6933"/>
    <w:rsid w:val="009C6BDB"/>
    <w:rsid w:val="009C7F8E"/>
    <w:rsid w:val="009D1651"/>
    <w:rsid w:val="009D2C90"/>
    <w:rsid w:val="009D3439"/>
    <w:rsid w:val="009D7971"/>
    <w:rsid w:val="009E7D2D"/>
    <w:rsid w:val="009F0D04"/>
    <w:rsid w:val="009F3559"/>
    <w:rsid w:val="009F480A"/>
    <w:rsid w:val="009F5CBE"/>
    <w:rsid w:val="009F6099"/>
    <w:rsid w:val="00A01254"/>
    <w:rsid w:val="00A02107"/>
    <w:rsid w:val="00A02921"/>
    <w:rsid w:val="00A04C7A"/>
    <w:rsid w:val="00A058E5"/>
    <w:rsid w:val="00A05FE1"/>
    <w:rsid w:val="00A06892"/>
    <w:rsid w:val="00A078BA"/>
    <w:rsid w:val="00A10070"/>
    <w:rsid w:val="00A10672"/>
    <w:rsid w:val="00A10C1A"/>
    <w:rsid w:val="00A133FB"/>
    <w:rsid w:val="00A14EEE"/>
    <w:rsid w:val="00A156A3"/>
    <w:rsid w:val="00A2072E"/>
    <w:rsid w:val="00A20B0A"/>
    <w:rsid w:val="00A2124D"/>
    <w:rsid w:val="00A22783"/>
    <w:rsid w:val="00A237BB"/>
    <w:rsid w:val="00A246DF"/>
    <w:rsid w:val="00A2573A"/>
    <w:rsid w:val="00A259F7"/>
    <w:rsid w:val="00A25C67"/>
    <w:rsid w:val="00A25E7D"/>
    <w:rsid w:val="00A32E50"/>
    <w:rsid w:val="00A33AE6"/>
    <w:rsid w:val="00A3619A"/>
    <w:rsid w:val="00A363A8"/>
    <w:rsid w:val="00A37389"/>
    <w:rsid w:val="00A44E6E"/>
    <w:rsid w:val="00A44F38"/>
    <w:rsid w:val="00A458ED"/>
    <w:rsid w:val="00A46AAB"/>
    <w:rsid w:val="00A509AB"/>
    <w:rsid w:val="00A50FB9"/>
    <w:rsid w:val="00A51273"/>
    <w:rsid w:val="00A540C5"/>
    <w:rsid w:val="00A54E2A"/>
    <w:rsid w:val="00A63B9B"/>
    <w:rsid w:val="00A643C1"/>
    <w:rsid w:val="00A668F4"/>
    <w:rsid w:val="00A673E4"/>
    <w:rsid w:val="00A7389A"/>
    <w:rsid w:val="00A76C14"/>
    <w:rsid w:val="00A82078"/>
    <w:rsid w:val="00A82A92"/>
    <w:rsid w:val="00A838C8"/>
    <w:rsid w:val="00A85275"/>
    <w:rsid w:val="00A90FC3"/>
    <w:rsid w:val="00A919EA"/>
    <w:rsid w:val="00A91C42"/>
    <w:rsid w:val="00A928CD"/>
    <w:rsid w:val="00A93D41"/>
    <w:rsid w:val="00A9516B"/>
    <w:rsid w:val="00A96932"/>
    <w:rsid w:val="00A9780A"/>
    <w:rsid w:val="00A97C5C"/>
    <w:rsid w:val="00AA00AF"/>
    <w:rsid w:val="00AA2FC9"/>
    <w:rsid w:val="00AA3071"/>
    <w:rsid w:val="00AB0613"/>
    <w:rsid w:val="00AB24BD"/>
    <w:rsid w:val="00AB283D"/>
    <w:rsid w:val="00AB523E"/>
    <w:rsid w:val="00AB7EE8"/>
    <w:rsid w:val="00AB7F7C"/>
    <w:rsid w:val="00AC0B59"/>
    <w:rsid w:val="00AC44FA"/>
    <w:rsid w:val="00AC4A63"/>
    <w:rsid w:val="00AC4A75"/>
    <w:rsid w:val="00AD0272"/>
    <w:rsid w:val="00AD312E"/>
    <w:rsid w:val="00AD64EA"/>
    <w:rsid w:val="00AD65B9"/>
    <w:rsid w:val="00AD6F51"/>
    <w:rsid w:val="00AE3EAF"/>
    <w:rsid w:val="00AE5E01"/>
    <w:rsid w:val="00AF21B8"/>
    <w:rsid w:val="00AF2B55"/>
    <w:rsid w:val="00AF6894"/>
    <w:rsid w:val="00B024B0"/>
    <w:rsid w:val="00B101E4"/>
    <w:rsid w:val="00B12ED0"/>
    <w:rsid w:val="00B1443A"/>
    <w:rsid w:val="00B1516A"/>
    <w:rsid w:val="00B15FC5"/>
    <w:rsid w:val="00B177A2"/>
    <w:rsid w:val="00B204ED"/>
    <w:rsid w:val="00B21651"/>
    <w:rsid w:val="00B22A8C"/>
    <w:rsid w:val="00B23ACB"/>
    <w:rsid w:val="00B24C87"/>
    <w:rsid w:val="00B24D1E"/>
    <w:rsid w:val="00B26A88"/>
    <w:rsid w:val="00B340DF"/>
    <w:rsid w:val="00B34EDA"/>
    <w:rsid w:val="00B34F46"/>
    <w:rsid w:val="00B4128C"/>
    <w:rsid w:val="00B41D0A"/>
    <w:rsid w:val="00B425A4"/>
    <w:rsid w:val="00B44DDD"/>
    <w:rsid w:val="00B504A0"/>
    <w:rsid w:val="00B51748"/>
    <w:rsid w:val="00B51AD9"/>
    <w:rsid w:val="00B5243F"/>
    <w:rsid w:val="00B531F5"/>
    <w:rsid w:val="00B53EDA"/>
    <w:rsid w:val="00B553A2"/>
    <w:rsid w:val="00B57198"/>
    <w:rsid w:val="00B63CA2"/>
    <w:rsid w:val="00B67569"/>
    <w:rsid w:val="00B757DE"/>
    <w:rsid w:val="00B77E90"/>
    <w:rsid w:val="00B80C5D"/>
    <w:rsid w:val="00B81A02"/>
    <w:rsid w:val="00B840EA"/>
    <w:rsid w:val="00B85023"/>
    <w:rsid w:val="00B864C3"/>
    <w:rsid w:val="00B86CC1"/>
    <w:rsid w:val="00B87180"/>
    <w:rsid w:val="00B8771A"/>
    <w:rsid w:val="00B904A1"/>
    <w:rsid w:val="00B931DB"/>
    <w:rsid w:val="00B9514F"/>
    <w:rsid w:val="00B97ACB"/>
    <w:rsid w:val="00B97D85"/>
    <w:rsid w:val="00BA14DA"/>
    <w:rsid w:val="00BA19D0"/>
    <w:rsid w:val="00BA1E32"/>
    <w:rsid w:val="00BA2456"/>
    <w:rsid w:val="00BA469B"/>
    <w:rsid w:val="00BA669A"/>
    <w:rsid w:val="00BB02D1"/>
    <w:rsid w:val="00BB228F"/>
    <w:rsid w:val="00BB2792"/>
    <w:rsid w:val="00BB416E"/>
    <w:rsid w:val="00BB4A54"/>
    <w:rsid w:val="00BB4A5B"/>
    <w:rsid w:val="00BB540C"/>
    <w:rsid w:val="00BB6D66"/>
    <w:rsid w:val="00BB7B9E"/>
    <w:rsid w:val="00BC1115"/>
    <w:rsid w:val="00BC2BE7"/>
    <w:rsid w:val="00BC356A"/>
    <w:rsid w:val="00BC5883"/>
    <w:rsid w:val="00BC5BCA"/>
    <w:rsid w:val="00BC5C5F"/>
    <w:rsid w:val="00BE6A62"/>
    <w:rsid w:val="00BF0528"/>
    <w:rsid w:val="00BF2534"/>
    <w:rsid w:val="00BF34EC"/>
    <w:rsid w:val="00BF5262"/>
    <w:rsid w:val="00BF6679"/>
    <w:rsid w:val="00BF79DC"/>
    <w:rsid w:val="00C01EBC"/>
    <w:rsid w:val="00C029FA"/>
    <w:rsid w:val="00C05A74"/>
    <w:rsid w:val="00C06CEB"/>
    <w:rsid w:val="00C06D77"/>
    <w:rsid w:val="00C102F0"/>
    <w:rsid w:val="00C105CF"/>
    <w:rsid w:val="00C13F10"/>
    <w:rsid w:val="00C20955"/>
    <w:rsid w:val="00C22032"/>
    <w:rsid w:val="00C2538E"/>
    <w:rsid w:val="00C330EA"/>
    <w:rsid w:val="00C34211"/>
    <w:rsid w:val="00C35958"/>
    <w:rsid w:val="00C35DE1"/>
    <w:rsid w:val="00C3795C"/>
    <w:rsid w:val="00C45778"/>
    <w:rsid w:val="00C46262"/>
    <w:rsid w:val="00C468B5"/>
    <w:rsid w:val="00C524AA"/>
    <w:rsid w:val="00C54689"/>
    <w:rsid w:val="00C56570"/>
    <w:rsid w:val="00C61881"/>
    <w:rsid w:val="00C62284"/>
    <w:rsid w:val="00C6269B"/>
    <w:rsid w:val="00C638EF"/>
    <w:rsid w:val="00C64664"/>
    <w:rsid w:val="00C646F2"/>
    <w:rsid w:val="00C65587"/>
    <w:rsid w:val="00C7591A"/>
    <w:rsid w:val="00C761C7"/>
    <w:rsid w:val="00C773C1"/>
    <w:rsid w:val="00C8121E"/>
    <w:rsid w:val="00C81B3A"/>
    <w:rsid w:val="00C84762"/>
    <w:rsid w:val="00C874E5"/>
    <w:rsid w:val="00C900EA"/>
    <w:rsid w:val="00C93C58"/>
    <w:rsid w:val="00C9401C"/>
    <w:rsid w:val="00C942D8"/>
    <w:rsid w:val="00C97F1C"/>
    <w:rsid w:val="00CA053A"/>
    <w:rsid w:val="00CA32C2"/>
    <w:rsid w:val="00CA555D"/>
    <w:rsid w:val="00CB2B46"/>
    <w:rsid w:val="00CB5951"/>
    <w:rsid w:val="00CB6C08"/>
    <w:rsid w:val="00CB769B"/>
    <w:rsid w:val="00CD0DCA"/>
    <w:rsid w:val="00CD539B"/>
    <w:rsid w:val="00CE62F2"/>
    <w:rsid w:val="00CF011F"/>
    <w:rsid w:val="00CF2653"/>
    <w:rsid w:val="00D00D6A"/>
    <w:rsid w:val="00D025B5"/>
    <w:rsid w:val="00D11556"/>
    <w:rsid w:val="00D12F61"/>
    <w:rsid w:val="00D14485"/>
    <w:rsid w:val="00D14C37"/>
    <w:rsid w:val="00D201C6"/>
    <w:rsid w:val="00D210E9"/>
    <w:rsid w:val="00D224C9"/>
    <w:rsid w:val="00D240A1"/>
    <w:rsid w:val="00D25431"/>
    <w:rsid w:val="00D31B7A"/>
    <w:rsid w:val="00D33A75"/>
    <w:rsid w:val="00D3781D"/>
    <w:rsid w:val="00D40510"/>
    <w:rsid w:val="00D40595"/>
    <w:rsid w:val="00D4082E"/>
    <w:rsid w:val="00D41CDA"/>
    <w:rsid w:val="00D41E62"/>
    <w:rsid w:val="00D436FF"/>
    <w:rsid w:val="00D45701"/>
    <w:rsid w:val="00D522F9"/>
    <w:rsid w:val="00D55521"/>
    <w:rsid w:val="00D56619"/>
    <w:rsid w:val="00D57367"/>
    <w:rsid w:val="00D57F1B"/>
    <w:rsid w:val="00D629CD"/>
    <w:rsid w:val="00D638E0"/>
    <w:rsid w:val="00D64784"/>
    <w:rsid w:val="00D656B5"/>
    <w:rsid w:val="00D65C9B"/>
    <w:rsid w:val="00D66866"/>
    <w:rsid w:val="00D66F56"/>
    <w:rsid w:val="00D716BA"/>
    <w:rsid w:val="00D71D7C"/>
    <w:rsid w:val="00D732FC"/>
    <w:rsid w:val="00D7439A"/>
    <w:rsid w:val="00D805FA"/>
    <w:rsid w:val="00D816B0"/>
    <w:rsid w:val="00D81E21"/>
    <w:rsid w:val="00D8213D"/>
    <w:rsid w:val="00D8258A"/>
    <w:rsid w:val="00D83A67"/>
    <w:rsid w:val="00D8404D"/>
    <w:rsid w:val="00D84371"/>
    <w:rsid w:val="00D87C12"/>
    <w:rsid w:val="00D94213"/>
    <w:rsid w:val="00D95BD6"/>
    <w:rsid w:val="00D95D8B"/>
    <w:rsid w:val="00DA3CAE"/>
    <w:rsid w:val="00DA4EFB"/>
    <w:rsid w:val="00DA6890"/>
    <w:rsid w:val="00DB1953"/>
    <w:rsid w:val="00DB443D"/>
    <w:rsid w:val="00DB45EA"/>
    <w:rsid w:val="00DB6848"/>
    <w:rsid w:val="00DC2952"/>
    <w:rsid w:val="00DC4ED2"/>
    <w:rsid w:val="00DD0BCA"/>
    <w:rsid w:val="00DD0CB4"/>
    <w:rsid w:val="00DD179A"/>
    <w:rsid w:val="00DD24D6"/>
    <w:rsid w:val="00DD2D12"/>
    <w:rsid w:val="00DD5EEA"/>
    <w:rsid w:val="00DD6124"/>
    <w:rsid w:val="00DE552F"/>
    <w:rsid w:val="00DE5A6A"/>
    <w:rsid w:val="00DF1AB7"/>
    <w:rsid w:val="00DF4144"/>
    <w:rsid w:val="00DF4997"/>
    <w:rsid w:val="00DF593B"/>
    <w:rsid w:val="00E01CD8"/>
    <w:rsid w:val="00E01EC8"/>
    <w:rsid w:val="00E03EE9"/>
    <w:rsid w:val="00E052DF"/>
    <w:rsid w:val="00E0667B"/>
    <w:rsid w:val="00E07C02"/>
    <w:rsid w:val="00E108FB"/>
    <w:rsid w:val="00E10EFB"/>
    <w:rsid w:val="00E12B06"/>
    <w:rsid w:val="00E12BB0"/>
    <w:rsid w:val="00E145D4"/>
    <w:rsid w:val="00E155A2"/>
    <w:rsid w:val="00E15BF6"/>
    <w:rsid w:val="00E20611"/>
    <w:rsid w:val="00E21690"/>
    <w:rsid w:val="00E2228C"/>
    <w:rsid w:val="00E22523"/>
    <w:rsid w:val="00E30EE0"/>
    <w:rsid w:val="00E34E63"/>
    <w:rsid w:val="00E35EB5"/>
    <w:rsid w:val="00E42BDE"/>
    <w:rsid w:val="00E46960"/>
    <w:rsid w:val="00E54005"/>
    <w:rsid w:val="00E5443A"/>
    <w:rsid w:val="00E5444D"/>
    <w:rsid w:val="00E56BB7"/>
    <w:rsid w:val="00E5714F"/>
    <w:rsid w:val="00E62567"/>
    <w:rsid w:val="00E71CB9"/>
    <w:rsid w:val="00E731B4"/>
    <w:rsid w:val="00E73698"/>
    <w:rsid w:val="00E739D5"/>
    <w:rsid w:val="00E77058"/>
    <w:rsid w:val="00E77E23"/>
    <w:rsid w:val="00E8251C"/>
    <w:rsid w:val="00E82A87"/>
    <w:rsid w:val="00E844A0"/>
    <w:rsid w:val="00E86D56"/>
    <w:rsid w:val="00E87760"/>
    <w:rsid w:val="00E87FA7"/>
    <w:rsid w:val="00E92A84"/>
    <w:rsid w:val="00E93341"/>
    <w:rsid w:val="00E93365"/>
    <w:rsid w:val="00E93CDC"/>
    <w:rsid w:val="00E94E8B"/>
    <w:rsid w:val="00EA2FCF"/>
    <w:rsid w:val="00EA6CB7"/>
    <w:rsid w:val="00EB0BD1"/>
    <w:rsid w:val="00EB52FD"/>
    <w:rsid w:val="00EC17C6"/>
    <w:rsid w:val="00EC2103"/>
    <w:rsid w:val="00EC3E27"/>
    <w:rsid w:val="00EC4499"/>
    <w:rsid w:val="00EC739C"/>
    <w:rsid w:val="00ED0613"/>
    <w:rsid w:val="00ED26E2"/>
    <w:rsid w:val="00ED4647"/>
    <w:rsid w:val="00ED52B2"/>
    <w:rsid w:val="00ED6269"/>
    <w:rsid w:val="00EF0DDF"/>
    <w:rsid w:val="00EF5DD8"/>
    <w:rsid w:val="00EF7A15"/>
    <w:rsid w:val="00F0289D"/>
    <w:rsid w:val="00F0401B"/>
    <w:rsid w:val="00F1018C"/>
    <w:rsid w:val="00F13ED2"/>
    <w:rsid w:val="00F15155"/>
    <w:rsid w:val="00F17456"/>
    <w:rsid w:val="00F24307"/>
    <w:rsid w:val="00F25278"/>
    <w:rsid w:val="00F25D53"/>
    <w:rsid w:val="00F26436"/>
    <w:rsid w:val="00F27ACB"/>
    <w:rsid w:val="00F3044A"/>
    <w:rsid w:val="00F3125B"/>
    <w:rsid w:val="00F353CD"/>
    <w:rsid w:val="00F3616F"/>
    <w:rsid w:val="00F361C9"/>
    <w:rsid w:val="00F4385C"/>
    <w:rsid w:val="00F44602"/>
    <w:rsid w:val="00F45025"/>
    <w:rsid w:val="00F4510B"/>
    <w:rsid w:val="00F4766C"/>
    <w:rsid w:val="00F51660"/>
    <w:rsid w:val="00F51C58"/>
    <w:rsid w:val="00F53A6E"/>
    <w:rsid w:val="00F54553"/>
    <w:rsid w:val="00F55812"/>
    <w:rsid w:val="00F55C39"/>
    <w:rsid w:val="00F56DC5"/>
    <w:rsid w:val="00F60449"/>
    <w:rsid w:val="00F610A5"/>
    <w:rsid w:val="00F62221"/>
    <w:rsid w:val="00F62B07"/>
    <w:rsid w:val="00F6303F"/>
    <w:rsid w:val="00F6618F"/>
    <w:rsid w:val="00F66D6E"/>
    <w:rsid w:val="00F67E95"/>
    <w:rsid w:val="00F70DD5"/>
    <w:rsid w:val="00F715BC"/>
    <w:rsid w:val="00F72399"/>
    <w:rsid w:val="00F72863"/>
    <w:rsid w:val="00F72D42"/>
    <w:rsid w:val="00F73165"/>
    <w:rsid w:val="00F74CFF"/>
    <w:rsid w:val="00F759EA"/>
    <w:rsid w:val="00F8158B"/>
    <w:rsid w:val="00F8326D"/>
    <w:rsid w:val="00F833A7"/>
    <w:rsid w:val="00F86BAC"/>
    <w:rsid w:val="00F90BCE"/>
    <w:rsid w:val="00F92AD4"/>
    <w:rsid w:val="00F93934"/>
    <w:rsid w:val="00FA1373"/>
    <w:rsid w:val="00FA2A22"/>
    <w:rsid w:val="00FA542E"/>
    <w:rsid w:val="00FA590A"/>
    <w:rsid w:val="00FA6CEC"/>
    <w:rsid w:val="00FA6FF9"/>
    <w:rsid w:val="00FB1987"/>
    <w:rsid w:val="00FB340D"/>
    <w:rsid w:val="00FC2881"/>
    <w:rsid w:val="00FC461A"/>
    <w:rsid w:val="00FC5743"/>
    <w:rsid w:val="00FD267A"/>
    <w:rsid w:val="00FD4F42"/>
    <w:rsid w:val="00FD7A03"/>
    <w:rsid w:val="00FD7DC1"/>
    <w:rsid w:val="00FE2489"/>
    <w:rsid w:val="00FE4762"/>
    <w:rsid w:val="00FE4794"/>
    <w:rsid w:val="00FE63F5"/>
    <w:rsid w:val="00FF0626"/>
    <w:rsid w:val="00FF3AF4"/>
    <w:rsid w:val="00FF77E3"/>
    <w:rsid w:val="0147DA08"/>
    <w:rsid w:val="02972B96"/>
    <w:rsid w:val="02C30EFC"/>
    <w:rsid w:val="0391C58A"/>
    <w:rsid w:val="03D1136D"/>
    <w:rsid w:val="04E32602"/>
    <w:rsid w:val="05134D71"/>
    <w:rsid w:val="060091E9"/>
    <w:rsid w:val="061A80E2"/>
    <w:rsid w:val="06302C45"/>
    <w:rsid w:val="06D83D07"/>
    <w:rsid w:val="07A50BD4"/>
    <w:rsid w:val="07E7C563"/>
    <w:rsid w:val="0834AD77"/>
    <w:rsid w:val="08637F18"/>
    <w:rsid w:val="08B302DE"/>
    <w:rsid w:val="08E91096"/>
    <w:rsid w:val="091B6C46"/>
    <w:rsid w:val="09CFF417"/>
    <w:rsid w:val="0AC05EBB"/>
    <w:rsid w:val="0AC58A44"/>
    <w:rsid w:val="0AFE638E"/>
    <w:rsid w:val="0B519E16"/>
    <w:rsid w:val="0D96F5C6"/>
    <w:rsid w:val="0ECA672E"/>
    <w:rsid w:val="0F03DE2B"/>
    <w:rsid w:val="0FB418CD"/>
    <w:rsid w:val="107D92ED"/>
    <w:rsid w:val="10924033"/>
    <w:rsid w:val="12383847"/>
    <w:rsid w:val="139AA763"/>
    <w:rsid w:val="1409700D"/>
    <w:rsid w:val="1449B561"/>
    <w:rsid w:val="1600FF04"/>
    <w:rsid w:val="165C0E97"/>
    <w:rsid w:val="16E7779C"/>
    <w:rsid w:val="1705AEBF"/>
    <w:rsid w:val="18F2ACB8"/>
    <w:rsid w:val="1A0A5E8F"/>
    <w:rsid w:val="1AE885F5"/>
    <w:rsid w:val="1B2F674A"/>
    <w:rsid w:val="1B38CE06"/>
    <w:rsid w:val="1BFEFA27"/>
    <w:rsid w:val="1C835E64"/>
    <w:rsid w:val="1D2ECC3C"/>
    <w:rsid w:val="1E284613"/>
    <w:rsid w:val="1EFB074C"/>
    <w:rsid w:val="206CA3DF"/>
    <w:rsid w:val="210F100C"/>
    <w:rsid w:val="23E3FEF6"/>
    <w:rsid w:val="23F25C85"/>
    <w:rsid w:val="25437B2E"/>
    <w:rsid w:val="2585A41B"/>
    <w:rsid w:val="25D40AB7"/>
    <w:rsid w:val="26012368"/>
    <w:rsid w:val="26999F60"/>
    <w:rsid w:val="26B58AAC"/>
    <w:rsid w:val="26BDD437"/>
    <w:rsid w:val="2753D7C4"/>
    <w:rsid w:val="27BBF3C8"/>
    <w:rsid w:val="28853CE2"/>
    <w:rsid w:val="28EFBEBD"/>
    <w:rsid w:val="291FE545"/>
    <w:rsid w:val="29491989"/>
    <w:rsid w:val="2B4EE441"/>
    <w:rsid w:val="2BC52E87"/>
    <w:rsid w:val="2CA5ED0A"/>
    <w:rsid w:val="2E280E9F"/>
    <w:rsid w:val="2EDA05D3"/>
    <w:rsid w:val="300713FE"/>
    <w:rsid w:val="30141C79"/>
    <w:rsid w:val="302295C4"/>
    <w:rsid w:val="30F243DF"/>
    <w:rsid w:val="31314883"/>
    <w:rsid w:val="32FA1464"/>
    <w:rsid w:val="336376FA"/>
    <w:rsid w:val="33BFB1F6"/>
    <w:rsid w:val="344A90E1"/>
    <w:rsid w:val="351EF987"/>
    <w:rsid w:val="359FCCE5"/>
    <w:rsid w:val="36969ACD"/>
    <w:rsid w:val="38E5F3CF"/>
    <w:rsid w:val="39BEFACE"/>
    <w:rsid w:val="3A6A6AFB"/>
    <w:rsid w:val="3B4E0B6F"/>
    <w:rsid w:val="3C60C518"/>
    <w:rsid w:val="3C79C53C"/>
    <w:rsid w:val="3CC59306"/>
    <w:rsid w:val="3D636D5A"/>
    <w:rsid w:val="3DEFA322"/>
    <w:rsid w:val="3E6F2162"/>
    <w:rsid w:val="3F52D773"/>
    <w:rsid w:val="417CF668"/>
    <w:rsid w:val="433E56C8"/>
    <w:rsid w:val="43607BEF"/>
    <w:rsid w:val="43701C9E"/>
    <w:rsid w:val="43F2F220"/>
    <w:rsid w:val="44DA2729"/>
    <w:rsid w:val="44E33087"/>
    <w:rsid w:val="4576DFDD"/>
    <w:rsid w:val="45D05A88"/>
    <w:rsid w:val="45D425ED"/>
    <w:rsid w:val="460F93E9"/>
    <w:rsid w:val="46B70ADA"/>
    <w:rsid w:val="4A56CC1F"/>
    <w:rsid w:val="4AD19687"/>
    <w:rsid w:val="4B12C757"/>
    <w:rsid w:val="4B1C839B"/>
    <w:rsid w:val="4B304050"/>
    <w:rsid w:val="4BF9166F"/>
    <w:rsid w:val="4CFB2451"/>
    <w:rsid w:val="4D3BA8AA"/>
    <w:rsid w:val="4DD71B38"/>
    <w:rsid w:val="4EC94E9A"/>
    <w:rsid w:val="4F30FEEC"/>
    <w:rsid w:val="5073496C"/>
    <w:rsid w:val="507992E5"/>
    <w:rsid w:val="50B6C365"/>
    <w:rsid w:val="50DD6D9E"/>
    <w:rsid w:val="5168D14A"/>
    <w:rsid w:val="5181BA66"/>
    <w:rsid w:val="51DED5EA"/>
    <w:rsid w:val="51E6566E"/>
    <w:rsid w:val="52275B3B"/>
    <w:rsid w:val="52B56066"/>
    <w:rsid w:val="52D74B97"/>
    <w:rsid w:val="545130C7"/>
    <w:rsid w:val="54673FFC"/>
    <w:rsid w:val="55E5AC15"/>
    <w:rsid w:val="56376E50"/>
    <w:rsid w:val="56583994"/>
    <w:rsid w:val="574998A8"/>
    <w:rsid w:val="575E068D"/>
    <w:rsid w:val="579E3B40"/>
    <w:rsid w:val="57EE5E58"/>
    <w:rsid w:val="5878CB3E"/>
    <w:rsid w:val="58E514CB"/>
    <w:rsid w:val="5A8AFAFC"/>
    <w:rsid w:val="5AFB9C83"/>
    <w:rsid w:val="5B0F5CD6"/>
    <w:rsid w:val="5B1259F3"/>
    <w:rsid w:val="5C05FC8B"/>
    <w:rsid w:val="5C20FEB0"/>
    <w:rsid w:val="5D9AF2C2"/>
    <w:rsid w:val="5DD0668E"/>
    <w:rsid w:val="5E96AC59"/>
    <w:rsid w:val="5ECF250E"/>
    <w:rsid w:val="614C4CC3"/>
    <w:rsid w:val="617D3029"/>
    <w:rsid w:val="61BD9324"/>
    <w:rsid w:val="61C13769"/>
    <w:rsid w:val="6201A48C"/>
    <w:rsid w:val="626AFEF6"/>
    <w:rsid w:val="629E2628"/>
    <w:rsid w:val="6394EFEF"/>
    <w:rsid w:val="63E593E7"/>
    <w:rsid w:val="6408F8D7"/>
    <w:rsid w:val="642DC0F1"/>
    <w:rsid w:val="648D3BB4"/>
    <w:rsid w:val="64AF40D8"/>
    <w:rsid w:val="64D9B426"/>
    <w:rsid w:val="663DC1D3"/>
    <w:rsid w:val="6677DBEA"/>
    <w:rsid w:val="66C37AE1"/>
    <w:rsid w:val="6857B4F3"/>
    <w:rsid w:val="686DDEDE"/>
    <w:rsid w:val="689D0BD7"/>
    <w:rsid w:val="68ACFF93"/>
    <w:rsid w:val="68CBD2BD"/>
    <w:rsid w:val="68F750F9"/>
    <w:rsid w:val="697B831B"/>
    <w:rsid w:val="698C64EE"/>
    <w:rsid w:val="6AADA0A2"/>
    <w:rsid w:val="6B7AB2CA"/>
    <w:rsid w:val="6BAE2B69"/>
    <w:rsid w:val="6BF59C22"/>
    <w:rsid w:val="6C7836C5"/>
    <w:rsid w:val="6CA12A60"/>
    <w:rsid w:val="6D37ABCE"/>
    <w:rsid w:val="6D5099CF"/>
    <w:rsid w:val="6E0DAB5F"/>
    <w:rsid w:val="6EA39E10"/>
    <w:rsid w:val="6EDDE4F2"/>
    <w:rsid w:val="6FBB8E71"/>
    <w:rsid w:val="6FD6214D"/>
    <w:rsid w:val="6FF20599"/>
    <w:rsid w:val="70A69797"/>
    <w:rsid w:val="70FB51FF"/>
    <w:rsid w:val="70FE5130"/>
    <w:rsid w:val="71908FAB"/>
    <w:rsid w:val="7275274E"/>
    <w:rsid w:val="732AE2B2"/>
    <w:rsid w:val="754585A7"/>
    <w:rsid w:val="7560A5C7"/>
    <w:rsid w:val="768B7DD6"/>
    <w:rsid w:val="76CA8B10"/>
    <w:rsid w:val="770583CB"/>
    <w:rsid w:val="7772F3ED"/>
    <w:rsid w:val="783157F9"/>
    <w:rsid w:val="79AA5AE2"/>
    <w:rsid w:val="79C08EE2"/>
    <w:rsid w:val="7B561DBE"/>
    <w:rsid w:val="7BE9C92F"/>
    <w:rsid w:val="7BF67581"/>
    <w:rsid w:val="7D2FB950"/>
    <w:rsid w:val="7DB4C410"/>
    <w:rsid w:val="7DC84266"/>
    <w:rsid w:val="7DDF667B"/>
    <w:rsid w:val="7E6172DD"/>
    <w:rsid w:val="7E783ECA"/>
    <w:rsid w:val="7E8D8CEC"/>
    <w:rsid w:val="7EDF8AE2"/>
    <w:rsid w:val="7F4D91BA"/>
    <w:rsid w:val="7F99627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A4D97"/>
  <w15:docId w15:val="{01B14618-4F84-4CC1-BF3F-3356EF1D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uiPriority="1"/>
    <w:lsdException w:name="heading 1" w:uiPriority="1"/>
    <w:lsdException w:name="heading 2" w:semiHidden="1" w:uiPriority="8"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2"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2" w:unhideWhenUsed="1" w:qFormat="1"/>
    <w:lsdException w:name="Closing" w:semiHidden="1" w:uiPriority="99" w:unhideWhenUsed="1"/>
    <w:lsdException w:name="Signature" w:semiHidden="1" w:uiPriority="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99"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1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E21690"/>
    <w:pPr>
      <w:spacing w:after="200"/>
    </w:pPr>
    <w:rPr>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8"/>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1"/>
    <w:semiHidden/>
    <w:unhideWhenUsed/>
    <w:qFormat/>
    <w:rsid w:val="0086775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semiHidden/>
    <w:unhideWhenUsed/>
    <w:qFormat/>
    <w:rsid w:val="0086775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semiHidden/>
    <w:unhideWhenUsed/>
    <w:qFormat/>
    <w:rsid w:val="00867755"/>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86775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86775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unhideWhenUsed/>
    <w:qFormat/>
    <w:rsid w:val="0086775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next w:val="AHPRAbody"/>
    <w:rsid w:val="003546FC"/>
    <w:pPr>
      <w:spacing w:before="200" w:after="0"/>
      <w:outlineLvl w:val="0"/>
    </w:pPr>
    <w:rPr>
      <w:rFonts w:cs="Arial"/>
      <w:color w:val="00BCE4"/>
      <w:sz w:val="32"/>
      <w:szCs w:val="52"/>
    </w:rPr>
  </w:style>
  <w:style w:type="paragraph" w:customStyle="1" w:styleId="AHPRAbody">
    <w:name w:val="AHPRA body"/>
    <w:basedOn w:val="Normal"/>
    <w:link w:val="AHPRAbodyChar"/>
    <w:qFormat/>
    <w:rsid w:val="00E73698"/>
    <w:rPr>
      <w:rFonts w:cs="Arial"/>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ind w:firstLine="0"/>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ind w:left="369" w:hanging="369"/>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E21690"/>
    <w:pPr>
      <w:spacing w:before="120" w:after="120"/>
      <w:jc w:val="center"/>
    </w:pPr>
    <w:rPr>
      <w:b/>
      <w:color w:val="FFFFFF" w:themeColor="background1"/>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semiHidden/>
    <w:unhideWhenUsed/>
    <w:rsid w:val="00E73698"/>
    <w:rPr>
      <w:szCs w:val="20"/>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8"/>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1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0"/>
      </w:numPr>
      <w:ind w:left="369" w:hanging="369"/>
    </w:pPr>
  </w:style>
  <w:style w:type="paragraph" w:customStyle="1" w:styleId="AHPRANumberedlistlevel3">
    <w:name w:val="AHPRA Numbered list level 3"/>
    <w:basedOn w:val="AHPRANumberedlistlevel1"/>
    <w:rsid w:val="0079197C"/>
    <w:pPr>
      <w:ind w:firstLine="368"/>
    </w:pPr>
  </w:style>
  <w:style w:type="paragraph" w:customStyle="1" w:styleId="AHPRANumberedsubheadinglevel2">
    <w:name w:val="AHPRA Numbered subheading level 2"/>
    <w:basedOn w:val="AHPRANumberedsubheadinglevel1"/>
    <w:next w:val="AHPRAbody"/>
    <w:rsid w:val="002C08FB"/>
    <w:pPr>
      <w:spacing w:before="0"/>
    </w:pPr>
    <w:rPr>
      <w:color w:val="auto"/>
    </w:rPr>
  </w:style>
  <w:style w:type="paragraph" w:customStyle="1" w:styleId="AHPRANumberedsubheadinglevel3">
    <w:name w:val="AHPRA Numbered subheading level 3"/>
    <w:basedOn w:val="AHPRANumberedsubheadinglevel2"/>
    <w:next w:val="AHPRAbody"/>
    <w:rsid w:val="002C08FB"/>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unhideWhenUsed/>
    <w:rsid w:val="00586D5F"/>
    <w:pPr>
      <w:tabs>
        <w:tab w:val="center" w:pos="4513"/>
        <w:tab w:val="right" w:pos="9026"/>
      </w:tabs>
      <w:spacing w:after="0"/>
    </w:pPr>
  </w:style>
  <w:style w:type="character" w:customStyle="1" w:styleId="FooterChar">
    <w:name w:val="Footer Char"/>
    <w:basedOn w:val="DefaultParagraphFont"/>
    <w:link w:val="Footer"/>
    <w:uiPriority w:val="99"/>
    <w:rsid w:val="00586D5F"/>
    <w:rPr>
      <w:sz w:val="24"/>
      <w:szCs w:val="24"/>
      <w:lang w:val="en-AU"/>
    </w:rPr>
  </w:style>
  <w:style w:type="numbering" w:customStyle="1" w:styleId="AHPRABullets">
    <w:name w:val="AHPRA Bullets"/>
    <w:uiPriority w:val="99"/>
    <w:rsid w:val="00E21690"/>
    <w:pPr>
      <w:numPr>
        <w:numId w:val="14"/>
      </w:numPr>
    </w:pPr>
  </w:style>
  <w:style w:type="paragraph" w:customStyle="1" w:styleId="BodyTextBullets">
    <w:name w:val="Body Text Bullets"/>
    <w:uiPriority w:val="1"/>
    <w:qFormat/>
    <w:rsid w:val="00E21690"/>
    <w:pPr>
      <w:numPr>
        <w:numId w:val="14"/>
      </w:numPr>
      <w:spacing w:after="120"/>
      <w:contextualSpacing/>
    </w:pPr>
    <w:rPr>
      <w:rFonts w:eastAsia="Times New Roman" w:cs="Arial"/>
      <w:noProof/>
      <w:szCs w:val="24"/>
      <w:lang w:val="en-AU" w:eastAsia="en-AU"/>
    </w:rPr>
  </w:style>
  <w:style w:type="numbering" w:customStyle="1" w:styleId="AHPRAListBullets">
    <w:name w:val="AHPRA List Bullets"/>
    <w:uiPriority w:val="99"/>
    <w:rsid w:val="00E21690"/>
    <w:pPr>
      <w:numPr>
        <w:numId w:val="16"/>
      </w:numPr>
    </w:pPr>
  </w:style>
  <w:style w:type="paragraph" w:customStyle="1" w:styleId="Tableheadingwhite">
    <w:name w:val="Table heading white"/>
    <w:uiPriority w:val="4"/>
    <w:rsid w:val="00E21690"/>
    <w:pPr>
      <w:spacing w:before="80" w:after="80"/>
      <w:ind w:left="113" w:right="113"/>
    </w:pPr>
    <w:rPr>
      <w:rFonts w:eastAsia="Times New Roman" w:cs="Arial"/>
      <w:b/>
      <w:noProof/>
      <w:color w:val="FFFFFF"/>
      <w:lang w:val="en-AU" w:eastAsia="en-AU"/>
    </w:rPr>
  </w:style>
  <w:style w:type="paragraph" w:customStyle="1" w:styleId="Tabletext">
    <w:name w:val="Table text"/>
    <w:uiPriority w:val="10"/>
    <w:qFormat/>
    <w:rsid w:val="00E21690"/>
    <w:pPr>
      <w:spacing w:before="80" w:after="80"/>
      <w:ind w:left="113" w:right="113"/>
    </w:pPr>
    <w:rPr>
      <w:rFonts w:cs="Arial"/>
      <w:noProof/>
      <w:lang w:val="en-AU"/>
    </w:rPr>
  </w:style>
  <w:style w:type="paragraph" w:styleId="BodyText">
    <w:name w:val="Body Text"/>
    <w:basedOn w:val="Normal"/>
    <w:link w:val="BodyTextChar"/>
    <w:qFormat/>
    <w:rsid w:val="00E21690"/>
    <w:pPr>
      <w:spacing w:before="200"/>
    </w:pPr>
    <w:rPr>
      <w:rFonts w:cs="Arial"/>
      <w:noProof/>
    </w:rPr>
  </w:style>
  <w:style w:type="character" w:customStyle="1" w:styleId="BodyTextChar">
    <w:name w:val="Body Text Char"/>
    <w:basedOn w:val="DefaultParagraphFont"/>
    <w:link w:val="BodyText"/>
    <w:rsid w:val="00E21690"/>
    <w:rPr>
      <w:rFonts w:cs="Arial"/>
      <w:noProof/>
      <w:szCs w:val="24"/>
      <w:lang w:val="en-AU"/>
    </w:rPr>
  </w:style>
  <w:style w:type="table" w:customStyle="1" w:styleId="AHPRATable1">
    <w:name w:val="AHPRA Table 1"/>
    <w:basedOn w:val="TableGrid"/>
    <w:uiPriority w:val="99"/>
    <w:qFormat/>
    <w:rsid w:val="00E2169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shd w:val="clear" w:color="auto" w:fill="007CC2"/>
      </w:tcPr>
    </w:tblStylePr>
    <w:tblStylePr w:type="firstCol">
      <w:tblPr/>
      <w:tcPr>
        <w:shd w:val="clear" w:color="auto" w:fill="007CC2"/>
      </w:tcPr>
    </w:tblStylePr>
    <w:tblStylePr w:type="band1Horz">
      <w:tblPr/>
      <w:tcPr>
        <w:shd w:val="clear" w:color="auto" w:fill="BEBFC0"/>
      </w:tcPr>
    </w:tblStylePr>
    <w:tblStylePr w:type="band2Horz">
      <w:tblPr/>
      <w:tcPr>
        <w:shd w:val="clear" w:color="auto" w:fill="DEDFDF"/>
      </w:tcPr>
    </w:tblStylePr>
  </w:style>
  <w:style w:type="paragraph" w:styleId="Date">
    <w:name w:val="Date"/>
    <w:basedOn w:val="Normal"/>
    <w:next w:val="Normal"/>
    <w:link w:val="DateChar"/>
    <w:uiPriority w:val="1"/>
    <w:semiHidden/>
    <w:rsid w:val="00E21690"/>
    <w:pPr>
      <w:spacing w:after="0"/>
      <w:jc w:val="both"/>
    </w:pPr>
    <w:rPr>
      <w:rFonts w:eastAsia="Times New Roman" w:cs="Arial"/>
      <w:noProof/>
      <w:lang w:eastAsia="en-AU"/>
    </w:rPr>
  </w:style>
  <w:style w:type="character" w:customStyle="1" w:styleId="DateChar">
    <w:name w:val="Date Char"/>
    <w:basedOn w:val="DefaultParagraphFont"/>
    <w:link w:val="Date"/>
    <w:uiPriority w:val="1"/>
    <w:semiHidden/>
    <w:rsid w:val="00E21690"/>
    <w:rPr>
      <w:rFonts w:eastAsia="Times New Roman" w:cs="Arial"/>
      <w:noProof/>
      <w:szCs w:val="24"/>
      <w:lang w:val="en-AU" w:eastAsia="en-AU"/>
    </w:rPr>
  </w:style>
  <w:style w:type="paragraph" w:styleId="ListNumber">
    <w:name w:val="List Number"/>
    <w:uiPriority w:val="2"/>
    <w:rsid w:val="00E21690"/>
    <w:pPr>
      <w:numPr>
        <w:numId w:val="15"/>
      </w:numPr>
      <w:spacing w:after="120"/>
      <w:contextualSpacing/>
    </w:pPr>
    <w:rPr>
      <w:rFonts w:eastAsia="Times New Roman" w:cs="Arial"/>
      <w:noProof/>
      <w:szCs w:val="24"/>
      <w:lang w:val="en-AU" w:eastAsia="en-AU"/>
    </w:rPr>
  </w:style>
  <w:style w:type="paragraph" w:styleId="ListNumber2">
    <w:name w:val="List Number 2"/>
    <w:basedOn w:val="Normal"/>
    <w:uiPriority w:val="1"/>
    <w:rsid w:val="00E21690"/>
    <w:pPr>
      <w:numPr>
        <w:ilvl w:val="1"/>
        <w:numId w:val="15"/>
      </w:numPr>
      <w:spacing w:after="120"/>
      <w:contextualSpacing/>
      <w:jc w:val="both"/>
    </w:pPr>
    <w:rPr>
      <w:rFonts w:eastAsia="Times New Roman" w:cs="Arial"/>
      <w:noProof/>
      <w:lang w:eastAsia="en-AU"/>
    </w:rPr>
  </w:style>
  <w:style w:type="paragraph" w:styleId="ListNumber3">
    <w:name w:val="List Number 3"/>
    <w:basedOn w:val="Normal"/>
    <w:uiPriority w:val="1"/>
    <w:rsid w:val="00E21690"/>
    <w:pPr>
      <w:numPr>
        <w:ilvl w:val="2"/>
        <w:numId w:val="15"/>
      </w:numPr>
      <w:spacing w:after="120"/>
      <w:contextualSpacing/>
      <w:jc w:val="both"/>
    </w:pPr>
    <w:rPr>
      <w:rFonts w:eastAsia="Times New Roman" w:cs="Arial"/>
      <w:noProof/>
      <w:lang w:eastAsia="en-AU"/>
    </w:rPr>
  </w:style>
  <w:style w:type="paragraph" w:styleId="Title">
    <w:name w:val="Title"/>
    <w:basedOn w:val="BodyText"/>
    <w:next w:val="Normal"/>
    <w:link w:val="TitleChar"/>
    <w:uiPriority w:val="12"/>
    <w:qFormat/>
    <w:rsid w:val="00E21690"/>
    <w:pPr>
      <w:framePr w:hSpace="181" w:wrap="around" w:vAnchor="page" w:hAnchor="page" w:y="3573"/>
      <w:spacing w:before="0" w:after="0"/>
    </w:pPr>
    <w:rPr>
      <w:color w:val="007CC2"/>
      <w:sz w:val="32"/>
    </w:rPr>
  </w:style>
  <w:style w:type="character" w:customStyle="1" w:styleId="TitleChar">
    <w:name w:val="Title Char"/>
    <w:basedOn w:val="DefaultParagraphFont"/>
    <w:link w:val="Title"/>
    <w:uiPriority w:val="12"/>
    <w:rsid w:val="00E21690"/>
    <w:rPr>
      <w:rFonts w:cs="Arial"/>
      <w:noProof/>
      <w:color w:val="007CC2"/>
      <w:sz w:val="32"/>
      <w:szCs w:val="24"/>
      <w:lang w:val="en-AU"/>
    </w:rPr>
  </w:style>
  <w:style w:type="paragraph" w:styleId="Subtitle">
    <w:name w:val="Subtitle"/>
    <w:basedOn w:val="Heading1"/>
    <w:next w:val="BodyText"/>
    <w:link w:val="SubtitleChar"/>
    <w:uiPriority w:val="99"/>
    <w:rsid w:val="00E21690"/>
    <w:pPr>
      <w:spacing w:before="360" w:after="360"/>
    </w:pPr>
    <w:rPr>
      <w:rFonts w:ascii="Arial" w:eastAsia="Cambria" w:hAnsi="Arial" w:cs="Times New Roman"/>
      <w:b w:val="0"/>
      <w:bCs w:val="0"/>
      <w:noProof/>
      <w:color w:val="5F6062"/>
      <w:kern w:val="0"/>
      <w:szCs w:val="24"/>
    </w:rPr>
  </w:style>
  <w:style w:type="character" w:customStyle="1" w:styleId="SubtitleChar">
    <w:name w:val="Subtitle Char"/>
    <w:basedOn w:val="DefaultParagraphFont"/>
    <w:link w:val="Subtitle"/>
    <w:uiPriority w:val="99"/>
    <w:rsid w:val="00E21690"/>
    <w:rPr>
      <w:noProof/>
      <w:color w:val="5F6062"/>
      <w:sz w:val="32"/>
      <w:szCs w:val="24"/>
      <w:lang w:val="en-AU"/>
    </w:rPr>
  </w:style>
  <w:style w:type="character" w:styleId="PlaceholderText">
    <w:name w:val="Placeholder Text"/>
    <w:basedOn w:val="DefaultParagraphFont"/>
    <w:uiPriority w:val="1"/>
    <w:unhideWhenUsed/>
    <w:rsid w:val="00E21690"/>
    <w:rPr>
      <w:color w:val="808080"/>
    </w:rPr>
  </w:style>
  <w:style w:type="paragraph" w:customStyle="1" w:styleId="BodyTextBullets2">
    <w:name w:val="Body Text Bullets 2"/>
    <w:basedOn w:val="BodyTextBullets"/>
    <w:qFormat/>
    <w:rsid w:val="00E21690"/>
    <w:pPr>
      <w:numPr>
        <w:ilvl w:val="1"/>
      </w:numPr>
    </w:pPr>
  </w:style>
  <w:style w:type="paragraph" w:customStyle="1" w:styleId="BodyTextBullets3">
    <w:name w:val="Body Text Bullets 3"/>
    <w:basedOn w:val="BodyTextBullets"/>
    <w:qFormat/>
    <w:rsid w:val="00E21690"/>
    <w:pPr>
      <w:numPr>
        <w:ilvl w:val="2"/>
      </w:numPr>
    </w:pPr>
  </w:style>
  <w:style w:type="paragraph" w:customStyle="1" w:styleId="ListBullet1a">
    <w:name w:val="List Bullet 1a"/>
    <w:qFormat/>
    <w:rsid w:val="00E21690"/>
    <w:pPr>
      <w:numPr>
        <w:numId w:val="16"/>
      </w:numPr>
      <w:spacing w:after="120"/>
      <w:contextualSpacing/>
    </w:pPr>
    <w:rPr>
      <w:rFonts w:cs="Arial"/>
      <w:noProof/>
      <w:szCs w:val="24"/>
      <w:lang w:val="en-AU"/>
    </w:rPr>
  </w:style>
  <w:style w:type="paragraph" w:customStyle="1" w:styleId="ListBullet1b">
    <w:name w:val="List Bullet 1b"/>
    <w:qFormat/>
    <w:rsid w:val="00E21690"/>
    <w:pPr>
      <w:numPr>
        <w:ilvl w:val="3"/>
        <w:numId w:val="16"/>
      </w:numPr>
      <w:spacing w:after="120"/>
      <w:ind w:left="1106" w:hanging="369"/>
      <w:contextualSpacing/>
    </w:pPr>
    <w:rPr>
      <w:rFonts w:cs="Arial"/>
      <w:noProof/>
      <w:szCs w:val="24"/>
      <w:lang w:val="en-AU"/>
    </w:rPr>
  </w:style>
  <w:style w:type="paragraph" w:customStyle="1" w:styleId="ListBullet1c">
    <w:name w:val="List Bullet 1c"/>
    <w:qFormat/>
    <w:rsid w:val="00E21690"/>
    <w:pPr>
      <w:numPr>
        <w:ilvl w:val="6"/>
        <w:numId w:val="16"/>
      </w:numPr>
      <w:spacing w:after="120"/>
      <w:ind w:left="1474"/>
      <w:contextualSpacing/>
    </w:pPr>
    <w:rPr>
      <w:rFonts w:cs="Arial"/>
      <w:noProof/>
      <w:szCs w:val="24"/>
      <w:lang w:val="en-AU"/>
    </w:rPr>
  </w:style>
  <w:style w:type="paragraph" w:customStyle="1" w:styleId="StyleAHPRAtableheadingBackground1">
    <w:name w:val="Style AHPRA table heading + Background 1"/>
    <w:basedOn w:val="AHPRAtableheading"/>
    <w:rsid w:val="00E21690"/>
    <w:rPr>
      <w:bCs/>
    </w:rPr>
  </w:style>
  <w:style w:type="paragraph" w:customStyle="1" w:styleId="StyleAHPRADocumenttitleAfter0pt">
    <w:name w:val="Style AHPRA Document title + After:  0 pt"/>
    <w:basedOn w:val="AHPRADocumenttitle"/>
    <w:next w:val="AHPRAbody"/>
    <w:rsid w:val="00E21690"/>
    <w:rPr>
      <w:rFonts w:eastAsia="Times New Roman" w:cs="Times New Roman"/>
      <w:szCs w:val="20"/>
    </w:rPr>
  </w:style>
  <w:style w:type="paragraph" w:styleId="TOC7">
    <w:name w:val="toc 7"/>
    <w:basedOn w:val="Normal"/>
    <w:next w:val="Normal"/>
    <w:autoRedefine/>
    <w:uiPriority w:val="1"/>
    <w:semiHidden/>
    <w:unhideWhenUsed/>
    <w:rsid w:val="00B1443A"/>
    <w:pPr>
      <w:spacing w:after="100"/>
      <w:ind w:left="1200"/>
    </w:pPr>
  </w:style>
  <w:style w:type="paragraph" w:customStyle="1" w:styleId="AHPRABody0">
    <w:name w:val="AHPRA Body"/>
    <w:basedOn w:val="Normal"/>
    <w:qFormat/>
    <w:rsid w:val="00832A0E"/>
    <w:rPr>
      <w:rFonts w:cs="Arial"/>
      <w:szCs w:val="20"/>
    </w:rPr>
  </w:style>
  <w:style w:type="character" w:styleId="UnresolvedMention">
    <w:name w:val="Unresolved Mention"/>
    <w:basedOn w:val="DefaultParagraphFont"/>
    <w:uiPriority w:val="99"/>
    <w:semiHidden/>
    <w:unhideWhenUsed/>
    <w:rsid w:val="00854F13"/>
    <w:rPr>
      <w:color w:val="605E5C"/>
      <w:shd w:val="clear" w:color="auto" w:fill="E1DFDD"/>
    </w:rPr>
  </w:style>
  <w:style w:type="paragraph" w:customStyle="1" w:styleId="AHPRAbodyContextparanumbered">
    <w:name w:val="AHPRA body 'Context' para numbered"/>
    <w:basedOn w:val="AHPRAbody"/>
    <w:uiPriority w:val="1"/>
    <w:qFormat/>
    <w:rsid w:val="00A928CD"/>
    <w:pPr>
      <w:numPr>
        <w:numId w:val="21"/>
      </w:numPr>
      <w:ind w:left="0" w:hanging="425"/>
    </w:pPr>
  </w:style>
  <w:style w:type="paragraph" w:customStyle="1" w:styleId="AHPRASubhead">
    <w:name w:val="AHPRA Subhead"/>
    <w:basedOn w:val="Normal"/>
    <w:qFormat/>
    <w:rsid w:val="00A928CD"/>
    <w:rPr>
      <w:rFonts w:eastAsiaTheme="minorHAnsi" w:cstheme="minorBidi"/>
      <w:b/>
      <w:color w:val="008EC4"/>
      <w:szCs w:val="20"/>
    </w:rPr>
  </w:style>
  <w:style w:type="paragraph" w:styleId="EndnoteText">
    <w:name w:val="endnote text"/>
    <w:basedOn w:val="Normal"/>
    <w:link w:val="EndnoteTextChar"/>
    <w:uiPriority w:val="1"/>
    <w:unhideWhenUsed/>
    <w:rsid w:val="00A928CD"/>
    <w:pPr>
      <w:spacing w:after="0"/>
    </w:pPr>
    <w:rPr>
      <w:szCs w:val="20"/>
    </w:rPr>
  </w:style>
  <w:style w:type="character" w:customStyle="1" w:styleId="EndnoteTextChar">
    <w:name w:val="Endnote Text Char"/>
    <w:basedOn w:val="DefaultParagraphFont"/>
    <w:link w:val="EndnoteText"/>
    <w:uiPriority w:val="1"/>
    <w:rsid w:val="00A928CD"/>
    <w:rPr>
      <w:lang w:val="en-AU"/>
    </w:rPr>
  </w:style>
  <w:style w:type="character" w:styleId="EndnoteReference">
    <w:name w:val="endnote reference"/>
    <w:basedOn w:val="DefaultParagraphFont"/>
    <w:uiPriority w:val="1"/>
    <w:semiHidden/>
    <w:unhideWhenUsed/>
    <w:rsid w:val="00A928CD"/>
    <w:rPr>
      <w:vertAlign w:val="superscript"/>
    </w:rPr>
  </w:style>
  <w:style w:type="character" w:customStyle="1" w:styleId="AHPRASubheadingChar">
    <w:name w:val="AHPRA Subheading Char"/>
    <w:basedOn w:val="DefaultParagraphFont"/>
    <w:link w:val="AHPRASubheading"/>
    <w:rsid w:val="00A928CD"/>
    <w:rPr>
      <w:b/>
      <w:color w:val="007DC3"/>
      <w:szCs w:val="24"/>
      <w:lang w:val="en-AU"/>
    </w:rPr>
  </w:style>
  <w:style w:type="paragraph" w:styleId="TOC4">
    <w:name w:val="toc 4"/>
    <w:basedOn w:val="Normal"/>
    <w:next w:val="Normal"/>
    <w:autoRedefine/>
    <w:uiPriority w:val="39"/>
    <w:unhideWhenUsed/>
    <w:rsid w:val="002C2F82"/>
    <w:pPr>
      <w:spacing w:after="100"/>
      <w:ind w:left="600"/>
    </w:pPr>
  </w:style>
  <w:style w:type="character" w:styleId="CommentReference">
    <w:name w:val="annotation reference"/>
    <w:basedOn w:val="DefaultParagraphFont"/>
    <w:uiPriority w:val="1"/>
    <w:semiHidden/>
    <w:unhideWhenUsed/>
    <w:rsid w:val="005E3FA6"/>
    <w:rPr>
      <w:sz w:val="16"/>
      <w:szCs w:val="16"/>
    </w:rPr>
  </w:style>
  <w:style w:type="paragraph" w:styleId="CommentText">
    <w:name w:val="annotation text"/>
    <w:basedOn w:val="Normal"/>
    <w:link w:val="CommentTextChar"/>
    <w:uiPriority w:val="1"/>
    <w:semiHidden/>
    <w:unhideWhenUsed/>
    <w:rsid w:val="005E3FA6"/>
    <w:rPr>
      <w:szCs w:val="20"/>
    </w:rPr>
  </w:style>
  <w:style w:type="character" w:customStyle="1" w:styleId="CommentTextChar">
    <w:name w:val="Comment Text Char"/>
    <w:basedOn w:val="DefaultParagraphFont"/>
    <w:link w:val="CommentText"/>
    <w:uiPriority w:val="1"/>
    <w:semiHidden/>
    <w:rsid w:val="005E3FA6"/>
    <w:rPr>
      <w:lang w:val="en-AU"/>
    </w:rPr>
  </w:style>
  <w:style w:type="paragraph" w:styleId="CommentSubject">
    <w:name w:val="annotation subject"/>
    <w:basedOn w:val="CommentText"/>
    <w:next w:val="CommentText"/>
    <w:link w:val="CommentSubjectChar"/>
    <w:uiPriority w:val="1"/>
    <w:semiHidden/>
    <w:unhideWhenUsed/>
    <w:rsid w:val="005E3FA6"/>
    <w:rPr>
      <w:b/>
      <w:bCs/>
    </w:rPr>
  </w:style>
  <w:style w:type="character" w:customStyle="1" w:styleId="CommentSubjectChar">
    <w:name w:val="Comment Subject Char"/>
    <w:basedOn w:val="CommentTextChar"/>
    <w:link w:val="CommentSubject"/>
    <w:uiPriority w:val="1"/>
    <w:semiHidden/>
    <w:rsid w:val="005E3FA6"/>
    <w:rPr>
      <w:b/>
      <w:bCs/>
      <w:lang w:val="en-AU"/>
    </w:rPr>
  </w:style>
  <w:style w:type="paragraph" w:customStyle="1" w:styleId="Bodytextbulletlist">
    <w:name w:val="Body text bullet list"/>
    <w:basedOn w:val="Normal"/>
    <w:uiPriority w:val="1"/>
    <w:qFormat/>
    <w:rsid w:val="00D8213D"/>
    <w:pPr>
      <w:numPr>
        <w:numId w:val="23"/>
      </w:numPr>
      <w:spacing w:after="0" w:line="260" w:lineRule="atLeast"/>
      <w:contextualSpacing/>
    </w:pPr>
    <w:rPr>
      <w:rFonts w:eastAsia="Times New Roman"/>
      <w:szCs w:val="20"/>
      <w:lang w:val="en-US"/>
    </w:rPr>
  </w:style>
  <w:style w:type="paragraph" w:customStyle="1" w:styleId="AHPRAnumberedbulletpoint">
    <w:name w:val="AHPRA numbered bullet point"/>
    <w:basedOn w:val="AHPRABulletlevel1"/>
    <w:link w:val="AHPRAnumberedbulletpointChar"/>
    <w:rsid w:val="00B80C5D"/>
    <w:pPr>
      <w:numPr>
        <w:numId w:val="24"/>
      </w:numPr>
      <w:ind w:left="714" w:hanging="357"/>
    </w:pPr>
    <w:rPr>
      <w:lang w:val="en-US"/>
    </w:rPr>
  </w:style>
  <w:style w:type="character" w:customStyle="1" w:styleId="AHPRAnumberedbulletpointChar">
    <w:name w:val="AHPRA numbered bullet point Char"/>
    <w:link w:val="AHPRAnumberedbulletpoint"/>
    <w:rsid w:val="00B80C5D"/>
    <w:rPr>
      <w:szCs w:val="24"/>
    </w:rPr>
  </w:style>
  <w:style w:type="table" w:styleId="GridTable1Light-Accent2">
    <w:name w:val="Grid Table 1 Light Accent 2"/>
    <w:basedOn w:val="TableNormal"/>
    <w:uiPriority w:val="46"/>
    <w:rsid w:val="00553E57"/>
    <w:rPr>
      <w:rFonts w:eastAsiaTheme="minorHAnsi" w:cstheme="minorBidi"/>
      <w:szCs w:val="22"/>
    </w:rPr>
    <w:tblPr>
      <w:tblStyleRowBandSize w:val="1"/>
      <w:tblStyleColBandSize w:val="1"/>
      <w:tblInd w:w="0" w:type="nil"/>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tblStylePr w:type="band1Horz">
      <w:tblPr/>
      <w:tcPr>
        <w:shd w:val="clear" w:color="auto" w:fill="E5F7FF"/>
      </w:tcPr>
    </w:tblStylePr>
  </w:style>
  <w:style w:type="numbering" w:customStyle="1" w:styleId="StyleZ">
    <w:name w:val="StyleZ"/>
    <w:uiPriority w:val="99"/>
    <w:rsid w:val="0031741D"/>
    <w:pPr>
      <w:numPr>
        <w:numId w:val="30"/>
      </w:numPr>
    </w:pPr>
  </w:style>
  <w:style w:type="paragraph" w:styleId="Revision">
    <w:name w:val="Revision"/>
    <w:hidden/>
    <w:semiHidden/>
    <w:rsid w:val="00A85275"/>
    <w:rPr>
      <w:szCs w:val="24"/>
      <w:lang w:val="en-AU"/>
    </w:rPr>
  </w:style>
  <w:style w:type="paragraph" w:styleId="Bibliography">
    <w:name w:val="Bibliography"/>
    <w:basedOn w:val="Normal"/>
    <w:next w:val="Normal"/>
    <w:uiPriority w:val="99"/>
    <w:semiHidden/>
    <w:unhideWhenUsed/>
    <w:rsid w:val="00867755"/>
  </w:style>
  <w:style w:type="paragraph" w:styleId="BlockText">
    <w:name w:val="Block Text"/>
    <w:basedOn w:val="Normal"/>
    <w:uiPriority w:val="99"/>
    <w:semiHidden/>
    <w:unhideWhenUsed/>
    <w:rsid w:val="0086775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867755"/>
    <w:pPr>
      <w:spacing w:after="120" w:line="480" w:lineRule="auto"/>
    </w:pPr>
  </w:style>
  <w:style w:type="character" w:customStyle="1" w:styleId="BodyText2Char">
    <w:name w:val="Body Text 2 Char"/>
    <w:basedOn w:val="DefaultParagraphFont"/>
    <w:link w:val="BodyText2"/>
    <w:uiPriority w:val="99"/>
    <w:semiHidden/>
    <w:rsid w:val="00867755"/>
    <w:rPr>
      <w:szCs w:val="24"/>
      <w:lang w:val="en-AU"/>
    </w:rPr>
  </w:style>
  <w:style w:type="paragraph" w:styleId="BodyText3">
    <w:name w:val="Body Text 3"/>
    <w:basedOn w:val="Normal"/>
    <w:link w:val="BodyText3Char"/>
    <w:uiPriority w:val="99"/>
    <w:semiHidden/>
    <w:unhideWhenUsed/>
    <w:rsid w:val="00867755"/>
    <w:pPr>
      <w:spacing w:after="120"/>
    </w:pPr>
    <w:rPr>
      <w:sz w:val="16"/>
      <w:szCs w:val="16"/>
    </w:rPr>
  </w:style>
  <w:style w:type="character" w:customStyle="1" w:styleId="BodyText3Char">
    <w:name w:val="Body Text 3 Char"/>
    <w:basedOn w:val="DefaultParagraphFont"/>
    <w:link w:val="BodyText3"/>
    <w:uiPriority w:val="99"/>
    <w:semiHidden/>
    <w:rsid w:val="00867755"/>
    <w:rPr>
      <w:sz w:val="16"/>
      <w:szCs w:val="16"/>
      <w:lang w:val="en-AU"/>
    </w:rPr>
  </w:style>
  <w:style w:type="paragraph" w:styleId="BodyTextFirstIndent">
    <w:name w:val="Body Text First Indent"/>
    <w:basedOn w:val="BodyText"/>
    <w:link w:val="BodyTextFirstIndentChar"/>
    <w:uiPriority w:val="99"/>
    <w:semiHidden/>
    <w:unhideWhenUsed/>
    <w:rsid w:val="00867755"/>
    <w:pPr>
      <w:spacing w:before="0"/>
      <w:ind w:firstLine="360"/>
    </w:pPr>
    <w:rPr>
      <w:rFonts w:cs="Times New Roman"/>
      <w:noProof w:val="0"/>
    </w:rPr>
  </w:style>
  <w:style w:type="character" w:customStyle="1" w:styleId="BodyTextFirstIndentChar">
    <w:name w:val="Body Text First Indent Char"/>
    <w:basedOn w:val="BodyTextChar"/>
    <w:link w:val="BodyTextFirstIndent"/>
    <w:uiPriority w:val="99"/>
    <w:semiHidden/>
    <w:rsid w:val="00867755"/>
    <w:rPr>
      <w:rFonts w:cs="Arial"/>
      <w:noProof/>
      <w:szCs w:val="24"/>
      <w:lang w:val="en-AU"/>
    </w:rPr>
  </w:style>
  <w:style w:type="paragraph" w:styleId="BodyTextIndent">
    <w:name w:val="Body Text Indent"/>
    <w:basedOn w:val="Normal"/>
    <w:link w:val="BodyTextIndentChar"/>
    <w:uiPriority w:val="99"/>
    <w:semiHidden/>
    <w:unhideWhenUsed/>
    <w:rsid w:val="00867755"/>
    <w:pPr>
      <w:spacing w:after="120"/>
      <w:ind w:left="283"/>
    </w:pPr>
  </w:style>
  <w:style w:type="character" w:customStyle="1" w:styleId="BodyTextIndentChar">
    <w:name w:val="Body Text Indent Char"/>
    <w:basedOn w:val="DefaultParagraphFont"/>
    <w:link w:val="BodyTextIndent"/>
    <w:uiPriority w:val="99"/>
    <w:semiHidden/>
    <w:rsid w:val="00867755"/>
    <w:rPr>
      <w:szCs w:val="24"/>
      <w:lang w:val="en-AU"/>
    </w:rPr>
  </w:style>
  <w:style w:type="paragraph" w:styleId="BodyTextFirstIndent2">
    <w:name w:val="Body Text First Indent 2"/>
    <w:basedOn w:val="BodyTextIndent"/>
    <w:link w:val="BodyTextFirstIndent2Char"/>
    <w:uiPriority w:val="99"/>
    <w:semiHidden/>
    <w:unhideWhenUsed/>
    <w:rsid w:val="0086775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67755"/>
    <w:rPr>
      <w:szCs w:val="24"/>
      <w:lang w:val="en-AU"/>
    </w:rPr>
  </w:style>
  <w:style w:type="paragraph" w:styleId="BodyTextIndent2">
    <w:name w:val="Body Text Indent 2"/>
    <w:basedOn w:val="Normal"/>
    <w:link w:val="BodyTextIndent2Char"/>
    <w:uiPriority w:val="99"/>
    <w:semiHidden/>
    <w:unhideWhenUsed/>
    <w:rsid w:val="00867755"/>
    <w:pPr>
      <w:spacing w:after="120" w:line="480" w:lineRule="auto"/>
      <w:ind w:left="283"/>
    </w:pPr>
  </w:style>
  <w:style w:type="character" w:customStyle="1" w:styleId="BodyTextIndent2Char">
    <w:name w:val="Body Text Indent 2 Char"/>
    <w:basedOn w:val="DefaultParagraphFont"/>
    <w:link w:val="BodyTextIndent2"/>
    <w:uiPriority w:val="99"/>
    <w:semiHidden/>
    <w:rsid w:val="00867755"/>
    <w:rPr>
      <w:szCs w:val="24"/>
      <w:lang w:val="en-AU"/>
    </w:rPr>
  </w:style>
  <w:style w:type="paragraph" w:styleId="BodyTextIndent3">
    <w:name w:val="Body Text Indent 3"/>
    <w:basedOn w:val="Normal"/>
    <w:link w:val="BodyTextIndent3Char"/>
    <w:uiPriority w:val="99"/>
    <w:semiHidden/>
    <w:unhideWhenUsed/>
    <w:rsid w:val="008677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7755"/>
    <w:rPr>
      <w:sz w:val="16"/>
      <w:szCs w:val="16"/>
      <w:lang w:val="en-AU"/>
    </w:rPr>
  </w:style>
  <w:style w:type="paragraph" w:styleId="Caption">
    <w:name w:val="caption"/>
    <w:basedOn w:val="Normal"/>
    <w:next w:val="Normal"/>
    <w:uiPriority w:val="1"/>
    <w:semiHidden/>
    <w:unhideWhenUsed/>
    <w:qFormat/>
    <w:rsid w:val="00867755"/>
    <w:rPr>
      <w:i/>
      <w:iCs/>
      <w:color w:val="1F497D" w:themeColor="text2"/>
      <w:sz w:val="18"/>
      <w:szCs w:val="18"/>
    </w:rPr>
  </w:style>
  <w:style w:type="paragraph" w:styleId="Closing">
    <w:name w:val="Closing"/>
    <w:basedOn w:val="Normal"/>
    <w:link w:val="ClosingChar"/>
    <w:uiPriority w:val="99"/>
    <w:semiHidden/>
    <w:unhideWhenUsed/>
    <w:rsid w:val="00867755"/>
    <w:pPr>
      <w:spacing w:after="0"/>
      <w:ind w:left="4252"/>
    </w:pPr>
  </w:style>
  <w:style w:type="character" w:customStyle="1" w:styleId="ClosingChar">
    <w:name w:val="Closing Char"/>
    <w:basedOn w:val="DefaultParagraphFont"/>
    <w:link w:val="Closing"/>
    <w:uiPriority w:val="99"/>
    <w:semiHidden/>
    <w:rsid w:val="00867755"/>
    <w:rPr>
      <w:szCs w:val="24"/>
      <w:lang w:val="en-AU"/>
    </w:rPr>
  </w:style>
  <w:style w:type="paragraph" w:styleId="E-mailSignature">
    <w:name w:val="E-mail Signature"/>
    <w:basedOn w:val="Normal"/>
    <w:link w:val="E-mailSignatureChar"/>
    <w:uiPriority w:val="1"/>
    <w:semiHidden/>
    <w:unhideWhenUsed/>
    <w:rsid w:val="00867755"/>
    <w:pPr>
      <w:spacing w:after="0"/>
    </w:pPr>
  </w:style>
  <w:style w:type="character" w:customStyle="1" w:styleId="E-mailSignatureChar">
    <w:name w:val="E-mail Signature Char"/>
    <w:basedOn w:val="DefaultParagraphFont"/>
    <w:link w:val="E-mailSignature"/>
    <w:uiPriority w:val="1"/>
    <w:semiHidden/>
    <w:rsid w:val="00867755"/>
    <w:rPr>
      <w:szCs w:val="24"/>
      <w:lang w:val="en-AU"/>
    </w:rPr>
  </w:style>
  <w:style w:type="paragraph" w:styleId="EnvelopeAddress">
    <w:name w:val="envelope address"/>
    <w:basedOn w:val="Normal"/>
    <w:uiPriority w:val="1"/>
    <w:semiHidden/>
    <w:unhideWhenUsed/>
    <w:rsid w:val="00867755"/>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1"/>
    <w:semiHidden/>
    <w:unhideWhenUsed/>
    <w:rsid w:val="00867755"/>
    <w:pPr>
      <w:spacing w:after="0"/>
    </w:pPr>
    <w:rPr>
      <w:rFonts w:asciiTheme="majorHAnsi" w:eastAsiaTheme="majorEastAsia" w:hAnsiTheme="majorHAnsi" w:cstheme="majorBidi"/>
      <w:szCs w:val="20"/>
    </w:rPr>
  </w:style>
  <w:style w:type="character" w:customStyle="1" w:styleId="Heading4Char">
    <w:name w:val="Heading 4 Char"/>
    <w:basedOn w:val="DefaultParagraphFont"/>
    <w:link w:val="Heading4"/>
    <w:uiPriority w:val="1"/>
    <w:semiHidden/>
    <w:rsid w:val="00867755"/>
    <w:rPr>
      <w:rFonts w:asciiTheme="majorHAnsi" w:eastAsiaTheme="majorEastAsia" w:hAnsiTheme="majorHAnsi" w:cstheme="majorBidi"/>
      <w:i/>
      <w:iCs/>
      <w:color w:val="365F91" w:themeColor="accent1" w:themeShade="BF"/>
      <w:szCs w:val="24"/>
      <w:lang w:val="en-AU"/>
    </w:rPr>
  </w:style>
  <w:style w:type="character" w:customStyle="1" w:styleId="Heading5Char">
    <w:name w:val="Heading 5 Char"/>
    <w:basedOn w:val="DefaultParagraphFont"/>
    <w:link w:val="Heading5"/>
    <w:uiPriority w:val="1"/>
    <w:semiHidden/>
    <w:rsid w:val="00867755"/>
    <w:rPr>
      <w:rFonts w:asciiTheme="majorHAnsi" w:eastAsiaTheme="majorEastAsia" w:hAnsiTheme="majorHAnsi" w:cstheme="majorBidi"/>
      <w:color w:val="365F91" w:themeColor="accent1" w:themeShade="BF"/>
      <w:szCs w:val="24"/>
      <w:lang w:val="en-AU"/>
    </w:rPr>
  </w:style>
  <w:style w:type="character" w:customStyle="1" w:styleId="Heading6Char">
    <w:name w:val="Heading 6 Char"/>
    <w:basedOn w:val="DefaultParagraphFont"/>
    <w:link w:val="Heading6"/>
    <w:uiPriority w:val="1"/>
    <w:semiHidden/>
    <w:rsid w:val="00867755"/>
    <w:rPr>
      <w:rFonts w:asciiTheme="majorHAnsi" w:eastAsiaTheme="majorEastAsia" w:hAnsiTheme="majorHAnsi" w:cstheme="majorBidi"/>
      <w:color w:val="243F60" w:themeColor="accent1" w:themeShade="7F"/>
      <w:szCs w:val="24"/>
      <w:lang w:val="en-AU"/>
    </w:rPr>
  </w:style>
  <w:style w:type="character" w:customStyle="1" w:styleId="Heading7Char">
    <w:name w:val="Heading 7 Char"/>
    <w:basedOn w:val="DefaultParagraphFont"/>
    <w:link w:val="Heading7"/>
    <w:uiPriority w:val="1"/>
    <w:semiHidden/>
    <w:rsid w:val="00867755"/>
    <w:rPr>
      <w:rFonts w:asciiTheme="majorHAnsi" w:eastAsiaTheme="majorEastAsia" w:hAnsiTheme="majorHAnsi" w:cstheme="majorBidi"/>
      <w:i/>
      <w:iCs/>
      <w:color w:val="243F60" w:themeColor="accent1" w:themeShade="7F"/>
      <w:szCs w:val="24"/>
      <w:lang w:val="en-AU"/>
    </w:rPr>
  </w:style>
  <w:style w:type="character" w:customStyle="1" w:styleId="Heading8Char">
    <w:name w:val="Heading 8 Char"/>
    <w:basedOn w:val="DefaultParagraphFont"/>
    <w:link w:val="Heading8"/>
    <w:uiPriority w:val="1"/>
    <w:semiHidden/>
    <w:rsid w:val="00867755"/>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1"/>
    <w:semiHidden/>
    <w:rsid w:val="00867755"/>
    <w:rPr>
      <w:rFonts w:asciiTheme="majorHAnsi" w:eastAsiaTheme="majorEastAsia" w:hAnsiTheme="majorHAnsi" w:cstheme="majorBidi"/>
      <w:i/>
      <w:iCs/>
      <w:color w:val="272727" w:themeColor="text1" w:themeTint="D8"/>
      <w:sz w:val="21"/>
      <w:szCs w:val="21"/>
      <w:lang w:val="en-AU"/>
    </w:rPr>
  </w:style>
  <w:style w:type="paragraph" w:styleId="HTMLAddress">
    <w:name w:val="HTML Address"/>
    <w:basedOn w:val="Normal"/>
    <w:link w:val="HTMLAddressChar"/>
    <w:uiPriority w:val="1"/>
    <w:semiHidden/>
    <w:unhideWhenUsed/>
    <w:rsid w:val="00867755"/>
    <w:pPr>
      <w:spacing w:after="0"/>
    </w:pPr>
    <w:rPr>
      <w:i/>
      <w:iCs/>
    </w:rPr>
  </w:style>
  <w:style w:type="character" w:customStyle="1" w:styleId="HTMLAddressChar">
    <w:name w:val="HTML Address Char"/>
    <w:basedOn w:val="DefaultParagraphFont"/>
    <w:link w:val="HTMLAddress"/>
    <w:uiPriority w:val="1"/>
    <w:semiHidden/>
    <w:rsid w:val="00867755"/>
    <w:rPr>
      <w:i/>
      <w:iCs/>
      <w:szCs w:val="24"/>
      <w:lang w:val="en-AU"/>
    </w:rPr>
  </w:style>
  <w:style w:type="paragraph" w:styleId="HTMLPreformatted">
    <w:name w:val="HTML Preformatted"/>
    <w:basedOn w:val="Normal"/>
    <w:link w:val="HTMLPreformattedChar"/>
    <w:uiPriority w:val="1"/>
    <w:semiHidden/>
    <w:unhideWhenUsed/>
    <w:rsid w:val="00867755"/>
    <w:pPr>
      <w:spacing w:after="0"/>
    </w:pPr>
    <w:rPr>
      <w:rFonts w:ascii="Consolas" w:hAnsi="Consolas"/>
      <w:szCs w:val="20"/>
    </w:rPr>
  </w:style>
  <w:style w:type="character" w:customStyle="1" w:styleId="HTMLPreformattedChar">
    <w:name w:val="HTML Preformatted Char"/>
    <w:basedOn w:val="DefaultParagraphFont"/>
    <w:link w:val="HTMLPreformatted"/>
    <w:uiPriority w:val="1"/>
    <w:semiHidden/>
    <w:rsid w:val="00867755"/>
    <w:rPr>
      <w:rFonts w:ascii="Consolas" w:hAnsi="Consolas"/>
      <w:lang w:val="en-AU"/>
    </w:rPr>
  </w:style>
  <w:style w:type="paragraph" w:styleId="Index1">
    <w:name w:val="index 1"/>
    <w:basedOn w:val="Normal"/>
    <w:next w:val="Normal"/>
    <w:autoRedefine/>
    <w:uiPriority w:val="1"/>
    <w:semiHidden/>
    <w:unhideWhenUsed/>
    <w:rsid w:val="00867755"/>
    <w:pPr>
      <w:spacing w:after="0"/>
      <w:ind w:left="200" w:hanging="200"/>
    </w:pPr>
  </w:style>
  <w:style w:type="paragraph" w:styleId="Index2">
    <w:name w:val="index 2"/>
    <w:basedOn w:val="Normal"/>
    <w:next w:val="Normal"/>
    <w:autoRedefine/>
    <w:uiPriority w:val="1"/>
    <w:semiHidden/>
    <w:unhideWhenUsed/>
    <w:rsid w:val="00867755"/>
    <w:pPr>
      <w:spacing w:after="0"/>
      <w:ind w:left="400" w:hanging="200"/>
    </w:pPr>
  </w:style>
  <w:style w:type="paragraph" w:styleId="Index3">
    <w:name w:val="index 3"/>
    <w:basedOn w:val="Normal"/>
    <w:next w:val="Normal"/>
    <w:autoRedefine/>
    <w:uiPriority w:val="1"/>
    <w:semiHidden/>
    <w:unhideWhenUsed/>
    <w:rsid w:val="00867755"/>
    <w:pPr>
      <w:spacing w:after="0"/>
      <w:ind w:left="600" w:hanging="200"/>
    </w:pPr>
  </w:style>
  <w:style w:type="paragraph" w:styleId="Index4">
    <w:name w:val="index 4"/>
    <w:basedOn w:val="Normal"/>
    <w:next w:val="Normal"/>
    <w:autoRedefine/>
    <w:uiPriority w:val="1"/>
    <w:semiHidden/>
    <w:unhideWhenUsed/>
    <w:rsid w:val="00867755"/>
    <w:pPr>
      <w:spacing w:after="0"/>
      <w:ind w:left="800" w:hanging="200"/>
    </w:pPr>
  </w:style>
  <w:style w:type="paragraph" w:styleId="Index5">
    <w:name w:val="index 5"/>
    <w:basedOn w:val="Normal"/>
    <w:next w:val="Normal"/>
    <w:autoRedefine/>
    <w:uiPriority w:val="1"/>
    <w:semiHidden/>
    <w:unhideWhenUsed/>
    <w:rsid w:val="00867755"/>
    <w:pPr>
      <w:spacing w:after="0"/>
      <w:ind w:left="1000" w:hanging="200"/>
    </w:pPr>
  </w:style>
  <w:style w:type="paragraph" w:styleId="Index6">
    <w:name w:val="index 6"/>
    <w:basedOn w:val="Normal"/>
    <w:next w:val="Normal"/>
    <w:autoRedefine/>
    <w:uiPriority w:val="1"/>
    <w:semiHidden/>
    <w:unhideWhenUsed/>
    <w:rsid w:val="00867755"/>
    <w:pPr>
      <w:spacing w:after="0"/>
      <w:ind w:left="1200" w:hanging="200"/>
    </w:pPr>
  </w:style>
  <w:style w:type="paragraph" w:styleId="Index7">
    <w:name w:val="index 7"/>
    <w:basedOn w:val="Normal"/>
    <w:next w:val="Normal"/>
    <w:autoRedefine/>
    <w:uiPriority w:val="1"/>
    <w:semiHidden/>
    <w:unhideWhenUsed/>
    <w:rsid w:val="00867755"/>
    <w:pPr>
      <w:spacing w:after="0"/>
      <w:ind w:left="1400" w:hanging="200"/>
    </w:pPr>
  </w:style>
  <w:style w:type="paragraph" w:styleId="Index8">
    <w:name w:val="index 8"/>
    <w:basedOn w:val="Normal"/>
    <w:next w:val="Normal"/>
    <w:autoRedefine/>
    <w:uiPriority w:val="1"/>
    <w:semiHidden/>
    <w:unhideWhenUsed/>
    <w:rsid w:val="00867755"/>
    <w:pPr>
      <w:spacing w:after="0"/>
      <w:ind w:left="1600" w:hanging="200"/>
    </w:pPr>
  </w:style>
  <w:style w:type="paragraph" w:styleId="Index9">
    <w:name w:val="index 9"/>
    <w:basedOn w:val="Normal"/>
    <w:next w:val="Normal"/>
    <w:autoRedefine/>
    <w:uiPriority w:val="1"/>
    <w:semiHidden/>
    <w:unhideWhenUsed/>
    <w:rsid w:val="00867755"/>
    <w:pPr>
      <w:spacing w:after="0"/>
      <w:ind w:left="1800" w:hanging="200"/>
    </w:pPr>
  </w:style>
  <w:style w:type="paragraph" w:styleId="IndexHeading">
    <w:name w:val="index heading"/>
    <w:basedOn w:val="Normal"/>
    <w:next w:val="Index1"/>
    <w:uiPriority w:val="1"/>
    <w:semiHidden/>
    <w:unhideWhenUsed/>
    <w:rsid w:val="00867755"/>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unhideWhenUsed/>
    <w:rsid w:val="0086775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1"/>
    <w:semiHidden/>
    <w:rsid w:val="00867755"/>
    <w:rPr>
      <w:i/>
      <w:iCs/>
      <w:color w:val="4F81BD" w:themeColor="accent1"/>
      <w:szCs w:val="24"/>
      <w:lang w:val="en-AU"/>
    </w:rPr>
  </w:style>
  <w:style w:type="paragraph" w:styleId="List">
    <w:name w:val="List"/>
    <w:basedOn w:val="Normal"/>
    <w:uiPriority w:val="1"/>
    <w:semiHidden/>
    <w:unhideWhenUsed/>
    <w:rsid w:val="00867755"/>
    <w:pPr>
      <w:ind w:left="283" w:hanging="283"/>
      <w:contextualSpacing/>
    </w:pPr>
  </w:style>
  <w:style w:type="paragraph" w:styleId="List2">
    <w:name w:val="List 2"/>
    <w:basedOn w:val="Normal"/>
    <w:uiPriority w:val="1"/>
    <w:semiHidden/>
    <w:unhideWhenUsed/>
    <w:rsid w:val="00867755"/>
    <w:pPr>
      <w:ind w:left="566" w:hanging="283"/>
      <w:contextualSpacing/>
    </w:pPr>
  </w:style>
  <w:style w:type="paragraph" w:styleId="List3">
    <w:name w:val="List 3"/>
    <w:basedOn w:val="Normal"/>
    <w:uiPriority w:val="1"/>
    <w:semiHidden/>
    <w:unhideWhenUsed/>
    <w:rsid w:val="00867755"/>
    <w:pPr>
      <w:ind w:left="849" w:hanging="283"/>
      <w:contextualSpacing/>
    </w:pPr>
  </w:style>
  <w:style w:type="paragraph" w:styleId="List4">
    <w:name w:val="List 4"/>
    <w:basedOn w:val="Normal"/>
    <w:uiPriority w:val="1"/>
    <w:semiHidden/>
    <w:unhideWhenUsed/>
    <w:rsid w:val="00867755"/>
    <w:pPr>
      <w:ind w:left="1132" w:hanging="283"/>
      <w:contextualSpacing/>
    </w:pPr>
  </w:style>
  <w:style w:type="paragraph" w:styleId="List5">
    <w:name w:val="List 5"/>
    <w:basedOn w:val="Normal"/>
    <w:uiPriority w:val="1"/>
    <w:semiHidden/>
    <w:unhideWhenUsed/>
    <w:rsid w:val="00867755"/>
    <w:pPr>
      <w:ind w:left="1415" w:hanging="283"/>
      <w:contextualSpacing/>
    </w:pPr>
  </w:style>
  <w:style w:type="paragraph" w:styleId="ListBullet">
    <w:name w:val="List Bullet"/>
    <w:basedOn w:val="Normal"/>
    <w:uiPriority w:val="1"/>
    <w:semiHidden/>
    <w:unhideWhenUsed/>
    <w:rsid w:val="00867755"/>
    <w:pPr>
      <w:numPr>
        <w:numId w:val="34"/>
      </w:numPr>
      <w:contextualSpacing/>
    </w:pPr>
  </w:style>
  <w:style w:type="paragraph" w:styleId="ListBullet2">
    <w:name w:val="List Bullet 2"/>
    <w:basedOn w:val="Normal"/>
    <w:uiPriority w:val="1"/>
    <w:semiHidden/>
    <w:unhideWhenUsed/>
    <w:rsid w:val="00867755"/>
    <w:pPr>
      <w:numPr>
        <w:numId w:val="35"/>
      </w:numPr>
      <w:contextualSpacing/>
    </w:pPr>
  </w:style>
  <w:style w:type="paragraph" w:styleId="ListBullet3">
    <w:name w:val="List Bullet 3"/>
    <w:basedOn w:val="Normal"/>
    <w:uiPriority w:val="1"/>
    <w:semiHidden/>
    <w:unhideWhenUsed/>
    <w:rsid w:val="00867755"/>
    <w:pPr>
      <w:numPr>
        <w:numId w:val="36"/>
      </w:numPr>
      <w:contextualSpacing/>
    </w:pPr>
  </w:style>
  <w:style w:type="paragraph" w:styleId="ListBullet4">
    <w:name w:val="List Bullet 4"/>
    <w:basedOn w:val="Normal"/>
    <w:uiPriority w:val="1"/>
    <w:semiHidden/>
    <w:unhideWhenUsed/>
    <w:rsid w:val="00867755"/>
    <w:pPr>
      <w:numPr>
        <w:numId w:val="37"/>
      </w:numPr>
      <w:contextualSpacing/>
    </w:pPr>
  </w:style>
  <w:style w:type="paragraph" w:styleId="ListBullet5">
    <w:name w:val="List Bullet 5"/>
    <w:basedOn w:val="Normal"/>
    <w:uiPriority w:val="1"/>
    <w:semiHidden/>
    <w:unhideWhenUsed/>
    <w:rsid w:val="00867755"/>
    <w:pPr>
      <w:numPr>
        <w:numId w:val="38"/>
      </w:numPr>
      <w:contextualSpacing/>
    </w:pPr>
  </w:style>
  <w:style w:type="paragraph" w:styleId="ListContinue">
    <w:name w:val="List Continue"/>
    <w:basedOn w:val="Normal"/>
    <w:uiPriority w:val="1"/>
    <w:semiHidden/>
    <w:unhideWhenUsed/>
    <w:rsid w:val="00867755"/>
    <w:pPr>
      <w:spacing w:after="120"/>
      <w:ind w:left="283"/>
      <w:contextualSpacing/>
    </w:pPr>
  </w:style>
  <w:style w:type="paragraph" w:styleId="ListContinue2">
    <w:name w:val="List Continue 2"/>
    <w:basedOn w:val="Normal"/>
    <w:uiPriority w:val="1"/>
    <w:semiHidden/>
    <w:unhideWhenUsed/>
    <w:rsid w:val="00867755"/>
    <w:pPr>
      <w:spacing w:after="120"/>
      <w:ind w:left="566"/>
      <w:contextualSpacing/>
    </w:pPr>
  </w:style>
  <w:style w:type="paragraph" w:styleId="ListContinue3">
    <w:name w:val="List Continue 3"/>
    <w:basedOn w:val="Normal"/>
    <w:uiPriority w:val="1"/>
    <w:semiHidden/>
    <w:unhideWhenUsed/>
    <w:rsid w:val="00867755"/>
    <w:pPr>
      <w:spacing w:after="120"/>
      <w:ind w:left="849"/>
      <w:contextualSpacing/>
    </w:pPr>
  </w:style>
  <w:style w:type="paragraph" w:styleId="ListContinue4">
    <w:name w:val="List Continue 4"/>
    <w:basedOn w:val="Normal"/>
    <w:uiPriority w:val="1"/>
    <w:semiHidden/>
    <w:unhideWhenUsed/>
    <w:rsid w:val="00867755"/>
    <w:pPr>
      <w:spacing w:after="120"/>
      <w:ind w:left="1132"/>
      <w:contextualSpacing/>
    </w:pPr>
  </w:style>
  <w:style w:type="paragraph" w:styleId="ListContinue5">
    <w:name w:val="List Continue 5"/>
    <w:basedOn w:val="Normal"/>
    <w:uiPriority w:val="1"/>
    <w:semiHidden/>
    <w:unhideWhenUsed/>
    <w:rsid w:val="00867755"/>
    <w:pPr>
      <w:spacing w:after="120"/>
      <w:ind w:left="1415"/>
      <w:contextualSpacing/>
    </w:pPr>
  </w:style>
  <w:style w:type="paragraph" w:styleId="ListNumber4">
    <w:name w:val="List Number 4"/>
    <w:basedOn w:val="Normal"/>
    <w:uiPriority w:val="1"/>
    <w:semiHidden/>
    <w:unhideWhenUsed/>
    <w:rsid w:val="00867755"/>
    <w:pPr>
      <w:numPr>
        <w:numId w:val="39"/>
      </w:numPr>
      <w:contextualSpacing/>
    </w:pPr>
  </w:style>
  <w:style w:type="paragraph" w:styleId="ListNumber5">
    <w:name w:val="List Number 5"/>
    <w:basedOn w:val="Normal"/>
    <w:uiPriority w:val="1"/>
    <w:semiHidden/>
    <w:unhideWhenUsed/>
    <w:rsid w:val="00867755"/>
    <w:pPr>
      <w:numPr>
        <w:numId w:val="40"/>
      </w:numPr>
      <w:contextualSpacing/>
    </w:pPr>
  </w:style>
  <w:style w:type="paragraph" w:styleId="ListParagraph">
    <w:name w:val="List Paragraph"/>
    <w:basedOn w:val="Normal"/>
    <w:uiPriority w:val="1"/>
    <w:unhideWhenUsed/>
    <w:qFormat/>
    <w:rsid w:val="00867755"/>
    <w:pPr>
      <w:ind w:left="720"/>
      <w:contextualSpacing/>
    </w:pPr>
  </w:style>
  <w:style w:type="paragraph" w:styleId="MacroText">
    <w:name w:val="macro"/>
    <w:link w:val="MacroTextChar"/>
    <w:uiPriority w:val="1"/>
    <w:semiHidden/>
    <w:unhideWhenUsed/>
    <w:rsid w:val="00867755"/>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AU"/>
    </w:rPr>
  </w:style>
  <w:style w:type="character" w:customStyle="1" w:styleId="MacroTextChar">
    <w:name w:val="Macro Text Char"/>
    <w:basedOn w:val="DefaultParagraphFont"/>
    <w:link w:val="MacroText"/>
    <w:uiPriority w:val="1"/>
    <w:semiHidden/>
    <w:rsid w:val="00867755"/>
    <w:rPr>
      <w:rFonts w:ascii="Consolas" w:hAnsi="Consolas"/>
      <w:lang w:val="en-AU"/>
    </w:rPr>
  </w:style>
  <w:style w:type="paragraph" w:styleId="MessageHeader">
    <w:name w:val="Message Header"/>
    <w:basedOn w:val="Normal"/>
    <w:link w:val="MessageHeaderChar"/>
    <w:uiPriority w:val="1"/>
    <w:semiHidden/>
    <w:unhideWhenUsed/>
    <w:rsid w:val="0086775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867755"/>
    <w:rPr>
      <w:rFonts w:asciiTheme="majorHAnsi" w:eastAsiaTheme="majorEastAsia" w:hAnsiTheme="majorHAnsi" w:cstheme="majorBidi"/>
      <w:sz w:val="24"/>
      <w:szCs w:val="24"/>
      <w:shd w:val="pct20" w:color="auto" w:fill="auto"/>
      <w:lang w:val="en-AU"/>
    </w:rPr>
  </w:style>
  <w:style w:type="paragraph" w:styleId="NoSpacing">
    <w:name w:val="No Spacing"/>
    <w:uiPriority w:val="1"/>
    <w:semiHidden/>
    <w:unhideWhenUsed/>
    <w:rsid w:val="00867755"/>
    <w:rPr>
      <w:szCs w:val="24"/>
      <w:lang w:val="en-AU"/>
    </w:rPr>
  </w:style>
  <w:style w:type="paragraph" w:styleId="NormalWeb">
    <w:name w:val="Normal (Web)"/>
    <w:basedOn w:val="Normal"/>
    <w:uiPriority w:val="1"/>
    <w:semiHidden/>
    <w:unhideWhenUsed/>
    <w:rsid w:val="00867755"/>
    <w:rPr>
      <w:rFonts w:ascii="Times New Roman" w:hAnsi="Times New Roman"/>
      <w:sz w:val="24"/>
    </w:rPr>
  </w:style>
  <w:style w:type="paragraph" w:styleId="NormalIndent">
    <w:name w:val="Normal Indent"/>
    <w:basedOn w:val="Normal"/>
    <w:uiPriority w:val="1"/>
    <w:semiHidden/>
    <w:unhideWhenUsed/>
    <w:rsid w:val="00867755"/>
    <w:pPr>
      <w:ind w:left="720"/>
    </w:pPr>
  </w:style>
  <w:style w:type="paragraph" w:styleId="NoteHeading">
    <w:name w:val="Note Heading"/>
    <w:basedOn w:val="Normal"/>
    <w:next w:val="Normal"/>
    <w:link w:val="NoteHeadingChar"/>
    <w:uiPriority w:val="1"/>
    <w:semiHidden/>
    <w:unhideWhenUsed/>
    <w:rsid w:val="00867755"/>
    <w:pPr>
      <w:spacing w:after="0"/>
    </w:pPr>
  </w:style>
  <w:style w:type="character" w:customStyle="1" w:styleId="NoteHeadingChar">
    <w:name w:val="Note Heading Char"/>
    <w:basedOn w:val="DefaultParagraphFont"/>
    <w:link w:val="NoteHeading"/>
    <w:uiPriority w:val="1"/>
    <w:semiHidden/>
    <w:rsid w:val="00867755"/>
    <w:rPr>
      <w:szCs w:val="24"/>
      <w:lang w:val="en-AU"/>
    </w:rPr>
  </w:style>
  <w:style w:type="paragraph" w:styleId="PlainText">
    <w:name w:val="Plain Text"/>
    <w:basedOn w:val="Normal"/>
    <w:link w:val="PlainTextChar"/>
    <w:uiPriority w:val="1"/>
    <w:semiHidden/>
    <w:unhideWhenUsed/>
    <w:rsid w:val="00867755"/>
    <w:pPr>
      <w:spacing w:after="0"/>
    </w:pPr>
    <w:rPr>
      <w:rFonts w:ascii="Consolas" w:hAnsi="Consolas"/>
      <w:sz w:val="21"/>
      <w:szCs w:val="21"/>
    </w:rPr>
  </w:style>
  <w:style w:type="character" w:customStyle="1" w:styleId="PlainTextChar">
    <w:name w:val="Plain Text Char"/>
    <w:basedOn w:val="DefaultParagraphFont"/>
    <w:link w:val="PlainText"/>
    <w:uiPriority w:val="1"/>
    <w:semiHidden/>
    <w:rsid w:val="00867755"/>
    <w:rPr>
      <w:rFonts w:ascii="Consolas" w:hAnsi="Consolas"/>
      <w:sz w:val="21"/>
      <w:szCs w:val="21"/>
      <w:lang w:val="en-AU"/>
    </w:rPr>
  </w:style>
  <w:style w:type="paragraph" w:styleId="Quote">
    <w:name w:val="Quote"/>
    <w:basedOn w:val="Normal"/>
    <w:next w:val="Normal"/>
    <w:link w:val="QuoteChar"/>
    <w:uiPriority w:val="1"/>
    <w:semiHidden/>
    <w:unhideWhenUsed/>
    <w:rsid w:val="0086775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1"/>
    <w:semiHidden/>
    <w:rsid w:val="00867755"/>
    <w:rPr>
      <w:i/>
      <w:iCs/>
      <w:color w:val="404040" w:themeColor="text1" w:themeTint="BF"/>
      <w:szCs w:val="24"/>
      <w:lang w:val="en-AU"/>
    </w:rPr>
  </w:style>
  <w:style w:type="paragraph" w:styleId="Salutation">
    <w:name w:val="Salutation"/>
    <w:basedOn w:val="Normal"/>
    <w:next w:val="Normal"/>
    <w:link w:val="SalutationChar"/>
    <w:uiPriority w:val="1"/>
    <w:semiHidden/>
    <w:unhideWhenUsed/>
    <w:rsid w:val="00867755"/>
  </w:style>
  <w:style w:type="character" w:customStyle="1" w:styleId="SalutationChar">
    <w:name w:val="Salutation Char"/>
    <w:basedOn w:val="DefaultParagraphFont"/>
    <w:link w:val="Salutation"/>
    <w:uiPriority w:val="1"/>
    <w:semiHidden/>
    <w:rsid w:val="00867755"/>
    <w:rPr>
      <w:szCs w:val="24"/>
      <w:lang w:val="en-AU"/>
    </w:rPr>
  </w:style>
  <w:style w:type="paragraph" w:styleId="Signature">
    <w:name w:val="Signature"/>
    <w:basedOn w:val="Normal"/>
    <w:link w:val="SignatureChar"/>
    <w:uiPriority w:val="1"/>
    <w:semiHidden/>
    <w:unhideWhenUsed/>
    <w:rsid w:val="00867755"/>
    <w:pPr>
      <w:spacing w:after="0"/>
      <w:ind w:left="4252"/>
    </w:pPr>
  </w:style>
  <w:style w:type="character" w:customStyle="1" w:styleId="SignatureChar">
    <w:name w:val="Signature Char"/>
    <w:basedOn w:val="DefaultParagraphFont"/>
    <w:link w:val="Signature"/>
    <w:uiPriority w:val="1"/>
    <w:semiHidden/>
    <w:rsid w:val="00867755"/>
    <w:rPr>
      <w:szCs w:val="24"/>
      <w:lang w:val="en-AU"/>
    </w:rPr>
  </w:style>
  <w:style w:type="paragraph" w:styleId="TableofAuthorities">
    <w:name w:val="table of authorities"/>
    <w:basedOn w:val="Normal"/>
    <w:next w:val="Normal"/>
    <w:uiPriority w:val="1"/>
    <w:semiHidden/>
    <w:unhideWhenUsed/>
    <w:rsid w:val="00867755"/>
    <w:pPr>
      <w:spacing w:after="0"/>
      <w:ind w:left="200" w:hanging="200"/>
    </w:pPr>
  </w:style>
  <w:style w:type="paragraph" w:styleId="TableofFigures">
    <w:name w:val="table of figures"/>
    <w:basedOn w:val="Normal"/>
    <w:next w:val="Normal"/>
    <w:uiPriority w:val="1"/>
    <w:semiHidden/>
    <w:unhideWhenUsed/>
    <w:rsid w:val="00867755"/>
    <w:pPr>
      <w:spacing w:after="0"/>
    </w:pPr>
  </w:style>
  <w:style w:type="paragraph" w:styleId="TOAHeading">
    <w:name w:val="toa heading"/>
    <w:basedOn w:val="Normal"/>
    <w:next w:val="Normal"/>
    <w:uiPriority w:val="1"/>
    <w:semiHidden/>
    <w:unhideWhenUsed/>
    <w:rsid w:val="00867755"/>
    <w:pPr>
      <w:spacing w:before="120"/>
    </w:pPr>
    <w:rPr>
      <w:rFonts w:asciiTheme="majorHAnsi" w:eastAsiaTheme="majorEastAsia" w:hAnsiTheme="majorHAnsi" w:cstheme="majorBidi"/>
      <w:b/>
      <w:bCs/>
      <w:sz w:val="24"/>
    </w:rPr>
  </w:style>
  <w:style w:type="paragraph" w:styleId="TOC5">
    <w:name w:val="toc 5"/>
    <w:basedOn w:val="Normal"/>
    <w:next w:val="Normal"/>
    <w:autoRedefine/>
    <w:uiPriority w:val="1"/>
    <w:semiHidden/>
    <w:unhideWhenUsed/>
    <w:rsid w:val="00867755"/>
    <w:pPr>
      <w:spacing w:after="100"/>
      <w:ind w:left="800"/>
    </w:pPr>
  </w:style>
  <w:style w:type="paragraph" w:styleId="TOC6">
    <w:name w:val="toc 6"/>
    <w:basedOn w:val="Normal"/>
    <w:next w:val="Normal"/>
    <w:autoRedefine/>
    <w:uiPriority w:val="1"/>
    <w:semiHidden/>
    <w:unhideWhenUsed/>
    <w:rsid w:val="00867755"/>
    <w:pPr>
      <w:spacing w:after="100"/>
      <w:ind w:left="1000"/>
    </w:pPr>
  </w:style>
  <w:style w:type="paragraph" w:styleId="TOC8">
    <w:name w:val="toc 8"/>
    <w:basedOn w:val="Normal"/>
    <w:next w:val="Normal"/>
    <w:autoRedefine/>
    <w:uiPriority w:val="1"/>
    <w:semiHidden/>
    <w:unhideWhenUsed/>
    <w:rsid w:val="00867755"/>
    <w:pPr>
      <w:spacing w:after="100"/>
      <w:ind w:left="1400"/>
    </w:pPr>
  </w:style>
  <w:style w:type="paragraph" w:styleId="TOC9">
    <w:name w:val="toc 9"/>
    <w:basedOn w:val="Normal"/>
    <w:next w:val="Normal"/>
    <w:autoRedefine/>
    <w:uiPriority w:val="1"/>
    <w:semiHidden/>
    <w:unhideWhenUsed/>
    <w:rsid w:val="00867755"/>
    <w:pPr>
      <w:spacing w:after="100"/>
      <w:ind w:left="1600"/>
    </w:pPr>
  </w:style>
  <w:style w:type="paragraph" w:customStyle="1" w:styleId="Default">
    <w:name w:val="Default"/>
    <w:rsid w:val="00D816B0"/>
    <w:pPr>
      <w:autoSpaceDE w:val="0"/>
      <w:autoSpaceDN w:val="0"/>
      <w:adjustRightInd w:val="0"/>
    </w:pPr>
    <w:rPr>
      <w:rFonts w:cs="Arial"/>
      <w:color w:val="000000"/>
      <w:sz w:val="24"/>
      <w:szCs w:val="24"/>
      <w:lang w:val="en-AU"/>
    </w:rPr>
  </w:style>
  <w:style w:type="paragraph" w:customStyle="1" w:styleId="AHPRAbodytext">
    <w:name w:val="AHPRA body text"/>
    <w:basedOn w:val="Normal"/>
    <w:rsid w:val="00294FDB"/>
    <w:rPr>
      <w:rFonts w:cs="Arial"/>
      <w:lang w:val="en-US"/>
    </w:rPr>
  </w:style>
  <w:style w:type="paragraph" w:customStyle="1" w:styleId="Tableheading">
    <w:name w:val="Table heading"/>
    <w:basedOn w:val="Tabletext"/>
    <w:uiPriority w:val="9"/>
    <w:qFormat/>
    <w:rsid w:val="008B3A79"/>
    <w:pPr>
      <w:tabs>
        <w:tab w:val="left" w:pos="454"/>
      </w:tabs>
      <w:spacing w:before="60" w:after="0" w:line="220" w:lineRule="atLeast"/>
      <w:ind w:left="0" w:right="0"/>
    </w:pPr>
    <w:rPr>
      <w:rFonts w:eastAsia="Times New Roman" w:cs="Times New Roman"/>
      <w:b/>
      <w:noProof w:val="0"/>
      <w:sz w:val="18"/>
    </w:rPr>
  </w:style>
  <w:style w:type="paragraph" w:customStyle="1" w:styleId="Tablebullet">
    <w:name w:val="Table bullet"/>
    <w:basedOn w:val="Tabletext"/>
    <w:uiPriority w:val="11"/>
    <w:qFormat/>
    <w:rsid w:val="008B3A79"/>
    <w:pPr>
      <w:numPr>
        <w:numId w:val="45"/>
      </w:numPr>
      <w:tabs>
        <w:tab w:val="left" w:pos="454"/>
      </w:tabs>
      <w:spacing w:before="0" w:after="0" w:line="220" w:lineRule="atLeast"/>
      <w:ind w:right="0"/>
    </w:pPr>
    <w:rPr>
      <w:rFonts w:eastAsia="Times New Roman" w:cs="Times New Roman"/>
      <w:noProof w:val="0"/>
      <w:sz w:val="18"/>
    </w:rPr>
  </w:style>
  <w:style w:type="paragraph" w:customStyle="1" w:styleId="Tablenumberedlist">
    <w:name w:val="Table numbered list"/>
    <w:basedOn w:val="Tabletext"/>
    <w:uiPriority w:val="11"/>
    <w:qFormat/>
    <w:rsid w:val="008B3A79"/>
    <w:pPr>
      <w:numPr>
        <w:numId w:val="46"/>
      </w:numPr>
      <w:tabs>
        <w:tab w:val="left" w:pos="454"/>
      </w:tabs>
      <w:spacing w:before="0" w:after="0" w:line="220" w:lineRule="atLeast"/>
      <w:ind w:right="0"/>
    </w:pPr>
    <w:rPr>
      <w:rFonts w:eastAsia="Times New Roman" w:cs="Times New Roman"/>
      <w:noProof w:val="0"/>
      <w:sz w:val="18"/>
    </w:rPr>
  </w:style>
  <w:style w:type="table" w:customStyle="1" w:styleId="Ahpratable">
    <w:name w:val="Ahpra table"/>
    <w:basedOn w:val="TableNormal"/>
    <w:uiPriority w:val="99"/>
    <w:rsid w:val="008B3A79"/>
    <w:rPr>
      <w:rFonts w:eastAsiaTheme="minorEastAsia" w:cstheme="minorBidi"/>
      <w:sz w:val="18"/>
      <w:szCs w:val="24"/>
      <w:lang w:val="en-AU" w:eastAsia="ja-JP"/>
    </w:rPr>
    <w:tblPr>
      <w:tblBorders>
        <w:insideH w:val="single" w:sz="4" w:space="0" w:color="F4F3EC" w:themeColor="background2" w:themeTint="99"/>
      </w:tblBorders>
      <w:tblCellMar>
        <w:left w:w="85" w:type="dxa"/>
        <w:bottom w:w="28" w:type="dxa"/>
        <w:right w:w="85" w:type="dxa"/>
      </w:tblCellMar>
    </w:tblPr>
    <w:tblStylePr w:type="firstCol">
      <w:tblPr/>
      <w:tcPr>
        <w:shd w:val="clear" w:color="auto" w:fill="FBFBF8" w:themeFill="background2" w:themeFillTint="33"/>
      </w:tcPr>
    </w:tblStylePr>
  </w:style>
  <w:style w:type="table" w:customStyle="1" w:styleId="Ahpracoremessagetable">
    <w:name w:val="Ahpra core message table"/>
    <w:basedOn w:val="TableNormal"/>
    <w:uiPriority w:val="99"/>
    <w:rsid w:val="008B3A79"/>
    <w:rPr>
      <w:rFonts w:asciiTheme="minorHAnsi" w:eastAsiaTheme="minorEastAsia" w:hAnsiTheme="minorHAnsi" w:cstheme="minorBidi"/>
      <w:sz w:val="24"/>
      <w:szCs w:val="24"/>
      <w:lang w:val="en-AU" w:eastAsia="ja-JP"/>
    </w:rPr>
    <w:tblPr>
      <w:tblCellMar>
        <w:left w:w="85" w:type="dxa"/>
        <w:bottom w:w="57" w:type="dxa"/>
        <w:right w:w="85" w:type="dxa"/>
      </w:tblCellMar>
    </w:tblPr>
    <w:tcPr>
      <w:shd w:val="clear" w:color="auto" w:fill="F2F2F2" w:themeFill="background1" w:themeFillShade="F2"/>
    </w:tcPr>
  </w:style>
  <w:style w:type="paragraph" w:customStyle="1" w:styleId="Whyheading">
    <w:name w:val="Why heading"/>
    <w:basedOn w:val="Heading1"/>
    <w:next w:val="Heading2"/>
    <w:uiPriority w:val="4"/>
    <w:qFormat/>
    <w:rsid w:val="008B3A79"/>
    <w:pPr>
      <w:keepNext w:val="0"/>
      <w:widowControl w:val="0"/>
      <w:numPr>
        <w:numId w:val="47"/>
      </w:numPr>
      <w:pBdr>
        <w:bottom w:val="single" w:sz="4" w:space="1" w:color="1F497D" w:themeColor="text2"/>
      </w:pBdr>
      <w:spacing w:after="0" w:line="300" w:lineRule="atLeast"/>
      <w:ind w:left="567" w:hanging="567"/>
    </w:pPr>
    <w:rPr>
      <w:rFonts w:ascii="Arial" w:eastAsia="Times New Roman" w:hAnsi="Arial" w:cs="Times New Roman"/>
      <w:bCs w:val="0"/>
      <w:color w:val="EEECE1" w:themeColor="background2"/>
      <w:kern w:val="0"/>
      <w:sz w:val="24"/>
      <w:szCs w:val="28"/>
      <w:lang w:eastAsia="en-AU"/>
    </w:rPr>
  </w:style>
  <w:style w:type="paragraph" w:customStyle="1" w:styleId="Howheading">
    <w:name w:val="How heading"/>
    <w:basedOn w:val="Heading1"/>
    <w:next w:val="Heading2"/>
    <w:uiPriority w:val="5"/>
    <w:qFormat/>
    <w:rsid w:val="008B3A79"/>
    <w:pPr>
      <w:keepNext w:val="0"/>
      <w:widowControl w:val="0"/>
      <w:numPr>
        <w:numId w:val="48"/>
      </w:numPr>
      <w:pBdr>
        <w:bottom w:val="single" w:sz="4" w:space="1" w:color="1F497D" w:themeColor="text2"/>
      </w:pBdr>
      <w:spacing w:after="0" w:line="300" w:lineRule="atLeast"/>
      <w:ind w:left="567" w:hanging="567"/>
    </w:pPr>
    <w:rPr>
      <w:rFonts w:ascii="Arial" w:eastAsia="Times New Roman" w:hAnsi="Arial" w:cs="Times New Roman"/>
      <w:bCs w:val="0"/>
      <w:color w:val="EEECE1" w:themeColor="background2"/>
      <w:kern w:val="0"/>
      <w:sz w:val="24"/>
      <w:szCs w:val="28"/>
      <w:lang w:eastAsia="en-AU"/>
    </w:rPr>
  </w:style>
  <w:style w:type="paragraph" w:customStyle="1" w:styleId="Whatheading">
    <w:name w:val="What heading"/>
    <w:basedOn w:val="Heading1"/>
    <w:next w:val="Heading2"/>
    <w:uiPriority w:val="6"/>
    <w:qFormat/>
    <w:rsid w:val="008B3A79"/>
    <w:pPr>
      <w:keepNext w:val="0"/>
      <w:widowControl w:val="0"/>
      <w:numPr>
        <w:numId w:val="49"/>
      </w:numPr>
      <w:pBdr>
        <w:bottom w:val="single" w:sz="4" w:space="1" w:color="1F497D" w:themeColor="text2"/>
      </w:pBdr>
      <w:spacing w:after="0" w:line="300" w:lineRule="atLeast"/>
      <w:ind w:left="567" w:hanging="567"/>
    </w:pPr>
    <w:rPr>
      <w:rFonts w:ascii="Arial" w:eastAsia="Times New Roman" w:hAnsi="Arial" w:cs="Times New Roman"/>
      <w:bCs w:val="0"/>
      <w:color w:val="EEECE1" w:themeColor="background2"/>
      <w:kern w:val="0"/>
      <w:sz w:val="24"/>
      <w:szCs w:val="28"/>
      <w:lang w:eastAsia="en-AU"/>
    </w:rPr>
  </w:style>
  <w:style w:type="paragraph" w:customStyle="1" w:styleId="Whoheading">
    <w:name w:val="Who heading"/>
    <w:basedOn w:val="Heading1"/>
    <w:next w:val="Heading2"/>
    <w:uiPriority w:val="7"/>
    <w:qFormat/>
    <w:rsid w:val="008B3A79"/>
    <w:pPr>
      <w:keepNext w:val="0"/>
      <w:widowControl w:val="0"/>
      <w:numPr>
        <w:numId w:val="50"/>
      </w:numPr>
      <w:pBdr>
        <w:bottom w:val="single" w:sz="4" w:space="1" w:color="1F497D" w:themeColor="text2"/>
      </w:pBdr>
      <w:spacing w:after="0" w:line="300" w:lineRule="atLeast"/>
      <w:ind w:left="567" w:hanging="567"/>
    </w:pPr>
    <w:rPr>
      <w:rFonts w:ascii="Arial" w:eastAsia="Times New Roman" w:hAnsi="Arial" w:cs="Times New Roman"/>
      <w:bCs w:val="0"/>
      <w:color w:val="EEECE1" w:themeColor="background2"/>
      <w:kern w:val="0"/>
      <w:sz w:val="24"/>
      <w:szCs w:val="28"/>
      <w:lang w:eastAsia="en-AU"/>
    </w:rPr>
  </w:style>
  <w:style w:type="paragraph" w:customStyle="1" w:styleId="Bullet">
    <w:name w:val="Bullet"/>
    <w:basedOn w:val="Normal"/>
    <w:uiPriority w:val="2"/>
    <w:semiHidden/>
    <w:qFormat/>
    <w:rsid w:val="008B3A79"/>
    <w:pPr>
      <w:spacing w:after="0" w:line="260" w:lineRule="atLeast"/>
      <w:ind w:left="284" w:hanging="284"/>
      <w:contextualSpacing/>
    </w:pPr>
    <w:rPr>
      <w:rFonts w:eastAsia="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7379">
      <w:bodyDiv w:val="1"/>
      <w:marLeft w:val="0"/>
      <w:marRight w:val="0"/>
      <w:marTop w:val="0"/>
      <w:marBottom w:val="0"/>
      <w:divBdr>
        <w:top w:val="none" w:sz="0" w:space="0" w:color="auto"/>
        <w:left w:val="none" w:sz="0" w:space="0" w:color="auto"/>
        <w:bottom w:val="none" w:sz="0" w:space="0" w:color="auto"/>
        <w:right w:val="none" w:sz="0" w:space="0" w:color="auto"/>
      </w:divBdr>
    </w:div>
    <w:div w:id="152261317">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680931573">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ntalboardconsultation@ahpra.gov.au" TargetMode="External"/><Relationship Id="rId18" Type="http://schemas.openxmlformats.org/officeDocument/2006/relationships/footer" Target="footer3.xml"/><Relationship Id="rId26" Type="http://schemas.openxmlformats.org/officeDocument/2006/relationships/diagramQuickStyle" Target="diagrams/quickStyle1.xml"/><Relationship Id="rId39" Type="http://schemas.openxmlformats.org/officeDocument/2006/relationships/hyperlink" Target="https://www.ahpra.gov.au/Publications/Procedures.aspx" TargetMode="External"/><Relationship Id="rId3" Type="http://schemas.openxmlformats.org/officeDocument/2006/relationships/customXml" Target="../customXml/item3.xml"/><Relationship Id="rId21" Type="http://schemas.openxmlformats.org/officeDocument/2006/relationships/hyperlink" Target="https://www.dentalboard.gov.au/Registration-Standards.aspx" TargetMode="External"/><Relationship Id="rId34" Type="http://schemas.openxmlformats.org/officeDocument/2006/relationships/header" Target="header3.xml"/><Relationship Id="rId42" Type="http://schemas.openxmlformats.org/officeDocument/2006/relationships/hyperlink" Target="http://www.ahpra.gov.au/Publications/Procedures.aspx" TargetMode="External"/><Relationship Id="rId4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dentalboardconsultation@ahpra.gov.au" TargetMode="External"/><Relationship Id="rId17" Type="http://schemas.openxmlformats.org/officeDocument/2006/relationships/header" Target="header1.xml"/><Relationship Id="rId25" Type="http://schemas.openxmlformats.org/officeDocument/2006/relationships/diagramLayout" Target="diagrams/layout1.xml"/><Relationship Id="rId33" Type="http://schemas.openxmlformats.org/officeDocument/2006/relationships/header" Target="header2.xml"/><Relationship Id="rId38" Type="http://schemas.openxmlformats.org/officeDocument/2006/relationships/hyperlink" Target="https://www.ahpra.gov.au/About-AHPRA/National-Scheme-Strategy.aspx"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entalboard.gov.au/Codes-Guidelines/Infection-control-obligations-of-dental-practitioners.aspx" TargetMode="External"/><Relationship Id="rId29" Type="http://schemas.openxmlformats.org/officeDocument/2006/relationships/hyperlink" Target="https://www.dentalboard.gov.au/Codes-Guidelines/Policies-Codes-Guidelines.aspx" TargetMode="External"/><Relationship Id="rId41" Type="http://schemas.openxmlformats.org/officeDocument/2006/relationships/hyperlink" Target="https://www.ahpra.gov.au/Publications/Procedur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ntalboard.gov.au/News/Current-Consultations.aspx" TargetMode="External"/><Relationship Id="rId24" Type="http://schemas.openxmlformats.org/officeDocument/2006/relationships/diagramData" Target="diagrams/data1.xml"/><Relationship Id="rId32" Type="http://schemas.openxmlformats.org/officeDocument/2006/relationships/hyperlink" Target="https://www.ahpra.gov.au/News/COVID-19.aspx" TargetMode="External"/><Relationship Id="rId37" Type="http://schemas.openxmlformats.org/officeDocument/2006/relationships/hyperlink" Target="https://www.ahpra.gov.au/About-AHPRA/Aboriginal-and-Torres-Strait-Islander-Health-Strategy.aspx" TargetMode="External"/><Relationship Id="rId40" Type="http://schemas.openxmlformats.org/officeDocument/2006/relationships/hyperlink" Target="https://www.ahpra.gov.au/About-AHPRA/Aboriginal-and-Torres-Strait-Islander-Health-Strategy/Cultural-health-and-safety-strategy.asp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dentalboard.gov.au/Codes-Guidelines/Policies-Codes-Guidelines.aspx" TargetMode="External"/><Relationship Id="rId28" Type="http://schemas.microsoft.com/office/2007/relationships/diagramDrawing" Target="diagrams/drawing1.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ahpra.gov.au/about-ahpra/who-we-are.aspx" TargetMode="External"/><Relationship Id="rId31" Type="http://schemas.openxmlformats.org/officeDocument/2006/relationships/hyperlink" Target="https://www.ahpra.gov.au/About-Ahpra/National-Scheme-Strategy.aspx"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working\waccache\LocalCacheStore\NT%20AUTHORITY_NETWORK%20SERVICE\c2b4a1e36f3f43a3ab83dbfd56fc45fb\00000000000000000000000000000405\input.docx" TargetMode="External"/><Relationship Id="rId22" Type="http://schemas.openxmlformats.org/officeDocument/2006/relationships/hyperlink" Target="https://www.dentalboard.gov.au/Codes-Guidelines/Policies-Codes-Guidelines/Code-of-conduct.aspx" TargetMode="External"/><Relationship Id="rId27" Type="http://schemas.openxmlformats.org/officeDocument/2006/relationships/diagramColors" Target="diagrams/colors1.xml"/><Relationship Id="rId30" Type="http://schemas.openxmlformats.org/officeDocument/2006/relationships/hyperlink" Target="https://www.dentalboard.gov.au/Codes-Guidelines/Dental-records.aspx" TargetMode="External"/><Relationship Id="rId35" Type="http://schemas.openxmlformats.org/officeDocument/2006/relationships/header" Target="header4.xml"/><Relationship Id="rId43"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644F40-815A-4554-83CB-8CD68AA948C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AU"/>
        </a:p>
      </dgm:t>
    </dgm:pt>
    <dgm:pt modelId="{4CA572B7-336E-4A0D-A4CE-E6C265C60651}">
      <dgm:prSet phldrT="[Text]" custT="1"/>
      <dgm:spPr/>
      <dgm:t>
        <a:bodyPr/>
        <a:lstStyle/>
        <a:p>
          <a:r>
            <a:rPr lang="en-AU" sz="1000">
              <a:latin typeface="Arial" panose="020B0604020202020204" pitchFamily="34" charset="0"/>
              <a:cs typeface="Arial" panose="020B0604020202020204" pitchFamily="34" charset="0"/>
            </a:rPr>
            <a:t>Outcome-focused</a:t>
          </a:r>
        </a:p>
      </dgm:t>
    </dgm:pt>
    <dgm:pt modelId="{DC7321D9-6BAD-4B77-9AA9-102C29C397D5}" type="parTrans" cxnId="{28C0F7E0-B63D-4C71-B9BC-28DDD0F94467}">
      <dgm:prSet/>
      <dgm:spPr/>
      <dgm:t>
        <a:bodyPr/>
        <a:lstStyle/>
        <a:p>
          <a:endParaRPr lang="en-AU"/>
        </a:p>
      </dgm:t>
    </dgm:pt>
    <dgm:pt modelId="{4BDC1518-7198-44BB-AE6A-F10E9CAB9ACD}" type="sibTrans" cxnId="{28C0F7E0-B63D-4C71-B9BC-28DDD0F94467}">
      <dgm:prSet/>
      <dgm:spPr/>
      <dgm:t>
        <a:bodyPr/>
        <a:lstStyle/>
        <a:p>
          <a:endParaRPr lang="en-AU"/>
        </a:p>
      </dgm:t>
    </dgm:pt>
    <dgm:pt modelId="{D8AC0AC8-3163-4778-ADE0-D02D4923E2C7}">
      <dgm:prSet phldrT="[Text]" custT="1"/>
      <dgm:spPr/>
      <dgm:t>
        <a:bodyPr/>
        <a:lstStyle/>
        <a:p>
          <a:r>
            <a:rPr lang="en-AU" sz="900">
              <a:latin typeface="Arial" panose="020B0604020202020204" pitchFamily="34" charset="0"/>
              <a:cs typeface="Arial" panose="020B0604020202020204" pitchFamily="34" charset="0"/>
            </a:rPr>
            <a:t>The key objective is to </a:t>
          </a:r>
          <a:r>
            <a:rPr lang="en-US" sz="900">
              <a:latin typeface="Arial" panose="020B0604020202020204" pitchFamily="34" charset="0"/>
              <a:cs typeface="Arial" panose="020B0604020202020204" pitchFamily="34" charset="0"/>
            </a:rPr>
            <a:t>protect the public from the harm of the risk of transmission of infection</a:t>
          </a:r>
          <a:endParaRPr lang="en-AU" sz="900">
            <a:highlight>
              <a:srgbClr val="FFFF00"/>
            </a:highlight>
            <a:latin typeface="Arial" panose="020B0604020202020204" pitchFamily="34" charset="0"/>
            <a:cs typeface="Arial" panose="020B0604020202020204" pitchFamily="34" charset="0"/>
          </a:endParaRPr>
        </a:p>
      </dgm:t>
    </dgm:pt>
    <dgm:pt modelId="{CFC614A0-6611-410A-B05A-C8EB76B1ED7B}" type="parTrans" cxnId="{9839C8CF-0A5A-4F69-A014-9C0119747268}">
      <dgm:prSet/>
      <dgm:spPr/>
      <dgm:t>
        <a:bodyPr/>
        <a:lstStyle/>
        <a:p>
          <a:endParaRPr lang="en-AU"/>
        </a:p>
      </dgm:t>
    </dgm:pt>
    <dgm:pt modelId="{F7CCFA3B-4D5F-4A78-B663-B9D9715E36F1}" type="sibTrans" cxnId="{9839C8CF-0A5A-4F69-A014-9C0119747268}">
      <dgm:prSet/>
      <dgm:spPr/>
      <dgm:t>
        <a:bodyPr/>
        <a:lstStyle/>
        <a:p>
          <a:endParaRPr lang="en-AU"/>
        </a:p>
      </dgm:t>
    </dgm:pt>
    <dgm:pt modelId="{3A97C1D3-F76E-4698-AE92-1B6BAB6E4ED3}">
      <dgm:prSet phldrT="[Text]" custT="1"/>
      <dgm:spPr/>
      <dgm:t>
        <a:bodyPr/>
        <a:lstStyle/>
        <a:p>
          <a:r>
            <a:rPr lang="en-AU" sz="1000">
              <a:latin typeface="Arial" panose="020B0604020202020204" pitchFamily="34" charset="0"/>
              <a:cs typeface="Arial" panose="020B0604020202020204" pitchFamily="34" charset="0"/>
            </a:rPr>
            <a:t>Practicable</a:t>
          </a:r>
        </a:p>
      </dgm:t>
    </dgm:pt>
    <dgm:pt modelId="{92124D6C-1327-41F5-855F-9848A4CB468E}" type="parTrans" cxnId="{752DD2F5-69A9-412D-BCB1-AAF18FEDD010}">
      <dgm:prSet/>
      <dgm:spPr/>
      <dgm:t>
        <a:bodyPr/>
        <a:lstStyle/>
        <a:p>
          <a:endParaRPr lang="en-AU"/>
        </a:p>
      </dgm:t>
    </dgm:pt>
    <dgm:pt modelId="{DFF36797-45E7-4232-BE32-B7A89E49103C}" type="sibTrans" cxnId="{752DD2F5-69A9-412D-BCB1-AAF18FEDD010}">
      <dgm:prSet/>
      <dgm:spPr/>
      <dgm:t>
        <a:bodyPr/>
        <a:lstStyle/>
        <a:p>
          <a:endParaRPr lang="en-AU"/>
        </a:p>
      </dgm:t>
    </dgm:pt>
    <dgm:pt modelId="{0BFED305-0542-4AC4-9DCF-7FEC2A2EAD65}">
      <dgm:prSet phldrT="[Text]" custT="1"/>
      <dgm:spPr/>
      <dgm:t>
        <a:bodyPr/>
        <a:lstStyle/>
        <a:p>
          <a:r>
            <a:rPr lang="en-AU" sz="900">
              <a:latin typeface="Arial" panose="020B0604020202020204" pitchFamily="34" charset="0"/>
              <a:cs typeface="Arial" panose="020B0604020202020204" pitchFamily="34" charset="0"/>
            </a:rPr>
            <a:t>We only set expectations that are reasonably within a practitioner's sphere of control</a:t>
          </a:r>
        </a:p>
      </dgm:t>
    </dgm:pt>
    <dgm:pt modelId="{2C680ACF-75F8-494B-8793-5DAB5FAFBB4D}" type="parTrans" cxnId="{34167B0E-9697-4F8B-8B56-A3F0803E857A}">
      <dgm:prSet/>
      <dgm:spPr/>
      <dgm:t>
        <a:bodyPr/>
        <a:lstStyle/>
        <a:p>
          <a:endParaRPr lang="en-AU"/>
        </a:p>
      </dgm:t>
    </dgm:pt>
    <dgm:pt modelId="{9BAAAEEB-9589-4764-A9B0-967CFB1AC71F}" type="sibTrans" cxnId="{34167B0E-9697-4F8B-8B56-A3F0803E857A}">
      <dgm:prSet/>
      <dgm:spPr/>
      <dgm:t>
        <a:bodyPr/>
        <a:lstStyle/>
        <a:p>
          <a:endParaRPr lang="en-AU"/>
        </a:p>
      </dgm:t>
    </dgm:pt>
    <dgm:pt modelId="{70DD4AAA-371B-45A8-9D66-36C7C10A4237}">
      <dgm:prSet phldrT="[Text]" custT="1"/>
      <dgm:spPr/>
      <dgm:t>
        <a:bodyPr/>
        <a:lstStyle/>
        <a:p>
          <a:r>
            <a:rPr lang="en-AU" sz="1000">
              <a:latin typeface="Arial" panose="020B0604020202020204" pitchFamily="34" charset="0"/>
              <a:cs typeface="Arial" panose="020B0604020202020204" pitchFamily="34" charset="0"/>
            </a:rPr>
            <a:t>Risk-based</a:t>
          </a:r>
        </a:p>
      </dgm:t>
    </dgm:pt>
    <dgm:pt modelId="{47046704-8465-42B8-8FF7-BEB8E9236D54}" type="parTrans" cxnId="{3EE748DE-79FC-40EC-AA2A-732DEE24BAAA}">
      <dgm:prSet/>
      <dgm:spPr/>
      <dgm:t>
        <a:bodyPr/>
        <a:lstStyle/>
        <a:p>
          <a:endParaRPr lang="en-AU"/>
        </a:p>
      </dgm:t>
    </dgm:pt>
    <dgm:pt modelId="{505993DF-C63F-4B63-9A70-94F87922FEFB}" type="sibTrans" cxnId="{3EE748DE-79FC-40EC-AA2A-732DEE24BAAA}">
      <dgm:prSet/>
      <dgm:spPr/>
      <dgm:t>
        <a:bodyPr/>
        <a:lstStyle/>
        <a:p>
          <a:endParaRPr lang="en-AU"/>
        </a:p>
      </dgm:t>
    </dgm:pt>
    <dgm:pt modelId="{048A3A42-7D0A-48E4-8B07-E66102DCE6F9}">
      <dgm:prSet phldrT="[Text]" custT="1"/>
      <dgm:spPr/>
      <dgm:t>
        <a:bodyPr/>
        <a:lstStyle/>
        <a:p>
          <a:r>
            <a:rPr lang="en-AU" sz="900">
              <a:latin typeface="Arial" panose="020B0604020202020204" pitchFamily="34" charset="0"/>
              <a:cs typeface="Arial" panose="020B0604020202020204" pitchFamily="34" charset="0"/>
            </a:rPr>
            <a:t>We endorse practice guidance that is subject to transparent and open consultative review</a:t>
          </a:r>
        </a:p>
      </dgm:t>
    </dgm:pt>
    <dgm:pt modelId="{F841DB8B-FCFC-471D-B163-A9D480C7CF2E}" type="parTrans" cxnId="{D7B533EE-AFC8-4900-BF36-A03F3D64B692}">
      <dgm:prSet/>
      <dgm:spPr/>
      <dgm:t>
        <a:bodyPr/>
        <a:lstStyle/>
        <a:p>
          <a:endParaRPr lang="en-AU"/>
        </a:p>
      </dgm:t>
    </dgm:pt>
    <dgm:pt modelId="{F56E3172-38A1-468F-9BAD-FB4226125491}" type="sibTrans" cxnId="{D7B533EE-AFC8-4900-BF36-A03F3D64B692}">
      <dgm:prSet/>
      <dgm:spPr/>
      <dgm:t>
        <a:bodyPr/>
        <a:lstStyle/>
        <a:p>
          <a:endParaRPr lang="en-AU"/>
        </a:p>
      </dgm:t>
    </dgm:pt>
    <dgm:pt modelId="{F2E87149-F75F-45EA-8C4D-1A1EEF357C1B}">
      <dgm:prSet phldrT="[Text]" custT="1"/>
      <dgm:spPr/>
      <dgm:t>
        <a:bodyPr/>
        <a:lstStyle/>
        <a:p>
          <a:r>
            <a:rPr lang="en-AU" sz="1000">
              <a:latin typeface="Arial" panose="020B0604020202020204" pitchFamily="34" charset="0"/>
              <a:cs typeface="Arial" panose="020B0604020202020204" pitchFamily="34" charset="0"/>
            </a:rPr>
            <a:t>Transparent</a:t>
          </a:r>
        </a:p>
      </dgm:t>
    </dgm:pt>
    <dgm:pt modelId="{6483D2E9-81A4-463A-A73D-6FBBE1435BDD}" type="parTrans" cxnId="{79A42C4A-FED9-4D9C-AC45-EE261C61A6CA}">
      <dgm:prSet/>
      <dgm:spPr/>
      <dgm:t>
        <a:bodyPr/>
        <a:lstStyle/>
        <a:p>
          <a:endParaRPr lang="en-AU"/>
        </a:p>
      </dgm:t>
    </dgm:pt>
    <dgm:pt modelId="{D3105733-0035-471A-8447-8CCEFB4AB7B3}" type="sibTrans" cxnId="{79A42C4A-FED9-4D9C-AC45-EE261C61A6CA}">
      <dgm:prSet/>
      <dgm:spPr/>
      <dgm:t>
        <a:bodyPr/>
        <a:lstStyle/>
        <a:p>
          <a:endParaRPr lang="en-AU"/>
        </a:p>
      </dgm:t>
    </dgm:pt>
    <dgm:pt modelId="{837560A2-A3FF-4951-B316-9BDFDC4C0B67}">
      <dgm:prSet phldrT="[Text]" custT="1"/>
      <dgm:spPr/>
      <dgm:t>
        <a:bodyPr/>
        <a:lstStyle/>
        <a:p>
          <a:r>
            <a:rPr lang="en-AU" sz="900">
              <a:latin typeface="Arial" panose="020B0604020202020204" pitchFamily="34" charset="0"/>
              <a:cs typeface="Arial" panose="020B0604020202020204" pitchFamily="34" charset="0"/>
            </a:rPr>
            <a:t>Although most practitioners practise in line with accepted standards, we acknowledge the risk of</a:t>
          </a:r>
          <a:r>
            <a:rPr lang="en-US" sz="900">
              <a:latin typeface="Arial" panose="020B0604020202020204" pitchFamily="34" charset="0"/>
              <a:cs typeface="Arial" panose="020B0604020202020204" pitchFamily="34" charset="0"/>
            </a:rPr>
            <a:t> infection transmission is serious and inherent to dental practice</a:t>
          </a:r>
          <a:endParaRPr lang="en-AU" sz="900">
            <a:latin typeface="Arial" panose="020B0604020202020204" pitchFamily="34" charset="0"/>
            <a:cs typeface="Arial" panose="020B0604020202020204" pitchFamily="34" charset="0"/>
          </a:endParaRPr>
        </a:p>
      </dgm:t>
    </dgm:pt>
    <dgm:pt modelId="{F6152318-412C-4FE6-8D05-F92D64DC17E1}" type="parTrans" cxnId="{BA554881-7668-4A20-9E38-5C8C4A47D898}">
      <dgm:prSet/>
      <dgm:spPr/>
      <dgm:t>
        <a:bodyPr/>
        <a:lstStyle/>
        <a:p>
          <a:endParaRPr lang="en-AU"/>
        </a:p>
      </dgm:t>
    </dgm:pt>
    <dgm:pt modelId="{542E604D-73FC-441E-8024-B2A66F46ED20}" type="sibTrans" cxnId="{BA554881-7668-4A20-9E38-5C8C4A47D898}">
      <dgm:prSet/>
      <dgm:spPr/>
      <dgm:t>
        <a:bodyPr/>
        <a:lstStyle/>
        <a:p>
          <a:endParaRPr lang="en-AU"/>
        </a:p>
      </dgm:t>
    </dgm:pt>
    <dgm:pt modelId="{E766489B-F35A-47F3-9C61-F66EB832553C}">
      <dgm:prSet phldrT="[Text]" custT="1"/>
      <dgm:spPr/>
      <dgm:t>
        <a:bodyPr/>
        <a:lstStyle/>
        <a:p>
          <a:r>
            <a:rPr lang="en-AU" sz="1000">
              <a:latin typeface="Arial" panose="020B0604020202020204" pitchFamily="34" charset="0"/>
              <a:cs typeface="Arial" panose="020B0604020202020204" pitchFamily="34" charset="0"/>
            </a:rPr>
            <a:t>Streamlined</a:t>
          </a:r>
        </a:p>
      </dgm:t>
    </dgm:pt>
    <dgm:pt modelId="{25E5F26B-CA52-4D31-9DDA-5DE123F2FBC7}" type="parTrans" cxnId="{8FE95569-F274-4F20-AD3E-EE4E61F4CEC8}">
      <dgm:prSet/>
      <dgm:spPr/>
      <dgm:t>
        <a:bodyPr/>
        <a:lstStyle/>
        <a:p>
          <a:endParaRPr lang="en-AU"/>
        </a:p>
      </dgm:t>
    </dgm:pt>
    <dgm:pt modelId="{01518DBA-FB54-4477-9F11-AFCB5AE21F8E}" type="sibTrans" cxnId="{8FE95569-F274-4F20-AD3E-EE4E61F4CEC8}">
      <dgm:prSet/>
      <dgm:spPr/>
      <dgm:t>
        <a:bodyPr/>
        <a:lstStyle/>
        <a:p>
          <a:endParaRPr lang="en-AU"/>
        </a:p>
      </dgm:t>
    </dgm:pt>
    <dgm:pt modelId="{14D7F8C6-36BF-4CFF-B845-3342AB986D6E}">
      <dgm:prSet phldrT="[Text]" custT="1"/>
      <dgm:spPr/>
      <dgm:t>
        <a:bodyPr/>
        <a:lstStyle/>
        <a:p>
          <a:r>
            <a:rPr lang="en-AU" sz="900">
              <a:latin typeface="Arial" panose="020B0604020202020204" pitchFamily="34" charset="0"/>
              <a:cs typeface="Arial" panose="020B0604020202020204" pitchFamily="34" charset="0"/>
            </a:rPr>
            <a:t>We aim to reduce duplication of information about infection prevention and control</a:t>
          </a:r>
        </a:p>
      </dgm:t>
    </dgm:pt>
    <dgm:pt modelId="{F3539EF3-77CD-406A-A6C0-EFCDAC6094D3}" type="parTrans" cxnId="{640F793D-74A4-4EFB-8582-04FBAF3F3949}">
      <dgm:prSet/>
      <dgm:spPr/>
      <dgm:t>
        <a:bodyPr/>
        <a:lstStyle/>
        <a:p>
          <a:endParaRPr lang="en-AU"/>
        </a:p>
      </dgm:t>
    </dgm:pt>
    <dgm:pt modelId="{5D060820-5069-454F-8C0E-60E82DBBD1DB}" type="sibTrans" cxnId="{640F793D-74A4-4EFB-8582-04FBAF3F3949}">
      <dgm:prSet/>
      <dgm:spPr/>
      <dgm:t>
        <a:bodyPr/>
        <a:lstStyle/>
        <a:p>
          <a:endParaRPr lang="en-AU"/>
        </a:p>
      </dgm:t>
    </dgm:pt>
    <dgm:pt modelId="{6F826A0F-4497-4FA7-A350-94FD31FBF195}" type="pres">
      <dgm:prSet presAssocID="{88644F40-815A-4554-83CB-8CD68AA948CA}" presName="Name0" presStyleCnt="0">
        <dgm:presLayoutVars>
          <dgm:dir/>
          <dgm:animLvl val="lvl"/>
          <dgm:resizeHandles val="exact"/>
        </dgm:presLayoutVars>
      </dgm:prSet>
      <dgm:spPr/>
    </dgm:pt>
    <dgm:pt modelId="{78790916-0FA3-4455-9207-4487F0665EA9}" type="pres">
      <dgm:prSet presAssocID="{4CA572B7-336E-4A0D-A4CE-E6C265C60651}" presName="linNode" presStyleCnt="0"/>
      <dgm:spPr/>
    </dgm:pt>
    <dgm:pt modelId="{E8B46D08-763F-485A-9BE9-0B24C15D38C3}" type="pres">
      <dgm:prSet presAssocID="{4CA572B7-336E-4A0D-A4CE-E6C265C60651}" presName="parentText" presStyleLbl="node1" presStyleIdx="0" presStyleCnt="5">
        <dgm:presLayoutVars>
          <dgm:chMax val="1"/>
          <dgm:bulletEnabled val="1"/>
        </dgm:presLayoutVars>
      </dgm:prSet>
      <dgm:spPr/>
    </dgm:pt>
    <dgm:pt modelId="{7CB3D420-68BC-464B-9A1C-C002995B3677}" type="pres">
      <dgm:prSet presAssocID="{4CA572B7-336E-4A0D-A4CE-E6C265C60651}" presName="descendantText" presStyleLbl="alignAccFollowNode1" presStyleIdx="0" presStyleCnt="5">
        <dgm:presLayoutVars>
          <dgm:bulletEnabled val="1"/>
        </dgm:presLayoutVars>
      </dgm:prSet>
      <dgm:spPr/>
    </dgm:pt>
    <dgm:pt modelId="{52395F94-DBE7-4D51-8457-918243FABF01}" type="pres">
      <dgm:prSet presAssocID="{4BDC1518-7198-44BB-AE6A-F10E9CAB9ACD}" presName="sp" presStyleCnt="0"/>
      <dgm:spPr/>
    </dgm:pt>
    <dgm:pt modelId="{BE8EF949-1A81-434A-B338-ECCED853893E}" type="pres">
      <dgm:prSet presAssocID="{3A97C1D3-F76E-4698-AE92-1B6BAB6E4ED3}" presName="linNode" presStyleCnt="0"/>
      <dgm:spPr/>
    </dgm:pt>
    <dgm:pt modelId="{87B77344-834F-4A99-9621-B700C94062C2}" type="pres">
      <dgm:prSet presAssocID="{3A97C1D3-F76E-4698-AE92-1B6BAB6E4ED3}" presName="parentText" presStyleLbl="node1" presStyleIdx="1" presStyleCnt="5">
        <dgm:presLayoutVars>
          <dgm:chMax val="1"/>
          <dgm:bulletEnabled val="1"/>
        </dgm:presLayoutVars>
      </dgm:prSet>
      <dgm:spPr/>
    </dgm:pt>
    <dgm:pt modelId="{64B5111B-938E-4544-BEC3-990856A72B4F}" type="pres">
      <dgm:prSet presAssocID="{3A97C1D3-F76E-4698-AE92-1B6BAB6E4ED3}" presName="descendantText" presStyleLbl="alignAccFollowNode1" presStyleIdx="1" presStyleCnt="5">
        <dgm:presLayoutVars>
          <dgm:bulletEnabled val="1"/>
        </dgm:presLayoutVars>
      </dgm:prSet>
      <dgm:spPr/>
    </dgm:pt>
    <dgm:pt modelId="{E1092AF8-DA26-4BC0-9A07-0E6DE196E0A3}" type="pres">
      <dgm:prSet presAssocID="{DFF36797-45E7-4232-BE32-B7A89E49103C}" presName="sp" presStyleCnt="0"/>
      <dgm:spPr/>
    </dgm:pt>
    <dgm:pt modelId="{520DC231-1C0F-40CD-9E6D-BE5475E0AA80}" type="pres">
      <dgm:prSet presAssocID="{70DD4AAA-371B-45A8-9D66-36C7C10A4237}" presName="linNode" presStyleCnt="0"/>
      <dgm:spPr/>
    </dgm:pt>
    <dgm:pt modelId="{7CCBAD69-FB87-49D2-886C-A393795A2EDB}" type="pres">
      <dgm:prSet presAssocID="{70DD4AAA-371B-45A8-9D66-36C7C10A4237}" presName="parentText" presStyleLbl="node1" presStyleIdx="2" presStyleCnt="5">
        <dgm:presLayoutVars>
          <dgm:chMax val="1"/>
          <dgm:bulletEnabled val="1"/>
        </dgm:presLayoutVars>
      </dgm:prSet>
      <dgm:spPr/>
    </dgm:pt>
    <dgm:pt modelId="{28A461D7-1D97-42A4-BB30-63061C9009AC}" type="pres">
      <dgm:prSet presAssocID="{70DD4AAA-371B-45A8-9D66-36C7C10A4237}" presName="descendantText" presStyleLbl="alignAccFollowNode1" presStyleIdx="2" presStyleCnt="5">
        <dgm:presLayoutVars>
          <dgm:bulletEnabled val="1"/>
        </dgm:presLayoutVars>
      </dgm:prSet>
      <dgm:spPr/>
    </dgm:pt>
    <dgm:pt modelId="{2CE0AD6F-D733-47D6-88CB-C4C19475308C}" type="pres">
      <dgm:prSet presAssocID="{505993DF-C63F-4B63-9A70-94F87922FEFB}" presName="sp" presStyleCnt="0"/>
      <dgm:spPr/>
    </dgm:pt>
    <dgm:pt modelId="{2EC41549-9AD1-4352-865A-DEE6940C8FE7}" type="pres">
      <dgm:prSet presAssocID="{E766489B-F35A-47F3-9C61-F66EB832553C}" presName="linNode" presStyleCnt="0"/>
      <dgm:spPr/>
    </dgm:pt>
    <dgm:pt modelId="{0F04CA1F-9A7E-4585-A9CF-7F5DF7C9019E}" type="pres">
      <dgm:prSet presAssocID="{E766489B-F35A-47F3-9C61-F66EB832553C}" presName="parentText" presStyleLbl="node1" presStyleIdx="3" presStyleCnt="5">
        <dgm:presLayoutVars>
          <dgm:chMax val="1"/>
          <dgm:bulletEnabled val="1"/>
        </dgm:presLayoutVars>
      </dgm:prSet>
      <dgm:spPr/>
    </dgm:pt>
    <dgm:pt modelId="{230EC765-C752-47E6-AF89-F7B1D1BDD5F3}" type="pres">
      <dgm:prSet presAssocID="{E766489B-F35A-47F3-9C61-F66EB832553C}" presName="descendantText" presStyleLbl="alignAccFollowNode1" presStyleIdx="3" presStyleCnt="5">
        <dgm:presLayoutVars>
          <dgm:bulletEnabled val="1"/>
        </dgm:presLayoutVars>
      </dgm:prSet>
      <dgm:spPr/>
    </dgm:pt>
    <dgm:pt modelId="{CB00D420-C6C4-411C-AF1C-FB1F8598A457}" type="pres">
      <dgm:prSet presAssocID="{01518DBA-FB54-4477-9F11-AFCB5AE21F8E}" presName="sp" presStyleCnt="0"/>
      <dgm:spPr/>
    </dgm:pt>
    <dgm:pt modelId="{E85BBD82-6448-4FF0-B9AB-724694606974}" type="pres">
      <dgm:prSet presAssocID="{F2E87149-F75F-45EA-8C4D-1A1EEF357C1B}" presName="linNode" presStyleCnt="0"/>
      <dgm:spPr/>
    </dgm:pt>
    <dgm:pt modelId="{0FE3EC3C-2EBE-4356-8176-909E6378F857}" type="pres">
      <dgm:prSet presAssocID="{F2E87149-F75F-45EA-8C4D-1A1EEF357C1B}" presName="parentText" presStyleLbl="node1" presStyleIdx="4" presStyleCnt="5">
        <dgm:presLayoutVars>
          <dgm:chMax val="1"/>
          <dgm:bulletEnabled val="1"/>
        </dgm:presLayoutVars>
      </dgm:prSet>
      <dgm:spPr/>
    </dgm:pt>
    <dgm:pt modelId="{085CB0A2-040E-4597-B1AB-554C80F89F9C}" type="pres">
      <dgm:prSet presAssocID="{F2E87149-F75F-45EA-8C4D-1A1EEF357C1B}" presName="descendantText" presStyleLbl="alignAccFollowNode1" presStyleIdx="4" presStyleCnt="5" custLinFactNeighborY="-1291">
        <dgm:presLayoutVars>
          <dgm:bulletEnabled val="1"/>
        </dgm:presLayoutVars>
      </dgm:prSet>
      <dgm:spPr/>
    </dgm:pt>
  </dgm:ptLst>
  <dgm:cxnLst>
    <dgm:cxn modelId="{34167B0E-9697-4F8B-8B56-A3F0803E857A}" srcId="{3A97C1D3-F76E-4698-AE92-1B6BAB6E4ED3}" destId="{0BFED305-0542-4AC4-9DCF-7FEC2A2EAD65}" srcOrd="0" destOrd="0" parTransId="{2C680ACF-75F8-494B-8793-5DAB5FAFBB4D}" sibTransId="{9BAAAEEB-9589-4764-A9B0-967CFB1AC71F}"/>
    <dgm:cxn modelId="{9CC7E913-5102-4AB0-B434-09FC44B4D3EA}" type="presOf" srcId="{E766489B-F35A-47F3-9C61-F66EB832553C}" destId="{0F04CA1F-9A7E-4585-A9CF-7F5DF7C9019E}" srcOrd="0" destOrd="0" presId="urn:microsoft.com/office/officeart/2005/8/layout/vList5"/>
    <dgm:cxn modelId="{2088B82E-E47F-45D5-B78A-04F2EE8E6B2B}" type="presOf" srcId="{14D7F8C6-36BF-4CFF-B845-3342AB986D6E}" destId="{230EC765-C752-47E6-AF89-F7B1D1BDD5F3}" srcOrd="0" destOrd="0" presId="urn:microsoft.com/office/officeart/2005/8/layout/vList5"/>
    <dgm:cxn modelId="{640F793D-74A4-4EFB-8582-04FBAF3F3949}" srcId="{E766489B-F35A-47F3-9C61-F66EB832553C}" destId="{14D7F8C6-36BF-4CFF-B845-3342AB986D6E}" srcOrd="0" destOrd="0" parTransId="{F3539EF3-77CD-406A-A6C0-EFCDAC6094D3}" sibTransId="{5D060820-5069-454F-8C0E-60E82DBBD1DB}"/>
    <dgm:cxn modelId="{A8E38B60-7DC2-4ED7-A153-AF61B026336A}" type="presOf" srcId="{837560A2-A3FF-4951-B316-9BDFDC4C0B67}" destId="{28A461D7-1D97-42A4-BB30-63061C9009AC}" srcOrd="0" destOrd="0" presId="urn:microsoft.com/office/officeart/2005/8/layout/vList5"/>
    <dgm:cxn modelId="{4A0D5A67-2AE4-45BF-8FC8-B0D45F84E389}" type="presOf" srcId="{70DD4AAA-371B-45A8-9D66-36C7C10A4237}" destId="{7CCBAD69-FB87-49D2-886C-A393795A2EDB}" srcOrd="0" destOrd="0" presId="urn:microsoft.com/office/officeart/2005/8/layout/vList5"/>
    <dgm:cxn modelId="{8FE95569-F274-4F20-AD3E-EE4E61F4CEC8}" srcId="{88644F40-815A-4554-83CB-8CD68AA948CA}" destId="{E766489B-F35A-47F3-9C61-F66EB832553C}" srcOrd="3" destOrd="0" parTransId="{25E5F26B-CA52-4D31-9DDA-5DE123F2FBC7}" sibTransId="{01518DBA-FB54-4477-9F11-AFCB5AE21F8E}"/>
    <dgm:cxn modelId="{79A42C4A-FED9-4D9C-AC45-EE261C61A6CA}" srcId="{88644F40-815A-4554-83CB-8CD68AA948CA}" destId="{F2E87149-F75F-45EA-8C4D-1A1EEF357C1B}" srcOrd="4" destOrd="0" parTransId="{6483D2E9-81A4-463A-A73D-6FBBE1435BDD}" sibTransId="{D3105733-0035-471A-8447-8CCEFB4AB7B3}"/>
    <dgm:cxn modelId="{C258DF4C-F66B-4F00-A0FA-2B36E5485797}" type="presOf" srcId="{4CA572B7-336E-4A0D-A4CE-E6C265C60651}" destId="{E8B46D08-763F-485A-9BE9-0B24C15D38C3}" srcOrd="0" destOrd="0" presId="urn:microsoft.com/office/officeart/2005/8/layout/vList5"/>
    <dgm:cxn modelId="{BA554881-7668-4A20-9E38-5C8C4A47D898}" srcId="{70DD4AAA-371B-45A8-9D66-36C7C10A4237}" destId="{837560A2-A3FF-4951-B316-9BDFDC4C0B67}" srcOrd="0" destOrd="0" parTransId="{F6152318-412C-4FE6-8D05-F92D64DC17E1}" sibTransId="{542E604D-73FC-441E-8024-B2A66F46ED20}"/>
    <dgm:cxn modelId="{E2813C82-1568-4F79-B22D-6A78C96A7A66}" type="presOf" srcId="{88644F40-815A-4554-83CB-8CD68AA948CA}" destId="{6F826A0F-4497-4FA7-A350-94FD31FBF195}" srcOrd="0" destOrd="0" presId="urn:microsoft.com/office/officeart/2005/8/layout/vList5"/>
    <dgm:cxn modelId="{10665D8B-0F2E-4574-AC26-5D4AFD92B931}" type="presOf" srcId="{F2E87149-F75F-45EA-8C4D-1A1EEF357C1B}" destId="{0FE3EC3C-2EBE-4356-8176-909E6378F857}" srcOrd="0" destOrd="0" presId="urn:microsoft.com/office/officeart/2005/8/layout/vList5"/>
    <dgm:cxn modelId="{9D134B96-7E6C-49BF-88ED-7065A082318F}" type="presOf" srcId="{048A3A42-7D0A-48E4-8B07-E66102DCE6F9}" destId="{085CB0A2-040E-4597-B1AB-554C80F89F9C}" srcOrd="0" destOrd="0" presId="urn:microsoft.com/office/officeart/2005/8/layout/vList5"/>
    <dgm:cxn modelId="{3522E1AE-09D2-400B-A28F-6B375DF0FB78}" type="presOf" srcId="{3A97C1D3-F76E-4698-AE92-1B6BAB6E4ED3}" destId="{87B77344-834F-4A99-9621-B700C94062C2}" srcOrd="0" destOrd="0" presId="urn:microsoft.com/office/officeart/2005/8/layout/vList5"/>
    <dgm:cxn modelId="{9839C8CF-0A5A-4F69-A014-9C0119747268}" srcId="{4CA572B7-336E-4A0D-A4CE-E6C265C60651}" destId="{D8AC0AC8-3163-4778-ADE0-D02D4923E2C7}" srcOrd="0" destOrd="0" parTransId="{CFC614A0-6611-410A-B05A-C8EB76B1ED7B}" sibTransId="{F7CCFA3B-4D5F-4A78-B663-B9D9715E36F1}"/>
    <dgm:cxn modelId="{9FC159D4-77A4-453C-9E30-C2EDCB306316}" type="presOf" srcId="{D8AC0AC8-3163-4778-ADE0-D02D4923E2C7}" destId="{7CB3D420-68BC-464B-9A1C-C002995B3677}" srcOrd="0" destOrd="0" presId="urn:microsoft.com/office/officeart/2005/8/layout/vList5"/>
    <dgm:cxn modelId="{3EE748DE-79FC-40EC-AA2A-732DEE24BAAA}" srcId="{88644F40-815A-4554-83CB-8CD68AA948CA}" destId="{70DD4AAA-371B-45A8-9D66-36C7C10A4237}" srcOrd="2" destOrd="0" parTransId="{47046704-8465-42B8-8FF7-BEB8E9236D54}" sibTransId="{505993DF-C63F-4B63-9A70-94F87922FEFB}"/>
    <dgm:cxn modelId="{28C0F7E0-B63D-4C71-B9BC-28DDD0F94467}" srcId="{88644F40-815A-4554-83CB-8CD68AA948CA}" destId="{4CA572B7-336E-4A0D-A4CE-E6C265C60651}" srcOrd="0" destOrd="0" parTransId="{DC7321D9-6BAD-4B77-9AA9-102C29C397D5}" sibTransId="{4BDC1518-7198-44BB-AE6A-F10E9CAB9ACD}"/>
    <dgm:cxn modelId="{D7B533EE-AFC8-4900-BF36-A03F3D64B692}" srcId="{F2E87149-F75F-45EA-8C4D-1A1EEF357C1B}" destId="{048A3A42-7D0A-48E4-8B07-E66102DCE6F9}" srcOrd="0" destOrd="0" parTransId="{F841DB8B-FCFC-471D-B163-A9D480C7CF2E}" sibTransId="{F56E3172-38A1-468F-9BAD-FB4226125491}"/>
    <dgm:cxn modelId="{752DD2F5-69A9-412D-BCB1-AAF18FEDD010}" srcId="{88644F40-815A-4554-83CB-8CD68AA948CA}" destId="{3A97C1D3-F76E-4698-AE92-1B6BAB6E4ED3}" srcOrd="1" destOrd="0" parTransId="{92124D6C-1327-41F5-855F-9848A4CB468E}" sibTransId="{DFF36797-45E7-4232-BE32-B7A89E49103C}"/>
    <dgm:cxn modelId="{7DC583FB-EE69-45CE-B0B9-B5A5184D260E}" type="presOf" srcId="{0BFED305-0542-4AC4-9DCF-7FEC2A2EAD65}" destId="{64B5111B-938E-4544-BEC3-990856A72B4F}" srcOrd="0" destOrd="0" presId="urn:microsoft.com/office/officeart/2005/8/layout/vList5"/>
    <dgm:cxn modelId="{5F014D11-B37F-499D-961B-87F73DF7FB05}" type="presParOf" srcId="{6F826A0F-4497-4FA7-A350-94FD31FBF195}" destId="{78790916-0FA3-4455-9207-4487F0665EA9}" srcOrd="0" destOrd="0" presId="urn:microsoft.com/office/officeart/2005/8/layout/vList5"/>
    <dgm:cxn modelId="{124CBD22-1992-45D1-833F-1F14A8FA4A53}" type="presParOf" srcId="{78790916-0FA3-4455-9207-4487F0665EA9}" destId="{E8B46D08-763F-485A-9BE9-0B24C15D38C3}" srcOrd="0" destOrd="0" presId="urn:microsoft.com/office/officeart/2005/8/layout/vList5"/>
    <dgm:cxn modelId="{A9780926-5395-4207-8893-DD86D503273D}" type="presParOf" srcId="{78790916-0FA3-4455-9207-4487F0665EA9}" destId="{7CB3D420-68BC-464B-9A1C-C002995B3677}" srcOrd="1" destOrd="0" presId="urn:microsoft.com/office/officeart/2005/8/layout/vList5"/>
    <dgm:cxn modelId="{CF063338-15CB-4C8F-88B9-F15D38DE6EF5}" type="presParOf" srcId="{6F826A0F-4497-4FA7-A350-94FD31FBF195}" destId="{52395F94-DBE7-4D51-8457-918243FABF01}" srcOrd="1" destOrd="0" presId="urn:microsoft.com/office/officeart/2005/8/layout/vList5"/>
    <dgm:cxn modelId="{791050B4-DF6A-4AA0-9084-DEF6B021271A}" type="presParOf" srcId="{6F826A0F-4497-4FA7-A350-94FD31FBF195}" destId="{BE8EF949-1A81-434A-B338-ECCED853893E}" srcOrd="2" destOrd="0" presId="urn:microsoft.com/office/officeart/2005/8/layout/vList5"/>
    <dgm:cxn modelId="{FA6DF46D-FACF-4A84-A06D-948FA0FF7014}" type="presParOf" srcId="{BE8EF949-1A81-434A-B338-ECCED853893E}" destId="{87B77344-834F-4A99-9621-B700C94062C2}" srcOrd="0" destOrd="0" presId="urn:microsoft.com/office/officeart/2005/8/layout/vList5"/>
    <dgm:cxn modelId="{7DCB8A03-A27D-4321-9BBC-E9FF0AD87ED3}" type="presParOf" srcId="{BE8EF949-1A81-434A-B338-ECCED853893E}" destId="{64B5111B-938E-4544-BEC3-990856A72B4F}" srcOrd="1" destOrd="0" presId="urn:microsoft.com/office/officeart/2005/8/layout/vList5"/>
    <dgm:cxn modelId="{FD67EDFC-2D81-4F8F-AF23-C5FCB9224639}" type="presParOf" srcId="{6F826A0F-4497-4FA7-A350-94FD31FBF195}" destId="{E1092AF8-DA26-4BC0-9A07-0E6DE196E0A3}" srcOrd="3" destOrd="0" presId="urn:microsoft.com/office/officeart/2005/8/layout/vList5"/>
    <dgm:cxn modelId="{DDF2E03D-740B-459D-B614-F10CA63770BB}" type="presParOf" srcId="{6F826A0F-4497-4FA7-A350-94FD31FBF195}" destId="{520DC231-1C0F-40CD-9E6D-BE5475E0AA80}" srcOrd="4" destOrd="0" presId="urn:microsoft.com/office/officeart/2005/8/layout/vList5"/>
    <dgm:cxn modelId="{5A0ECDBC-D4D3-4496-964D-24A85C8FB5F8}" type="presParOf" srcId="{520DC231-1C0F-40CD-9E6D-BE5475E0AA80}" destId="{7CCBAD69-FB87-49D2-886C-A393795A2EDB}" srcOrd="0" destOrd="0" presId="urn:microsoft.com/office/officeart/2005/8/layout/vList5"/>
    <dgm:cxn modelId="{317A4CE6-DFCB-4519-B241-B9BEEAD9F42B}" type="presParOf" srcId="{520DC231-1C0F-40CD-9E6D-BE5475E0AA80}" destId="{28A461D7-1D97-42A4-BB30-63061C9009AC}" srcOrd="1" destOrd="0" presId="urn:microsoft.com/office/officeart/2005/8/layout/vList5"/>
    <dgm:cxn modelId="{7CD9A1CE-25CB-49B3-BD72-CD68E1719999}" type="presParOf" srcId="{6F826A0F-4497-4FA7-A350-94FD31FBF195}" destId="{2CE0AD6F-D733-47D6-88CB-C4C19475308C}" srcOrd="5" destOrd="0" presId="urn:microsoft.com/office/officeart/2005/8/layout/vList5"/>
    <dgm:cxn modelId="{0F6A0754-1ED5-49AF-946E-54724DE79AE2}" type="presParOf" srcId="{6F826A0F-4497-4FA7-A350-94FD31FBF195}" destId="{2EC41549-9AD1-4352-865A-DEE6940C8FE7}" srcOrd="6" destOrd="0" presId="urn:microsoft.com/office/officeart/2005/8/layout/vList5"/>
    <dgm:cxn modelId="{9FC8FB3B-E236-4DBD-9C6D-DA90B656500E}" type="presParOf" srcId="{2EC41549-9AD1-4352-865A-DEE6940C8FE7}" destId="{0F04CA1F-9A7E-4585-A9CF-7F5DF7C9019E}" srcOrd="0" destOrd="0" presId="urn:microsoft.com/office/officeart/2005/8/layout/vList5"/>
    <dgm:cxn modelId="{7FD6CD31-7973-4DBF-9174-77ED9A785E05}" type="presParOf" srcId="{2EC41549-9AD1-4352-865A-DEE6940C8FE7}" destId="{230EC765-C752-47E6-AF89-F7B1D1BDD5F3}" srcOrd="1" destOrd="0" presId="urn:microsoft.com/office/officeart/2005/8/layout/vList5"/>
    <dgm:cxn modelId="{83AA22C8-F06F-434A-BE26-25C465EF0AE1}" type="presParOf" srcId="{6F826A0F-4497-4FA7-A350-94FD31FBF195}" destId="{CB00D420-C6C4-411C-AF1C-FB1F8598A457}" srcOrd="7" destOrd="0" presId="urn:microsoft.com/office/officeart/2005/8/layout/vList5"/>
    <dgm:cxn modelId="{373493A6-73E3-4A6A-A189-B4553D1F31AE}" type="presParOf" srcId="{6F826A0F-4497-4FA7-A350-94FD31FBF195}" destId="{E85BBD82-6448-4FF0-B9AB-724694606974}" srcOrd="8" destOrd="0" presId="urn:microsoft.com/office/officeart/2005/8/layout/vList5"/>
    <dgm:cxn modelId="{81AB86B8-5DA5-42C6-8BBF-016DB9F80591}" type="presParOf" srcId="{E85BBD82-6448-4FF0-B9AB-724694606974}" destId="{0FE3EC3C-2EBE-4356-8176-909E6378F857}" srcOrd="0" destOrd="0" presId="urn:microsoft.com/office/officeart/2005/8/layout/vList5"/>
    <dgm:cxn modelId="{33BC64F7-3D6D-4978-86B1-8FB5749EAB64}" type="presParOf" srcId="{E85BBD82-6448-4FF0-B9AB-724694606974}" destId="{085CB0A2-040E-4597-B1AB-554C80F89F9C}" srcOrd="1" destOrd="0" presId="urn:microsoft.com/office/officeart/2005/8/layout/vList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B3D420-68BC-464B-9A1C-C002995B3677}">
      <dsp:nvSpPr>
        <dsp:cNvPr id="0" name=""/>
        <dsp:cNvSpPr/>
      </dsp:nvSpPr>
      <dsp:spPr>
        <a:xfrm rot="5400000">
          <a:off x="3792210" y="-1653143"/>
          <a:ext cx="334790" cy="372668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AU" sz="900" kern="1200">
              <a:latin typeface="Arial" panose="020B0604020202020204" pitchFamily="34" charset="0"/>
              <a:cs typeface="Arial" panose="020B0604020202020204" pitchFamily="34" charset="0"/>
            </a:rPr>
            <a:t>The key objective is to </a:t>
          </a:r>
          <a:r>
            <a:rPr lang="en-US" sz="900" kern="1200">
              <a:latin typeface="Arial" panose="020B0604020202020204" pitchFamily="34" charset="0"/>
              <a:cs typeface="Arial" panose="020B0604020202020204" pitchFamily="34" charset="0"/>
            </a:rPr>
            <a:t>protect the public from the harm of the risk of transmission of infection</a:t>
          </a:r>
          <a:endParaRPr lang="en-AU" sz="900" kern="1200">
            <a:highlight>
              <a:srgbClr val="FFFF00"/>
            </a:highlight>
            <a:latin typeface="Arial" panose="020B0604020202020204" pitchFamily="34" charset="0"/>
            <a:cs typeface="Arial" panose="020B0604020202020204" pitchFamily="34" charset="0"/>
          </a:endParaRPr>
        </a:p>
      </dsp:txBody>
      <dsp:txXfrm rot="-5400000">
        <a:off x="2096262" y="59148"/>
        <a:ext cx="3710345" cy="302104"/>
      </dsp:txXfrm>
    </dsp:sp>
    <dsp:sp modelId="{E8B46D08-763F-485A-9BE9-0B24C15D38C3}">
      <dsp:nvSpPr>
        <dsp:cNvPr id="0" name=""/>
        <dsp:cNvSpPr/>
      </dsp:nvSpPr>
      <dsp:spPr>
        <a:xfrm>
          <a:off x="0" y="957"/>
          <a:ext cx="2096262" cy="4184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Outcome-focused</a:t>
          </a:r>
        </a:p>
      </dsp:txBody>
      <dsp:txXfrm>
        <a:off x="20429" y="21386"/>
        <a:ext cx="2055404" cy="377629"/>
      </dsp:txXfrm>
    </dsp:sp>
    <dsp:sp modelId="{64B5111B-938E-4544-BEC3-990856A72B4F}">
      <dsp:nvSpPr>
        <dsp:cNvPr id="0" name=""/>
        <dsp:cNvSpPr/>
      </dsp:nvSpPr>
      <dsp:spPr>
        <a:xfrm rot="5400000">
          <a:off x="3792210" y="-1213731"/>
          <a:ext cx="334790" cy="372668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AU" sz="900" kern="1200">
              <a:latin typeface="Arial" panose="020B0604020202020204" pitchFamily="34" charset="0"/>
              <a:cs typeface="Arial" panose="020B0604020202020204" pitchFamily="34" charset="0"/>
            </a:rPr>
            <a:t>We only set expectations that are reasonably within a practitioner's sphere of control</a:t>
          </a:r>
        </a:p>
      </dsp:txBody>
      <dsp:txXfrm rot="-5400000">
        <a:off x="2096262" y="498560"/>
        <a:ext cx="3710345" cy="302104"/>
      </dsp:txXfrm>
    </dsp:sp>
    <dsp:sp modelId="{87B77344-834F-4A99-9621-B700C94062C2}">
      <dsp:nvSpPr>
        <dsp:cNvPr id="0" name=""/>
        <dsp:cNvSpPr/>
      </dsp:nvSpPr>
      <dsp:spPr>
        <a:xfrm>
          <a:off x="0" y="440369"/>
          <a:ext cx="2096262" cy="4184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Practicable</a:t>
          </a:r>
        </a:p>
      </dsp:txBody>
      <dsp:txXfrm>
        <a:off x="20429" y="460798"/>
        <a:ext cx="2055404" cy="377629"/>
      </dsp:txXfrm>
    </dsp:sp>
    <dsp:sp modelId="{28A461D7-1D97-42A4-BB30-63061C9009AC}">
      <dsp:nvSpPr>
        <dsp:cNvPr id="0" name=""/>
        <dsp:cNvSpPr/>
      </dsp:nvSpPr>
      <dsp:spPr>
        <a:xfrm rot="5400000">
          <a:off x="3792210" y="-774319"/>
          <a:ext cx="334790" cy="372668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AU" sz="900" kern="1200">
              <a:latin typeface="Arial" panose="020B0604020202020204" pitchFamily="34" charset="0"/>
              <a:cs typeface="Arial" panose="020B0604020202020204" pitchFamily="34" charset="0"/>
            </a:rPr>
            <a:t>Although most practitioners practise in line with accepted standards, we acknowledge the risk of</a:t>
          </a:r>
          <a:r>
            <a:rPr lang="en-US" sz="900" kern="1200">
              <a:latin typeface="Arial" panose="020B0604020202020204" pitchFamily="34" charset="0"/>
              <a:cs typeface="Arial" panose="020B0604020202020204" pitchFamily="34" charset="0"/>
            </a:rPr>
            <a:t> infection transmission is serious and inherent to dental practice</a:t>
          </a:r>
          <a:endParaRPr lang="en-AU" sz="900" kern="1200">
            <a:latin typeface="Arial" panose="020B0604020202020204" pitchFamily="34" charset="0"/>
            <a:cs typeface="Arial" panose="020B0604020202020204" pitchFamily="34" charset="0"/>
          </a:endParaRPr>
        </a:p>
      </dsp:txBody>
      <dsp:txXfrm rot="-5400000">
        <a:off x="2096262" y="937972"/>
        <a:ext cx="3710345" cy="302104"/>
      </dsp:txXfrm>
    </dsp:sp>
    <dsp:sp modelId="{7CCBAD69-FB87-49D2-886C-A393795A2EDB}">
      <dsp:nvSpPr>
        <dsp:cNvPr id="0" name=""/>
        <dsp:cNvSpPr/>
      </dsp:nvSpPr>
      <dsp:spPr>
        <a:xfrm>
          <a:off x="0" y="879781"/>
          <a:ext cx="2096262" cy="4184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Risk-based</a:t>
          </a:r>
        </a:p>
      </dsp:txBody>
      <dsp:txXfrm>
        <a:off x="20429" y="900210"/>
        <a:ext cx="2055404" cy="377629"/>
      </dsp:txXfrm>
    </dsp:sp>
    <dsp:sp modelId="{230EC765-C752-47E6-AF89-F7B1D1BDD5F3}">
      <dsp:nvSpPr>
        <dsp:cNvPr id="0" name=""/>
        <dsp:cNvSpPr/>
      </dsp:nvSpPr>
      <dsp:spPr>
        <a:xfrm rot="5400000">
          <a:off x="3792210" y="-334906"/>
          <a:ext cx="334790" cy="372668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AU" sz="900" kern="1200">
              <a:latin typeface="Arial" panose="020B0604020202020204" pitchFamily="34" charset="0"/>
              <a:cs typeface="Arial" panose="020B0604020202020204" pitchFamily="34" charset="0"/>
            </a:rPr>
            <a:t>We aim to reduce duplication of information about infection prevention and control</a:t>
          </a:r>
        </a:p>
      </dsp:txBody>
      <dsp:txXfrm rot="-5400000">
        <a:off x="2096262" y="1377385"/>
        <a:ext cx="3710345" cy="302104"/>
      </dsp:txXfrm>
    </dsp:sp>
    <dsp:sp modelId="{0F04CA1F-9A7E-4585-A9CF-7F5DF7C9019E}">
      <dsp:nvSpPr>
        <dsp:cNvPr id="0" name=""/>
        <dsp:cNvSpPr/>
      </dsp:nvSpPr>
      <dsp:spPr>
        <a:xfrm>
          <a:off x="0" y="1319193"/>
          <a:ext cx="2096262" cy="4184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Streamlined</a:t>
          </a:r>
        </a:p>
      </dsp:txBody>
      <dsp:txXfrm>
        <a:off x="20429" y="1339622"/>
        <a:ext cx="2055404" cy="377629"/>
      </dsp:txXfrm>
    </dsp:sp>
    <dsp:sp modelId="{085CB0A2-040E-4597-B1AB-554C80F89F9C}">
      <dsp:nvSpPr>
        <dsp:cNvPr id="0" name=""/>
        <dsp:cNvSpPr/>
      </dsp:nvSpPr>
      <dsp:spPr>
        <a:xfrm rot="5400000">
          <a:off x="3792210" y="100182"/>
          <a:ext cx="334790" cy="372668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AU" sz="900" kern="1200">
              <a:latin typeface="Arial" panose="020B0604020202020204" pitchFamily="34" charset="0"/>
              <a:cs typeface="Arial" panose="020B0604020202020204" pitchFamily="34" charset="0"/>
            </a:rPr>
            <a:t>We endorse practice guidance that is subject to transparent and open consultative review</a:t>
          </a:r>
        </a:p>
      </dsp:txBody>
      <dsp:txXfrm rot="-5400000">
        <a:off x="2096262" y="1812474"/>
        <a:ext cx="3710345" cy="302104"/>
      </dsp:txXfrm>
    </dsp:sp>
    <dsp:sp modelId="{0FE3EC3C-2EBE-4356-8176-909E6378F857}">
      <dsp:nvSpPr>
        <dsp:cNvPr id="0" name=""/>
        <dsp:cNvSpPr/>
      </dsp:nvSpPr>
      <dsp:spPr>
        <a:xfrm>
          <a:off x="0" y="1758605"/>
          <a:ext cx="2096262" cy="4184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Transparent</a:t>
          </a:r>
        </a:p>
      </dsp:txBody>
      <dsp:txXfrm>
        <a:off x="20429" y="1779034"/>
        <a:ext cx="2055404" cy="37762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3" ma:contentTypeDescription="Create a new document." ma:contentTypeScope="" ma:versionID="ffd8e21d008d19511b16550a14c671c7">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6e2e4cf0bac31db5d46a1905d386b43"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1494-78DA-4AD0-9E98-C0586F5BD368}">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50b1c92-5078-4f48-9f07-8ac9ba5b905d"/>
    <ds:schemaRef ds:uri="60e2ac08-e232-4add-ba3b-b6b56a49ca1f"/>
    <ds:schemaRef ds:uri="http://www.w3.org/XML/1998/namespace"/>
    <ds:schemaRef ds:uri="http://purl.org/dc/dcmitype/"/>
  </ds:schemaRefs>
</ds:datastoreItem>
</file>

<file path=customXml/itemProps2.xml><?xml version="1.0" encoding="utf-8"?>
<ds:datastoreItem xmlns:ds="http://schemas.openxmlformats.org/officeDocument/2006/customXml" ds:itemID="{92F196B9-E69E-409C-B3F2-00F82C554E59}">
  <ds:schemaRefs>
    <ds:schemaRef ds:uri="http://schemas.microsoft.com/sharepoint/v3/contenttype/forms"/>
  </ds:schemaRefs>
</ds:datastoreItem>
</file>

<file path=customXml/itemProps3.xml><?xml version="1.0" encoding="utf-8"?>
<ds:datastoreItem xmlns:ds="http://schemas.openxmlformats.org/officeDocument/2006/customXml" ds:itemID="{B224EA85-4CCD-4549-A991-A5A5B8535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D4A6B1-4670-4E9E-8955-F3D29652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6930</Words>
  <Characters>43704</Characters>
  <Application>Microsoft Office Word</Application>
  <DocSecurity>4</DocSecurity>
  <Lines>971</Lines>
  <Paragraphs>527</Paragraphs>
  <ScaleCrop>false</ScaleCrop>
  <HeadingPairs>
    <vt:vector size="2" baseType="variant">
      <vt:variant>
        <vt:lpstr>Title</vt:lpstr>
      </vt:variant>
      <vt:variant>
        <vt:i4>1</vt:i4>
      </vt:variant>
    </vt:vector>
  </HeadingPairs>
  <TitlesOfParts>
    <vt:vector size="1" baseType="lpstr">
      <vt:lpstr>Consultation paper - Guidelines on infection control - Attachments A&amp;B</vt:lpstr>
    </vt:vector>
  </TitlesOfParts>
  <Company>Ahpra</Company>
  <LinksUpToDate>false</LinksUpToDate>
  <CharactersWithSpaces>50107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 Guidelines on infection control - Attachments A&amp;B</dc:title>
  <dc:subject>Consultation paper and attachments</dc:subject>
  <dc:creator>Ahpra</dc:creator>
  <cp:keywords/>
  <dc:description/>
  <cp:lastModifiedBy>Sheryl Kamath</cp:lastModifiedBy>
  <cp:revision>2</cp:revision>
  <cp:lastPrinted>2021-08-25T03:41:00Z</cp:lastPrinted>
  <dcterms:created xsi:type="dcterms:W3CDTF">2021-09-08T04:57:00Z</dcterms:created>
  <dcterms:modified xsi:type="dcterms:W3CDTF">2021-09-08T04:57:00Z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y fmtid="{D5CDD505-2E9C-101B-9397-08002B2CF9AE}" pid="3" name="Refiners">
    <vt:lpwstr>75;#AHPRA|4c722da7-77f9-475a-a7b3-79fdcd2e4fb1</vt:lpwstr>
  </property>
  <property fmtid="{D5CDD505-2E9C-101B-9397-08002B2CF9AE}" pid="4" name="News Owner">
    <vt:lpwstr/>
  </property>
</Properties>
</file>