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7A73" w14:textId="77777777" w:rsidR="001B36F2" w:rsidRDefault="001B36F2" w:rsidP="00A77629">
      <w:pPr>
        <w:pStyle w:val="AHPRATitle"/>
        <w:rPr>
          <w:noProof/>
          <w:color w:val="00BCE4"/>
          <w:sz w:val="32"/>
          <w:lang w:val="en-AU" w:eastAsia="en-AU"/>
        </w:rPr>
      </w:pPr>
      <w:bookmarkStart w:id="0" w:name="_Toc24103298"/>
    </w:p>
    <w:p w14:paraId="02D1C227" w14:textId="2831A1EE" w:rsidR="000D6208" w:rsidRDefault="000D6208" w:rsidP="00A77629">
      <w:pPr>
        <w:pStyle w:val="AHPRATitle"/>
        <w:rPr>
          <w:noProof/>
          <w:color w:val="00BCE4"/>
          <w:sz w:val="32"/>
          <w:lang w:val="en-AU" w:eastAsia="en-AU"/>
        </w:rPr>
      </w:pPr>
    </w:p>
    <w:p w14:paraId="131DE1FC" w14:textId="77777777" w:rsidR="000348E3" w:rsidRPr="000348E3" w:rsidRDefault="000348E3" w:rsidP="000348E3">
      <w:pPr>
        <w:pStyle w:val="AHPRAHeadline"/>
        <w:rPr>
          <w:lang w:val="en-AU" w:eastAsia="en-AU"/>
        </w:rPr>
      </w:pPr>
    </w:p>
    <w:bookmarkStart w:id="1" w:name="_Toc24103299"/>
    <w:bookmarkEnd w:id="0"/>
    <w:p w14:paraId="60311CA9" w14:textId="77777777" w:rsidR="0018736F" w:rsidRPr="00CF7196" w:rsidRDefault="0018736F" w:rsidP="0018736F">
      <w:pPr>
        <w:pStyle w:val="AHPRATitle"/>
        <w:rPr>
          <w:noProof/>
          <w:color w:val="00BCE4"/>
          <w:sz w:val="32"/>
          <w:lang w:val="en-AU" w:eastAsia="en-AU"/>
        </w:rPr>
      </w:pPr>
      <w:r>
        <w:rPr>
          <w:noProof/>
          <w:color w:val="00BCE4"/>
          <w:sz w:val="32"/>
          <w:lang w:val="en-AU" w:eastAsia="en-AU"/>
        </w:rPr>
        <mc:AlternateContent>
          <mc:Choice Requires="wps">
            <w:drawing>
              <wp:anchor distT="0" distB="0" distL="114300" distR="114300" simplePos="0" relativeHeight="251661312" behindDoc="0" locked="0" layoutInCell="1" allowOverlap="1" wp14:anchorId="43C06680" wp14:editId="47290614">
                <wp:simplePos x="0" y="0"/>
                <wp:positionH relativeFrom="page">
                  <wp:align>left</wp:align>
                </wp:positionH>
                <wp:positionV relativeFrom="paragraph">
                  <wp:posOffset>312097</wp:posOffset>
                </wp:positionV>
                <wp:extent cx="1840375" cy="11503"/>
                <wp:effectExtent l="0" t="0" r="26670" b="26670"/>
                <wp:wrapNone/>
                <wp:docPr id="22" name="Straight Connector 22"/>
                <wp:cNvGraphicFramePr/>
                <a:graphic xmlns:a="http://schemas.openxmlformats.org/drawingml/2006/main">
                  <a:graphicData uri="http://schemas.microsoft.com/office/word/2010/wordprocessingShape">
                    <wps:wsp>
                      <wps:cNvCnPr/>
                      <wps:spPr>
                        <a:xfrm flipV="1">
                          <a:off x="0" y="0"/>
                          <a:ext cx="1840375" cy="1150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B2F9C" id="Straight Connector 2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55pt" to="144.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" strokecolor="black [3200]" strokeweight="1pt">
                <v:stroke joinstyle="miter"/>
                <w10:wrap anchorx="page"/>
              </v:line>
            </w:pict>
          </mc:Fallback>
        </mc:AlternateContent>
      </w:r>
      <w:r>
        <w:rPr>
          <w:noProof/>
          <w:color w:val="00BCE4"/>
          <w:sz w:val="32"/>
          <w:lang w:val="en-AU" w:eastAsia="en-AU"/>
        </w:rPr>
        <w:t>Guidance</w:t>
      </w:r>
    </w:p>
    <w:p w14:paraId="57255DBB" w14:textId="77777777" w:rsidR="0018736F" w:rsidRPr="00F25678" w:rsidRDefault="0018736F" w:rsidP="0018736F">
      <w:pPr>
        <w:pStyle w:val="AHPRATitle"/>
        <w:spacing w:after="0"/>
        <w:rPr>
          <w:sz w:val="16"/>
          <w:szCs w:val="16"/>
        </w:rPr>
      </w:pPr>
    </w:p>
    <w:p w14:paraId="4F89A82C" w14:textId="77777777" w:rsidR="0018736F" w:rsidRPr="00D50442" w:rsidRDefault="0018736F" w:rsidP="0018736F">
      <w:pPr>
        <w:pStyle w:val="AHPRATitle"/>
        <w:rPr>
          <w:sz w:val="28"/>
          <w:szCs w:val="28"/>
        </w:rPr>
      </w:pPr>
      <w:r>
        <w:rPr>
          <w:sz w:val="28"/>
          <w:szCs w:val="28"/>
        </w:rPr>
        <w:t xml:space="preserve">Continuing professional development: </w:t>
      </w:r>
      <w:r w:rsidRPr="00D50442">
        <w:rPr>
          <w:sz w:val="28"/>
          <w:szCs w:val="28"/>
        </w:rPr>
        <w:t>High-level requirements for CPD programs</w:t>
      </w:r>
      <w:bookmarkStart w:id="2" w:name="_GoBack"/>
      <w:bookmarkEnd w:id="2"/>
    </w:p>
    <w:p w14:paraId="6F0586A2" w14:textId="77777777" w:rsidR="0018736F" w:rsidRDefault="0018736F" w:rsidP="0018736F">
      <w:pPr>
        <w:pStyle w:val="AHPRAbody"/>
        <w:spacing w:before="200"/>
      </w:pPr>
      <w:r w:rsidRPr="00901FD4">
        <w:t xml:space="preserve">Currently medical practitioners who have specialist registration must meet the requirements for CPD set by the relevant specialist medical college for every specialty in which they hold specialist registration. </w:t>
      </w:r>
    </w:p>
    <w:p w14:paraId="420AEF36" w14:textId="77777777" w:rsidR="0018736F" w:rsidRPr="00901FD4" w:rsidRDefault="0018736F" w:rsidP="0018736F">
      <w:pPr>
        <w:pStyle w:val="AHPRAbody"/>
        <w:spacing w:before="200"/>
      </w:pPr>
      <w:r w:rsidRPr="00901FD4">
        <w:t>In practice</w:t>
      </w:r>
      <w:r>
        <w:t>,</w:t>
      </w:r>
      <w:r w:rsidRPr="00901FD4">
        <w:t xml:space="preserve"> most specialists achieve this by participating in the CPD program of their own college or colleges. A handful of specialists undertake ‘self-directed’ CPD, presumably using the relevant specialist medical college’s published information as a guide. </w:t>
      </w:r>
    </w:p>
    <w:p w14:paraId="3887B5EC" w14:textId="77777777" w:rsidR="0018736F" w:rsidRPr="00901FD4" w:rsidRDefault="0018736F" w:rsidP="0018736F">
      <w:pPr>
        <w:pStyle w:val="AHPRAbody"/>
        <w:spacing w:before="200"/>
      </w:pPr>
      <w:r>
        <w:t xml:space="preserve">Under the proposed revised </w:t>
      </w:r>
      <w:r w:rsidRPr="00901FD4">
        <w:t>CPD</w:t>
      </w:r>
      <w:r>
        <w:t xml:space="preserve"> Registration standard</w:t>
      </w:r>
      <w:r w:rsidRPr="00901FD4">
        <w:t xml:space="preserve">, specialists will choose their own CPD home. It is anticipated that CPD homes </w:t>
      </w:r>
      <w:r>
        <w:t>may</w:t>
      </w:r>
      <w:r w:rsidRPr="00901FD4">
        <w:t xml:space="preserve"> be colleges, other education providers (e.g. universities) and other organisations (e.g. professional indemnity organisations, professional associations and societies).</w:t>
      </w:r>
    </w:p>
    <w:p w14:paraId="495AE744" w14:textId="77777777" w:rsidR="0018736F" w:rsidRDefault="0018736F" w:rsidP="0018736F">
      <w:pPr>
        <w:pStyle w:val="AHPRAbody"/>
        <w:spacing w:before="200"/>
      </w:pPr>
      <w:r w:rsidRPr="00D41978">
        <w:t xml:space="preserve">Specialist medical colleges continue to have a significant role as standard setters, medical educators, supporters of individual medical practitioners and shapers of the culture of medicine. </w:t>
      </w:r>
    </w:p>
    <w:p w14:paraId="3F66EEF3" w14:textId="77777777" w:rsidR="0018736F" w:rsidRDefault="0018736F" w:rsidP="0018736F">
      <w:pPr>
        <w:pStyle w:val="AHPRAbody"/>
        <w:spacing w:before="200"/>
      </w:pPr>
      <w:r>
        <w:t>The Board</w:t>
      </w:r>
      <w:r w:rsidRPr="00901FD4">
        <w:t xml:space="preserve"> propose</w:t>
      </w:r>
      <w:r>
        <w:t>s</w:t>
      </w:r>
      <w:r w:rsidRPr="00901FD4">
        <w:t xml:space="preserve"> that the accredited specialist medical colleges continue to set the ‘high-level requirements’ for CPD programs for </w:t>
      </w:r>
      <w:r>
        <w:t xml:space="preserve">vocational trainees, specialist international medical graduates and </w:t>
      </w:r>
      <w:r w:rsidRPr="00901FD4">
        <w:t>specialists practi</w:t>
      </w:r>
      <w:r>
        <w:t>s</w:t>
      </w:r>
      <w:r w:rsidRPr="00901FD4">
        <w:t>ing in the relevant scopes of practice</w:t>
      </w:r>
      <w:r>
        <w:t xml:space="preserve"> in each specialty</w:t>
      </w:r>
      <w:r w:rsidRPr="00901FD4">
        <w:t>. This is because the accredited specialist medical colleges set the standards for training to achieve specialist registration in the relevant specialty fields.</w:t>
      </w:r>
      <w:r>
        <w:t xml:space="preserve"> </w:t>
      </w:r>
    </w:p>
    <w:p w14:paraId="6AE9B28C" w14:textId="77777777" w:rsidR="0018736F" w:rsidRDefault="0018736F" w:rsidP="0018736F">
      <w:pPr>
        <w:pStyle w:val="AHPRAbody"/>
        <w:spacing w:before="200"/>
      </w:pPr>
      <w:r>
        <w:t xml:space="preserve">High-level requirements are additional requirements for CPD above the minimum requirements set by the Board for medical practitioners practising in certain scopes of practice. </w:t>
      </w:r>
      <w:r w:rsidRPr="00703D94">
        <w:t>The purpose of high-level requirements is to ensure consistency among CPD homes with respect to CPD programs for medical practitioners with certain scopes of practice.</w:t>
      </w:r>
      <w:r>
        <w:t xml:space="preserve"> </w:t>
      </w:r>
    </w:p>
    <w:p w14:paraId="22738FA2" w14:textId="77777777" w:rsidR="0018736F" w:rsidRDefault="0018736F" w:rsidP="0018736F">
      <w:pPr>
        <w:pStyle w:val="AHPRAbody"/>
        <w:spacing w:before="200"/>
      </w:pPr>
      <w:r>
        <w:t xml:space="preserve">CPD programs for all other medical practitioners must meet the Board’s minimum requirements and are not subject to any high-level requirements. </w:t>
      </w:r>
    </w:p>
    <w:p w14:paraId="465A0D8C" w14:textId="77777777" w:rsidR="0018736F" w:rsidRDefault="0018736F" w:rsidP="0018736F">
      <w:pPr>
        <w:pStyle w:val="AHPRAbody"/>
        <w:spacing w:before="200"/>
        <w:rPr>
          <w:szCs w:val="20"/>
        </w:rPr>
      </w:pPr>
      <w:r w:rsidRPr="00D73B6F">
        <w:rPr>
          <w:szCs w:val="20"/>
        </w:rPr>
        <w:t>The Board will publish the high-level requirements framework and require all CPD homes to ensure that their program/s meet the high-level requirements by including them as a requirement for colleges in their AMC accreditation.</w:t>
      </w:r>
    </w:p>
    <w:p w14:paraId="07C68995" w14:textId="77777777" w:rsidR="0018736F" w:rsidRPr="00D73B6F" w:rsidRDefault="0018736F" w:rsidP="0018736F">
      <w:pPr>
        <w:spacing w:before="200"/>
        <w:rPr>
          <w:b/>
          <w:color w:val="008EC4"/>
          <w:sz w:val="20"/>
          <w:szCs w:val="20"/>
          <w:lang w:val="en-US"/>
        </w:rPr>
      </w:pPr>
      <w:r w:rsidRPr="00D73B6F">
        <w:rPr>
          <w:sz w:val="20"/>
          <w:szCs w:val="20"/>
        </w:rPr>
        <w:t>The framework for development of high-level requirements for CPD programs for vocational trainees, specialist international medical graduates under assessment and specialists is detailed below.</w:t>
      </w:r>
    </w:p>
    <w:p w14:paraId="4D918E39" w14:textId="77777777" w:rsidR="000348E3" w:rsidRDefault="000348E3">
      <w:pPr>
        <w:rPr>
          <w:rFonts w:cs="Arial"/>
          <w:sz w:val="20"/>
        </w:rPr>
      </w:pPr>
      <w:r>
        <w:br w:type="page"/>
      </w:r>
    </w:p>
    <w:p w14:paraId="6698C4CF" w14:textId="64272A60" w:rsidR="0018736F" w:rsidRPr="00D727AB" w:rsidRDefault="0018736F" w:rsidP="0018736F">
      <w:pPr>
        <w:pStyle w:val="AHPRAbody"/>
        <w:spacing w:before="200"/>
      </w:pPr>
      <w:r>
        <w:lastRenderedPageBreak/>
        <w:t>The high-level requirements must meet:</w:t>
      </w:r>
    </w:p>
    <w:p w14:paraId="0DC3356F" w14:textId="77777777" w:rsidR="0018736F" w:rsidRPr="00571AEF" w:rsidRDefault="0018736F" w:rsidP="0018736F">
      <w:pPr>
        <w:pStyle w:val="AHPRASubhead"/>
        <w:spacing w:before="200"/>
      </w:pPr>
      <w:bookmarkStart w:id="3" w:name="_Toc24103300"/>
      <w:r w:rsidRPr="00571AEF">
        <w:t>Cycle length</w:t>
      </w:r>
      <w:bookmarkEnd w:id="3"/>
      <w:r w:rsidRPr="00571AEF">
        <w:t xml:space="preserve"> </w:t>
      </w:r>
    </w:p>
    <w:p w14:paraId="14E59CF2" w14:textId="77777777" w:rsidR="0018736F" w:rsidRDefault="0018736F" w:rsidP="0018736F">
      <w:pPr>
        <w:spacing w:before="200"/>
        <w:rPr>
          <w:rFonts w:cs="Arial"/>
          <w:sz w:val="20"/>
          <w:szCs w:val="20"/>
        </w:rPr>
      </w:pPr>
      <w:r w:rsidRPr="00BF7D9B">
        <w:rPr>
          <w:rFonts w:cs="Arial"/>
          <w:sz w:val="20"/>
          <w:szCs w:val="20"/>
        </w:rPr>
        <w:t xml:space="preserve">The Board has </w:t>
      </w:r>
      <w:r>
        <w:rPr>
          <w:rFonts w:cs="Arial"/>
          <w:sz w:val="20"/>
          <w:szCs w:val="20"/>
        </w:rPr>
        <w:t xml:space="preserve">set </w:t>
      </w:r>
      <w:r w:rsidRPr="00BF7D9B">
        <w:rPr>
          <w:rFonts w:cs="Arial"/>
          <w:sz w:val="20"/>
          <w:szCs w:val="20"/>
        </w:rPr>
        <w:t xml:space="preserve">annual requirements for CPD activity. </w:t>
      </w:r>
    </w:p>
    <w:p w14:paraId="4A603AB7" w14:textId="3486888F" w:rsidR="000C44D6" w:rsidRPr="000348E3" w:rsidRDefault="0018736F" w:rsidP="000348E3">
      <w:pPr>
        <w:pStyle w:val="AHPRAbody"/>
        <w:spacing w:before="200"/>
      </w:pPr>
      <w:r w:rsidRPr="003F5B12">
        <w:t>Colleges may set multi-year cycles, providing that the annual requirements are also met (e.g., multi-year cycles may be used to ensure that participants complete specific CPD activities every few years rather than annually).</w:t>
      </w:r>
      <w:bookmarkStart w:id="4" w:name="_Toc24103301"/>
    </w:p>
    <w:p w14:paraId="14EE37DE" w14:textId="4B0643B4" w:rsidR="0018736F" w:rsidRPr="00571AEF" w:rsidRDefault="0018736F" w:rsidP="0018736F">
      <w:pPr>
        <w:pStyle w:val="AHPRASubhead"/>
        <w:spacing w:before="200"/>
      </w:pPr>
      <w:r w:rsidRPr="00571AEF">
        <w:t>Hours of CPD activity</w:t>
      </w:r>
      <w:bookmarkEnd w:id="4"/>
      <w:r w:rsidRPr="00571AEF">
        <w:t xml:space="preserve"> </w:t>
      </w:r>
    </w:p>
    <w:p w14:paraId="11E2063C" w14:textId="77777777" w:rsidR="0018736F" w:rsidRPr="00685A40" w:rsidRDefault="0018736F" w:rsidP="0018736F">
      <w:pPr>
        <w:spacing w:before="200"/>
        <w:rPr>
          <w:rFonts w:cs="Arial"/>
          <w:sz w:val="20"/>
          <w:szCs w:val="20"/>
        </w:rPr>
      </w:pPr>
      <w:r>
        <w:rPr>
          <w:rFonts w:cs="Arial"/>
          <w:sz w:val="20"/>
          <w:szCs w:val="20"/>
        </w:rPr>
        <w:t>The Board requires a minimum of 50 hours of CPD activity per year. Colleges may not set a high-level requirement of more than 50 hours of CPD per year, although individual CPD homes may require more than 50 hours of CPD from their participants.</w:t>
      </w:r>
    </w:p>
    <w:p w14:paraId="2715E352" w14:textId="77777777" w:rsidR="0018736F" w:rsidRPr="00571AEF" w:rsidRDefault="0018736F" w:rsidP="0018736F">
      <w:pPr>
        <w:pStyle w:val="AHPRASubhead"/>
        <w:spacing w:before="200"/>
      </w:pPr>
      <w:bookmarkStart w:id="5" w:name="_Toc24103302"/>
      <w:r w:rsidRPr="00571AEF">
        <w:t>Professional development plan and evaluation</w:t>
      </w:r>
      <w:bookmarkEnd w:id="5"/>
    </w:p>
    <w:p w14:paraId="30D432EB" w14:textId="5243B0B8" w:rsidR="0018736F" w:rsidRPr="0018736F" w:rsidRDefault="0018736F" w:rsidP="0018736F">
      <w:pPr>
        <w:spacing w:before="200"/>
        <w:rPr>
          <w:rFonts w:cs="Arial"/>
          <w:sz w:val="20"/>
          <w:szCs w:val="20"/>
        </w:rPr>
      </w:pPr>
      <w:r>
        <w:rPr>
          <w:rFonts w:cs="Arial"/>
          <w:sz w:val="20"/>
          <w:szCs w:val="20"/>
        </w:rPr>
        <w:t>The Board requires annual professional development planning and evaluation</w:t>
      </w:r>
      <w:r w:rsidRPr="00CD5BDB">
        <w:rPr>
          <w:rFonts w:cs="Arial"/>
          <w:sz w:val="20"/>
          <w:szCs w:val="20"/>
        </w:rPr>
        <w:t>.</w:t>
      </w:r>
      <w:r>
        <w:rPr>
          <w:rFonts w:cs="Arial"/>
          <w:sz w:val="20"/>
          <w:szCs w:val="20"/>
        </w:rPr>
        <w:t xml:space="preserve"> C</w:t>
      </w:r>
      <w:r w:rsidRPr="00CD5BDB">
        <w:rPr>
          <w:rFonts w:cs="Arial"/>
          <w:sz w:val="20"/>
          <w:szCs w:val="20"/>
        </w:rPr>
        <w:t xml:space="preserve">olleges </w:t>
      </w:r>
      <w:r>
        <w:rPr>
          <w:rFonts w:cs="Arial"/>
          <w:sz w:val="20"/>
          <w:szCs w:val="20"/>
        </w:rPr>
        <w:t>may</w:t>
      </w:r>
      <w:r w:rsidRPr="00CD5BDB">
        <w:rPr>
          <w:rFonts w:cs="Arial"/>
          <w:sz w:val="20"/>
          <w:szCs w:val="20"/>
        </w:rPr>
        <w:t xml:space="preserve"> </w:t>
      </w:r>
      <w:r>
        <w:rPr>
          <w:rFonts w:cs="Arial"/>
          <w:sz w:val="20"/>
          <w:szCs w:val="20"/>
        </w:rPr>
        <w:t xml:space="preserve">have </w:t>
      </w:r>
      <w:r w:rsidRPr="00CD5BDB">
        <w:rPr>
          <w:rFonts w:cs="Arial"/>
          <w:sz w:val="20"/>
          <w:szCs w:val="20"/>
        </w:rPr>
        <w:t>additional requirements</w:t>
      </w:r>
      <w:r>
        <w:rPr>
          <w:rFonts w:cs="Arial"/>
          <w:sz w:val="20"/>
          <w:szCs w:val="20"/>
        </w:rPr>
        <w:t xml:space="preserve"> related to planning and evaluation</w:t>
      </w:r>
      <w:r w:rsidRPr="00CD5BDB">
        <w:rPr>
          <w:rFonts w:cs="Arial"/>
          <w:sz w:val="20"/>
          <w:szCs w:val="20"/>
        </w:rPr>
        <w:t xml:space="preserve"> </w:t>
      </w:r>
      <w:r>
        <w:rPr>
          <w:rFonts w:cs="Arial"/>
          <w:sz w:val="20"/>
          <w:szCs w:val="20"/>
        </w:rPr>
        <w:t>(e.g.,</w:t>
      </w:r>
      <w:r w:rsidRPr="00CD5BDB">
        <w:rPr>
          <w:rFonts w:cs="Arial"/>
          <w:sz w:val="20"/>
          <w:szCs w:val="20"/>
        </w:rPr>
        <w:t xml:space="preserve"> discussing the plan </w:t>
      </w:r>
      <w:r>
        <w:rPr>
          <w:rFonts w:cs="Arial"/>
          <w:sz w:val="20"/>
          <w:szCs w:val="20"/>
        </w:rPr>
        <w:t xml:space="preserve">and/or evaluation </w:t>
      </w:r>
      <w:r w:rsidRPr="00CD5BDB">
        <w:rPr>
          <w:rFonts w:cs="Arial"/>
          <w:sz w:val="20"/>
          <w:szCs w:val="20"/>
        </w:rPr>
        <w:t>with a</w:t>
      </w:r>
      <w:r>
        <w:rPr>
          <w:rFonts w:cs="Arial"/>
          <w:sz w:val="20"/>
          <w:szCs w:val="20"/>
        </w:rPr>
        <w:t>n educational supervisor or</w:t>
      </w:r>
      <w:r w:rsidRPr="00CD5BDB">
        <w:rPr>
          <w:rFonts w:cs="Arial"/>
          <w:sz w:val="20"/>
          <w:szCs w:val="20"/>
        </w:rPr>
        <w:t xml:space="preserve"> </w:t>
      </w:r>
      <w:r>
        <w:rPr>
          <w:rFonts w:cs="Arial"/>
          <w:sz w:val="20"/>
          <w:szCs w:val="20"/>
        </w:rPr>
        <w:t>peer)</w:t>
      </w:r>
      <w:r w:rsidRPr="00CD5BDB">
        <w:rPr>
          <w:rFonts w:cs="Arial"/>
          <w:sz w:val="20"/>
          <w:szCs w:val="20"/>
        </w:rPr>
        <w:t>.</w:t>
      </w:r>
      <w:r>
        <w:rPr>
          <w:rFonts w:cs="Arial"/>
          <w:sz w:val="20"/>
          <w:szCs w:val="20"/>
        </w:rPr>
        <w:t xml:space="preserve"> </w:t>
      </w:r>
      <w:bookmarkStart w:id="6" w:name="_Toc24103303"/>
    </w:p>
    <w:p w14:paraId="7E47F30B" w14:textId="059C4CCF" w:rsidR="00340BED" w:rsidRPr="00571AEF" w:rsidRDefault="0018736F" w:rsidP="00340BED">
      <w:pPr>
        <w:pStyle w:val="AHPRASubhead"/>
        <w:spacing w:before="200"/>
      </w:pPr>
      <w:bookmarkStart w:id="7" w:name="_Toc24103304"/>
      <w:bookmarkEnd w:id="6"/>
      <w:r w:rsidRPr="00571AEF">
        <w:t>Reviewing performance</w:t>
      </w:r>
      <w:bookmarkEnd w:id="7"/>
      <w:r w:rsidR="00340BED">
        <w:t xml:space="preserve"> </w:t>
      </w:r>
      <w:bookmarkStart w:id="8" w:name="_Toc24103305"/>
      <w:r w:rsidR="00340BED">
        <w:t>and m</w:t>
      </w:r>
      <w:r w:rsidR="00340BED" w:rsidRPr="00571AEF">
        <w:t>easuring outcomes</w:t>
      </w:r>
      <w:bookmarkEnd w:id="8"/>
    </w:p>
    <w:p w14:paraId="3DBFEF2F" w14:textId="77777777" w:rsidR="00340BED" w:rsidRDefault="0018736F" w:rsidP="0018736F">
      <w:pPr>
        <w:spacing w:before="200"/>
        <w:rPr>
          <w:rFonts w:cs="Arial"/>
          <w:sz w:val="20"/>
          <w:szCs w:val="20"/>
        </w:rPr>
      </w:pPr>
      <w:r w:rsidRPr="00886928">
        <w:rPr>
          <w:rFonts w:cs="Arial"/>
          <w:sz w:val="20"/>
          <w:szCs w:val="20"/>
        </w:rPr>
        <w:t xml:space="preserve">The Board </w:t>
      </w:r>
      <w:r>
        <w:rPr>
          <w:rFonts w:cs="Arial"/>
          <w:sz w:val="20"/>
          <w:szCs w:val="20"/>
        </w:rPr>
        <w:t xml:space="preserve">requires </w:t>
      </w:r>
      <w:r w:rsidRPr="00886928">
        <w:rPr>
          <w:rFonts w:cs="Arial"/>
          <w:sz w:val="20"/>
          <w:szCs w:val="20"/>
        </w:rPr>
        <w:t xml:space="preserve">that </w:t>
      </w:r>
      <w:r>
        <w:rPr>
          <w:rFonts w:cs="Arial"/>
          <w:sz w:val="20"/>
          <w:szCs w:val="20"/>
        </w:rPr>
        <w:t xml:space="preserve">at least </w:t>
      </w:r>
      <w:r w:rsidR="00340BED">
        <w:rPr>
          <w:rFonts w:cs="Arial"/>
          <w:sz w:val="20"/>
          <w:szCs w:val="20"/>
        </w:rPr>
        <w:t>25 hours (</w:t>
      </w:r>
      <w:r w:rsidRPr="00886928">
        <w:rPr>
          <w:rFonts w:cs="Arial"/>
          <w:sz w:val="20"/>
          <w:szCs w:val="20"/>
        </w:rPr>
        <w:t>5</w:t>
      </w:r>
      <w:r w:rsidR="00340BED">
        <w:rPr>
          <w:rFonts w:cs="Arial"/>
          <w:sz w:val="20"/>
          <w:szCs w:val="20"/>
        </w:rPr>
        <w:t>0</w:t>
      </w:r>
      <w:r>
        <w:rPr>
          <w:rFonts w:cs="Arial"/>
          <w:sz w:val="20"/>
          <w:szCs w:val="20"/>
        </w:rPr>
        <w:t xml:space="preserve"> per cent</w:t>
      </w:r>
      <w:r w:rsidRPr="00886928">
        <w:rPr>
          <w:rFonts w:cs="Arial"/>
          <w:sz w:val="20"/>
          <w:szCs w:val="20"/>
        </w:rPr>
        <w:t xml:space="preserve"> of the minimum 50 hours</w:t>
      </w:r>
      <w:r w:rsidR="00340BED">
        <w:rPr>
          <w:rFonts w:cs="Arial"/>
          <w:sz w:val="20"/>
          <w:szCs w:val="20"/>
        </w:rPr>
        <w:t>)</w:t>
      </w:r>
      <w:r w:rsidRPr="00886928">
        <w:rPr>
          <w:rFonts w:cs="Arial"/>
          <w:sz w:val="20"/>
          <w:szCs w:val="20"/>
        </w:rPr>
        <w:t xml:space="preserve"> is allocated to </w:t>
      </w:r>
      <w:r w:rsidR="00340BED">
        <w:rPr>
          <w:rFonts w:cs="Arial"/>
          <w:sz w:val="20"/>
          <w:szCs w:val="20"/>
        </w:rPr>
        <w:t>activities</w:t>
      </w:r>
      <w:r w:rsidR="00340BED" w:rsidRPr="00886928">
        <w:rPr>
          <w:rFonts w:cs="Arial"/>
          <w:sz w:val="20"/>
          <w:szCs w:val="20"/>
        </w:rPr>
        <w:t xml:space="preserve"> </w:t>
      </w:r>
      <w:r w:rsidR="00340BED">
        <w:rPr>
          <w:rFonts w:cs="Arial"/>
          <w:sz w:val="20"/>
          <w:szCs w:val="20"/>
        </w:rPr>
        <w:t xml:space="preserve">directed at </w:t>
      </w:r>
      <w:r>
        <w:rPr>
          <w:rFonts w:cs="Arial"/>
          <w:sz w:val="20"/>
          <w:szCs w:val="20"/>
        </w:rPr>
        <w:t>reviewing performance</w:t>
      </w:r>
      <w:r w:rsidR="00340BED">
        <w:rPr>
          <w:rFonts w:cs="Arial"/>
          <w:sz w:val="20"/>
          <w:szCs w:val="20"/>
        </w:rPr>
        <w:t xml:space="preserve"> and measuring outcomes (with a minimum of five hours of each)</w:t>
      </w:r>
      <w:r w:rsidRPr="00886928">
        <w:rPr>
          <w:rFonts w:cs="Arial"/>
          <w:sz w:val="20"/>
          <w:szCs w:val="20"/>
        </w:rPr>
        <w:t xml:space="preserve">. </w:t>
      </w:r>
    </w:p>
    <w:p w14:paraId="7CF091FE" w14:textId="46441AAB" w:rsidR="0018736F" w:rsidRPr="00886928" w:rsidRDefault="0018736F" w:rsidP="0018736F">
      <w:pPr>
        <w:spacing w:before="200"/>
        <w:rPr>
          <w:rFonts w:cs="Arial"/>
          <w:sz w:val="20"/>
          <w:szCs w:val="20"/>
        </w:rPr>
      </w:pPr>
      <w:r>
        <w:rPr>
          <w:rFonts w:cs="Arial"/>
          <w:sz w:val="20"/>
          <w:szCs w:val="20"/>
        </w:rPr>
        <w:t>C</w:t>
      </w:r>
      <w:r w:rsidRPr="00886928">
        <w:rPr>
          <w:rFonts w:cs="Arial"/>
          <w:sz w:val="20"/>
          <w:szCs w:val="20"/>
        </w:rPr>
        <w:t>ollege</w:t>
      </w:r>
      <w:r>
        <w:rPr>
          <w:rFonts w:cs="Arial"/>
          <w:sz w:val="20"/>
          <w:szCs w:val="20"/>
        </w:rPr>
        <w:t>s</w:t>
      </w:r>
      <w:r w:rsidRPr="00886928">
        <w:rPr>
          <w:rFonts w:cs="Arial"/>
          <w:sz w:val="20"/>
          <w:szCs w:val="20"/>
        </w:rPr>
        <w:t xml:space="preserve"> may require specific types of </w:t>
      </w:r>
      <w:r>
        <w:rPr>
          <w:rFonts w:cs="Arial"/>
          <w:sz w:val="20"/>
          <w:szCs w:val="20"/>
        </w:rPr>
        <w:t>activities</w:t>
      </w:r>
      <w:r w:rsidRPr="00886928">
        <w:rPr>
          <w:rFonts w:cs="Arial"/>
          <w:sz w:val="20"/>
          <w:szCs w:val="20"/>
        </w:rPr>
        <w:t xml:space="preserve"> </w:t>
      </w:r>
      <w:r>
        <w:rPr>
          <w:rFonts w:cs="Arial"/>
          <w:sz w:val="20"/>
          <w:szCs w:val="20"/>
        </w:rPr>
        <w:t xml:space="preserve">directed at reviewing performance </w:t>
      </w:r>
      <w:r w:rsidR="00340BED">
        <w:rPr>
          <w:rFonts w:cs="Arial"/>
          <w:sz w:val="20"/>
          <w:szCs w:val="20"/>
        </w:rPr>
        <w:t>or measuring outcomes</w:t>
      </w:r>
      <w:r w:rsidR="00340BED" w:rsidRPr="00886928">
        <w:rPr>
          <w:rFonts w:cs="Arial"/>
          <w:sz w:val="20"/>
          <w:szCs w:val="20"/>
        </w:rPr>
        <w:t xml:space="preserve"> </w:t>
      </w:r>
      <w:r w:rsidRPr="00886928">
        <w:rPr>
          <w:rFonts w:cs="Arial"/>
          <w:sz w:val="20"/>
          <w:szCs w:val="20"/>
        </w:rPr>
        <w:t xml:space="preserve">and may require a proportion of these hours to be dedicated to activities </w:t>
      </w:r>
      <w:r>
        <w:rPr>
          <w:rFonts w:cs="Arial"/>
          <w:sz w:val="20"/>
          <w:szCs w:val="20"/>
        </w:rPr>
        <w:t>that focus on the participant’s personal practice</w:t>
      </w:r>
      <w:r w:rsidRPr="00886928">
        <w:rPr>
          <w:rFonts w:cs="Arial"/>
          <w:sz w:val="20"/>
          <w:szCs w:val="20"/>
        </w:rPr>
        <w:t>.</w:t>
      </w:r>
    </w:p>
    <w:p w14:paraId="68B81966" w14:textId="77777777" w:rsidR="00340BED" w:rsidRPr="00571AEF" w:rsidRDefault="00340BED" w:rsidP="00340BED">
      <w:pPr>
        <w:pStyle w:val="AHPRASubhead"/>
        <w:spacing w:before="200"/>
      </w:pPr>
      <w:r w:rsidRPr="00571AEF">
        <w:t>Educational activities</w:t>
      </w:r>
    </w:p>
    <w:p w14:paraId="79B34CB8" w14:textId="77777777" w:rsidR="00340BED" w:rsidRDefault="00340BED" w:rsidP="00340BED">
      <w:pPr>
        <w:spacing w:before="200"/>
        <w:rPr>
          <w:rFonts w:cs="Arial"/>
          <w:sz w:val="20"/>
          <w:szCs w:val="20"/>
        </w:rPr>
      </w:pPr>
      <w:r>
        <w:rPr>
          <w:rFonts w:cs="Arial"/>
          <w:sz w:val="20"/>
          <w:szCs w:val="20"/>
        </w:rPr>
        <w:t>The Board requires that at least 12.5 hours (25 per cent of the minimum 50 hours) is allocated to educational activities. Colleges may require specific types of educational activity and may require a proportion of these hours to be dedicated to activities of high educational quality that are primarily focused on the education of the participant.</w:t>
      </w:r>
    </w:p>
    <w:p w14:paraId="0A1ADDEC" w14:textId="77777777" w:rsidR="0018736F" w:rsidRDefault="0018736F" w:rsidP="0018736F"/>
    <w:bookmarkEnd w:id="1"/>
    <w:p w14:paraId="58E23F7A" w14:textId="35627C23" w:rsidR="00070852" w:rsidRDefault="00070852" w:rsidP="00070852">
      <w:pPr>
        <w:spacing w:after="160" w:line="259" w:lineRule="auto"/>
        <w:rPr>
          <w:b/>
          <w:color w:val="000000" w:themeColor="text1"/>
          <w:sz w:val="28"/>
          <w:lang w:val="en-US"/>
        </w:rPr>
      </w:pPr>
    </w:p>
    <w:sectPr w:rsidR="00070852" w:rsidSect="000D6208">
      <w:footerReference w:type="default" r:id="rId11"/>
      <w:headerReference w:type="first" r:id="rId12"/>
      <w:footerReference w:type="first" r:id="rId13"/>
      <w:pgSz w:w="11906" w:h="16838"/>
      <w:pgMar w:top="1350" w:right="1440" w:bottom="1440" w:left="1440" w:header="708" w:footer="4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0C25" w14:textId="77777777" w:rsidR="0038688D" w:rsidRDefault="0038688D" w:rsidP="00AA3CCB">
      <w:pPr>
        <w:spacing w:after="0"/>
      </w:pPr>
      <w:r>
        <w:separator/>
      </w:r>
    </w:p>
  </w:endnote>
  <w:endnote w:type="continuationSeparator" w:id="0">
    <w:p w14:paraId="109ACD78" w14:textId="77777777" w:rsidR="0038688D" w:rsidRDefault="0038688D" w:rsidP="00AA3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8C95" w14:textId="77777777" w:rsidR="00947419" w:rsidRPr="00E15BF6" w:rsidRDefault="00947419" w:rsidP="00947419">
    <w:pPr>
      <w:pStyle w:val="AHPRASubheading"/>
      <w:spacing w:before="120" w:after="120"/>
      <w:jc w:val="center"/>
      <w:rPr>
        <w:color w:val="404040"/>
        <w:sz w:val="18"/>
        <w:szCs w:val="18"/>
      </w:rPr>
    </w:pPr>
    <w:r>
      <w:rPr>
        <w:color w:val="404040"/>
        <w:sz w:val="18"/>
        <w:szCs w:val="18"/>
      </w:rPr>
      <w:t xml:space="preserve">Medical Board of Australia </w:t>
    </w:r>
  </w:p>
  <w:p w14:paraId="06CEE148" w14:textId="2A93D1CF" w:rsidR="00947419" w:rsidRPr="00947419" w:rsidRDefault="000C44D6" w:rsidP="00947419">
    <w:pPr>
      <w:pStyle w:val="AHPRADocumentsubheading"/>
      <w:spacing w:after="120"/>
      <w:jc w:val="center"/>
      <w:rPr>
        <w:color w:val="000000"/>
        <w:sz w:val="18"/>
        <w:szCs w:val="18"/>
      </w:rPr>
    </w:pPr>
    <w:r>
      <w:rPr>
        <w:color w:val="000000"/>
        <w:sz w:val="18"/>
        <w:szCs w:val="18"/>
      </w:rPr>
      <w:t>High level requirements for CPD programs</w:t>
    </w:r>
    <w:r w:rsidR="00947419" w:rsidRPr="00E15BF6">
      <w:rPr>
        <w:sz w:val="18"/>
        <w:szCs w:val="18"/>
      </w:rPr>
      <w:t xml:space="preserve">   </w:t>
    </w:r>
    <w:r w:rsidR="00947419" w:rsidRPr="00E15BF6">
      <w:rPr>
        <w:b/>
        <w:color w:val="008EC4"/>
        <w:sz w:val="18"/>
        <w:szCs w:val="18"/>
      </w:rPr>
      <w:t>|</w:t>
    </w:r>
    <w:r w:rsidR="00947419">
      <w:rPr>
        <w:b/>
        <w:color w:val="008EC4"/>
        <w:sz w:val="18"/>
        <w:szCs w:val="18"/>
      </w:rPr>
      <w:t xml:space="preserve"> </w:t>
    </w:r>
    <w:r w:rsidR="00947419">
      <w:rPr>
        <w:sz w:val="18"/>
        <w:szCs w:val="18"/>
      </w:rPr>
      <w:t xml:space="preserve"> </w:t>
    </w:r>
    <w:r w:rsidR="00947419" w:rsidRPr="00E15BF6">
      <w:rPr>
        <w:color w:val="000000"/>
        <w:sz w:val="18"/>
        <w:szCs w:val="18"/>
      </w:rPr>
      <w:t xml:space="preserve"> </w:t>
    </w:r>
    <w:r w:rsidR="00947419">
      <w:rPr>
        <w:color w:val="000000"/>
        <w:sz w:val="18"/>
        <w:szCs w:val="18"/>
      </w:rPr>
      <w:t>July 2021</w:t>
    </w:r>
    <w:r w:rsidR="00947419" w:rsidRPr="00E15BF6">
      <w:rPr>
        <w:sz w:val="18"/>
        <w:szCs w:val="18"/>
      </w:rPr>
      <w:t xml:space="preserve">  </w:t>
    </w:r>
    <w:r w:rsidR="00947419">
      <w:rPr>
        <w:sz w:val="18"/>
        <w:szCs w:val="18"/>
      </w:rPr>
      <w:t xml:space="preserve"> </w:t>
    </w:r>
    <w:r w:rsidR="00947419" w:rsidRPr="00E15BF6">
      <w:rPr>
        <w:b/>
        <w:color w:val="008EC4"/>
        <w:sz w:val="18"/>
        <w:szCs w:val="18"/>
      </w:rPr>
      <w:t>|</w:t>
    </w:r>
    <w:r w:rsidR="00947419" w:rsidRPr="00E15BF6">
      <w:rPr>
        <w:sz w:val="18"/>
        <w:szCs w:val="18"/>
      </w:rPr>
      <w:t xml:space="preserve">    </w:t>
    </w:r>
    <w:r w:rsidR="00C51E9F">
      <w:rPr>
        <w:color w:val="000000"/>
        <w:sz w:val="18"/>
        <w:szCs w:val="18"/>
      </w:rPr>
      <w:t>Continuing professional development</w:t>
    </w:r>
    <w:r w:rsidR="00C51E9F" w:rsidRPr="00E15BF6">
      <w:rPr>
        <w:color w:val="0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0F74" w14:textId="35EA66C0" w:rsidR="00947419" w:rsidRPr="00E15BF6" w:rsidRDefault="00947419" w:rsidP="00947419">
    <w:pPr>
      <w:pStyle w:val="AHPRASubheading"/>
      <w:spacing w:before="120" w:after="120"/>
      <w:jc w:val="center"/>
      <w:rPr>
        <w:color w:val="404040"/>
        <w:sz w:val="18"/>
        <w:szCs w:val="18"/>
      </w:rPr>
    </w:pPr>
    <w:r>
      <w:rPr>
        <w:color w:val="404040"/>
        <w:sz w:val="18"/>
        <w:szCs w:val="18"/>
      </w:rPr>
      <w:t xml:space="preserve">Medical Board of Australia </w:t>
    </w:r>
  </w:p>
  <w:p w14:paraId="647C16DD" w14:textId="227263AB" w:rsidR="00947419" w:rsidRPr="00947419" w:rsidRDefault="000C44D6" w:rsidP="00947419">
    <w:pPr>
      <w:pStyle w:val="AHPRADocumentsubheading"/>
      <w:spacing w:after="120"/>
      <w:jc w:val="center"/>
      <w:rPr>
        <w:color w:val="000000"/>
        <w:sz w:val="18"/>
        <w:szCs w:val="18"/>
      </w:rPr>
    </w:pPr>
    <w:r>
      <w:rPr>
        <w:color w:val="000000"/>
        <w:sz w:val="18"/>
        <w:szCs w:val="18"/>
      </w:rPr>
      <w:t xml:space="preserve">High level requirements for </w:t>
    </w:r>
    <w:r w:rsidR="00947419">
      <w:rPr>
        <w:color w:val="000000"/>
        <w:sz w:val="18"/>
        <w:szCs w:val="18"/>
      </w:rPr>
      <w:t xml:space="preserve">CPD </w:t>
    </w:r>
    <w:r>
      <w:rPr>
        <w:color w:val="000000"/>
        <w:sz w:val="18"/>
        <w:szCs w:val="18"/>
      </w:rPr>
      <w:t>programs</w:t>
    </w:r>
    <w:r w:rsidR="00947419" w:rsidRPr="00E15BF6">
      <w:rPr>
        <w:sz w:val="18"/>
        <w:szCs w:val="18"/>
      </w:rPr>
      <w:t xml:space="preserve">   </w:t>
    </w:r>
    <w:r w:rsidR="00947419" w:rsidRPr="00E15BF6">
      <w:rPr>
        <w:b/>
        <w:color w:val="008EC4"/>
        <w:sz w:val="18"/>
        <w:szCs w:val="18"/>
      </w:rPr>
      <w:t>|</w:t>
    </w:r>
    <w:r w:rsidR="00947419">
      <w:rPr>
        <w:b/>
        <w:color w:val="008EC4"/>
        <w:sz w:val="18"/>
        <w:szCs w:val="18"/>
      </w:rPr>
      <w:t xml:space="preserve"> </w:t>
    </w:r>
    <w:r w:rsidR="00947419">
      <w:rPr>
        <w:sz w:val="18"/>
        <w:szCs w:val="18"/>
      </w:rPr>
      <w:t xml:space="preserve"> </w:t>
    </w:r>
    <w:r w:rsidR="00947419" w:rsidRPr="00E15BF6">
      <w:rPr>
        <w:color w:val="000000"/>
        <w:sz w:val="18"/>
        <w:szCs w:val="18"/>
      </w:rPr>
      <w:t xml:space="preserve"> </w:t>
    </w:r>
    <w:r w:rsidR="00947419">
      <w:rPr>
        <w:color w:val="000000"/>
        <w:sz w:val="18"/>
        <w:szCs w:val="18"/>
      </w:rPr>
      <w:t>July 2021</w:t>
    </w:r>
    <w:r w:rsidR="00947419" w:rsidRPr="00E15BF6">
      <w:rPr>
        <w:sz w:val="18"/>
        <w:szCs w:val="18"/>
      </w:rPr>
      <w:t xml:space="preserve">  </w:t>
    </w:r>
    <w:r w:rsidR="00947419">
      <w:rPr>
        <w:sz w:val="18"/>
        <w:szCs w:val="18"/>
      </w:rPr>
      <w:t xml:space="preserve"> </w:t>
    </w:r>
    <w:r w:rsidR="00947419" w:rsidRPr="00E15BF6">
      <w:rPr>
        <w:b/>
        <w:color w:val="008EC4"/>
        <w:sz w:val="18"/>
        <w:szCs w:val="18"/>
      </w:rPr>
      <w:t>|</w:t>
    </w:r>
    <w:r w:rsidR="00947419" w:rsidRPr="00E15BF6">
      <w:rPr>
        <w:sz w:val="18"/>
        <w:szCs w:val="18"/>
      </w:rPr>
      <w:t xml:space="preserve">    </w:t>
    </w:r>
    <w:r w:rsidR="00C51E9F">
      <w:rPr>
        <w:color w:val="000000"/>
        <w:sz w:val="18"/>
        <w:szCs w:val="18"/>
      </w:rPr>
      <w:t>Continuing professional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E49E" w14:textId="77777777" w:rsidR="0038688D" w:rsidRDefault="0038688D" w:rsidP="00AA3CCB">
      <w:pPr>
        <w:spacing w:after="0"/>
      </w:pPr>
      <w:r>
        <w:separator/>
      </w:r>
    </w:p>
  </w:footnote>
  <w:footnote w:type="continuationSeparator" w:id="0">
    <w:p w14:paraId="4DF88339" w14:textId="77777777" w:rsidR="0038688D" w:rsidRDefault="0038688D" w:rsidP="00AA3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31C7" w14:textId="0366365F" w:rsidR="009F6233" w:rsidRDefault="001E5AAD">
    <w:pPr>
      <w:pStyle w:val="Header"/>
    </w:pPr>
    <w:r>
      <w:rPr>
        <w:noProof/>
      </w:rPr>
      <w:drawing>
        <wp:anchor distT="0" distB="0" distL="114300" distR="114300" simplePos="0" relativeHeight="251659776" behindDoc="0" locked="0" layoutInCell="1" allowOverlap="1" wp14:anchorId="034083E0" wp14:editId="04E7DFC3">
          <wp:simplePos x="0" y="0"/>
          <wp:positionH relativeFrom="column">
            <wp:posOffset>3281423</wp:posOffset>
          </wp:positionH>
          <wp:positionV relativeFrom="paragraph">
            <wp:posOffset>-58773</wp:posOffset>
          </wp:positionV>
          <wp:extent cx="2948400" cy="1080000"/>
          <wp:effectExtent l="0" t="0" r="4445" b="6350"/>
          <wp:wrapSquare wrapText="bothSides"/>
          <wp:docPr id="46" name="Picture 46" descr="The Medical Board of Australia and A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D9D"/>
    <w:multiLevelType w:val="multilevel"/>
    <w:tmpl w:val="0A829B3A"/>
    <w:lvl w:ilvl="0">
      <w:start w:val="12"/>
      <w:numFmt w:val="decimal"/>
      <w:lvlText w:val="%1."/>
      <w:lvlJc w:val="left"/>
      <w:pPr>
        <w:ind w:left="369" w:hanging="369"/>
      </w:pPr>
      <w:rPr>
        <w:rFonts w:ascii="Arial" w:hAnsi="Arial" w:cs="Times New Roman" w:hint="default"/>
        <w:b/>
        <w:bCs/>
        <w:i w:val="0"/>
        <w:dstrike w:val="0"/>
        <w:color w:val="auto"/>
        <w:spacing w:val="0"/>
        <w:kern w:val="0"/>
        <w:position w:val="0"/>
        <w:sz w:val="20"/>
        <w:u w:val="none"/>
        <w:vertAlign w:val="baseline"/>
        <w:em w:val="none"/>
      </w:rPr>
    </w:lvl>
    <w:lvl w:ilvl="1">
      <w:start w:val="1"/>
      <w:numFmt w:val="decimal"/>
      <w:lvlText w:val="%1.%2"/>
      <w:lvlJc w:val="left"/>
      <w:pPr>
        <w:ind w:left="-2042" w:firstLine="0"/>
      </w:pPr>
      <w:rPr>
        <w:rFonts w:ascii="Arial" w:hAnsi="Arial" w:hint="default"/>
        <w:b w:val="0"/>
        <w:i w:val="0"/>
        <w:color w:val="auto"/>
        <w:sz w:val="20"/>
      </w:rPr>
    </w:lvl>
    <w:lvl w:ilvl="2">
      <w:start w:val="1"/>
      <w:numFmt w:val="decimal"/>
      <w:lvlText w:val="%1.%2.%3"/>
      <w:lvlJc w:val="left"/>
      <w:pPr>
        <w:ind w:left="-2042" w:firstLine="368"/>
      </w:pPr>
      <w:rPr>
        <w:rFonts w:ascii="Arial" w:hAnsi="Arial" w:hint="default"/>
        <w:b w:val="0"/>
        <w:i w:val="0"/>
        <w:color w:val="auto"/>
        <w:sz w:val="20"/>
      </w:rPr>
    </w:lvl>
    <w:lvl w:ilvl="3">
      <w:start w:val="1"/>
      <w:numFmt w:val="decimal"/>
      <w:lvlText w:val="%1.%2.%3.%4."/>
      <w:lvlJc w:val="left"/>
      <w:pPr>
        <w:ind w:left="-935" w:hanging="369"/>
      </w:pPr>
      <w:rPr>
        <w:rFonts w:hint="default"/>
      </w:rPr>
    </w:lvl>
    <w:lvl w:ilvl="4">
      <w:start w:val="1"/>
      <w:numFmt w:val="decimal"/>
      <w:lvlText w:val="%1.%2.%3.%4.%5."/>
      <w:lvlJc w:val="left"/>
      <w:pPr>
        <w:ind w:left="-566" w:hanging="369"/>
      </w:pPr>
      <w:rPr>
        <w:rFonts w:hint="default"/>
      </w:rPr>
    </w:lvl>
    <w:lvl w:ilvl="5">
      <w:start w:val="1"/>
      <w:numFmt w:val="decimal"/>
      <w:lvlText w:val="%1.%2.%3.%4.%5.%6."/>
      <w:lvlJc w:val="left"/>
      <w:pPr>
        <w:ind w:left="-197" w:hanging="369"/>
      </w:pPr>
      <w:rPr>
        <w:rFonts w:hint="default"/>
      </w:rPr>
    </w:lvl>
    <w:lvl w:ilvl="6">
      <w:start w:val="1"/>
      <w:numFmt w:val="decimal"/>
      <w:lvlText w:val="%1.%2.%3.%4.%5.%6.%7."/>
      <w:lvlJc w:val="left"/>
      <w:pPr>
        <w:ind w:left="172" w:hanging="369"/>
      </w:pPr>
      <w:rPr>
        <w:rFonts w:hint="default"/>
      </w:rPr>
    </w:lvl>
    <w:lvl w:ilvl="7">
      <w:start w:val="1"/>
      <w:numFmt w:val="decimal"/>
      <w:lvlText w:val="%1.%2.%3.%4.%5.%6.%7.%8."/>
      <w:lvlJc w:val="left"/>
      <w:pPr>
        <w:ind w:left="541" w:hanging="369"/>
      </w:pPr>
      <w:rPr>
        <w:rFonts w:hint="default"/>
      </w:rPr>
    </w:lvl>
    <w:lvl w:ilvl="8">
      <w:start w:val="1"/>
      <w:numFmt w:val="decimal"/>
      <w:lvlText w:val="%1.%2.%3.%4.%5.%6.%7.%8.%9."/>
      <w:lvlJc w:val="left"/>
      <w:pPr>
        <w:ind w:left="910" w:hanging="369"/>
      </w:pPr>
      <w:rPr>
        <w:rFonts w:hint="default"/>
      </w:rPr>
    </w:lvl>
  </w:abstractNum>
  <w:abstractNum w:abstractNumId="1" w15:restartNumberingAfterBreak="0">
    <w:nsid w:val="04B42B23"/>
    <w:multiLevelType w:val="hybridMultilevel"/>
    <w:tmpl w:val="3E16376E"/>
    <w:lvl w:ilvl="0" w:tplc="816696CA">
      <w:start w:val="1"/>
      <w:numFmt w:val="decimal"/>
      <w:pStyle w:val="AHPRAbodyContextparanumbered"/>
      <w:lvlText w:val="%1."/>
      <w:lvlJc w:val="left"/>
      <w:pPr>
        <w:ind w:left="502" w:hanging="360"/>
      </w:pPr>
      <w:rPr>
        <w:rFonts w:ascii="Arial" w:hAnsi="Arial" w:hint="default"/>
        <w:b w:val="0"/>
        <w:i w:val="0"/>
        <w:color w:val="auto"/>
        <w:sz w:val="20"/>
      </w:rPr>
    </w:lvl>
    <w:lvl w:ilvl="1" w:tplc="CD4EBC04">
      <w:start w:val="1"/>
      <w:numFmt w:val="lowerLetter"/>
      <w:lvlText w:val="%2."/>
      <w:lvlJc w:val="left"/>
      <w:pPr>
        <w:ind w:left="1582" w:hanging="360"/>
      </w:pPr>
      <w:rPr>
        <w:b w:val="0"/>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8E93932"/>
    <w:multiLevelType w:val="multilevel"/>
    <w:tmpl w:val="FFF4C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4B0841"/>
    <w:multiLevelType w:val="hybridMultilevel"/>
    <w:tmpl w:val="0726A3C8"/>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3D9F4C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13504"/>
    <w:multiLevelType w:val="hybridMultilevel"/>
    <w:tmpl w:val="492208B6"/>
    <w:lvl w:ilvl="0" w:tplc="F84C312A">
      <w:start w:val="1"/>
      <w:numFmt w:val="decimal"/>
      <w:pStyle w:val="AHPRANumberedText"/>
      <w:lvlText w:val="%1."/>
      <w:lvlJc w:val="left"/>
      <w:pPr>
        <w:tabs>
          <w:tab w:val="num" w:pos="284"/>
        </w:tabs>
        <w:ind w:left="284" w:hanging="284"/>
      </w:pPr>
      <w:rPr>
        <w:rFonts w:cs="Times New Roman"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52"/>
    <w:rsid w:val="000132DB"/>
    <w:rsid w:val="000348E3"/>
    <w:rsid w:val="00070852"/>
    <w:rsid w:val="00073C38"/>
    <w:rsid w:val="000C44D6"/>
    <w:rsid w:val="000D6208"/>
    <w:rsid w:val="0018736F"/>
    <w:rsid w:val="001B36F2"/>
    <w:rsid w:val="001E5AAD"/>
    <w:rsid w:val="001E7982"/>
    <w:rsid w:val="00340BED"/>
    <w:rsid w:val="00362365"/>
    <w:rsid w:val="00376CA3"/>
    <w:rsid w:val="0038688D"/>
    <w:rsid w:val="00625C4F"/>
    <w:rsid w:val="00735BFA"/>
    <w:rsid w:val="007C6C76"/>
    <w:rsid w:val="008018B1"/>
    <w:rsid w:val="00890C1C"/>
    <w:rsid w:val="00947419"/>
    <w:rsid w:val="00967DB4"/>
    <w:rsid w:val="009F6233"/>
    <w:rsid w:val="00A53640"/>
    <w:rsid w:val="00A77629"/>
    <w:rsid w:val="00AA3CCB"/>
    <w:rsid w:val="00B66C5C"/>
    <w:rsid w:val="00BA7F40"/>
    <w:rsid w:val="00C51E9F"/>
    <w:rsid w:val="00D17C7C"/>
    <w:rsid w:val="00D50442"/>
    <w:rsid w:val="00E76508"/>
    <w:rsid w:val="00F25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02EB6"/>
  <w15:chartTrackingRefBased/>
  <w15:docId w15:val="{85A7877E-39D7-491B-AE2B-8DAD2D03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unhideWhenUsed/>
    <w:rsid w:val="00070852"/>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uiPriority w:val="99"/>
    <w:qFormat/>
    <w:rsid w:val="00070852"/>
    <w:rPr>
      <w:rFonts w:cs="Arial"/>
      <w:sz w:val="20"/>
    </w:rPr>
  </w:style>
  <w:style w:type="character" w:customStyle="1" w:styleId="AHPRAbodyChar">
    <w:name w:val="AHPRA body Char"/>
    <w:basedOn w:val="DefaultParagraphFont"/>
    <w:link w:val="AHPRAbody"/>
    <w:uiPriority w:val="99"/>
    <w:rsid w:val="00070852"/>
    <w:rPr>
      <w:rFonts w:ascii="Arial" w:eastAsia="Cambria" w:hAnsi="Arial" w:cs="Arial"/>
      <w:sz w:val="20"/>
      <w:szCs w:val="24"/>
    </w:rPr>
  </w:style>
  <w:style w:type="paragraph" w:styleId="ListParagraph">
    <w:name w:val="List Paragraph"/>
    <w:basedOn w:val="Normal"/>
    <w:link w:val="ListParagraphChar"/>
    <w:uiPriority w:val="34"/>
    <w:qFormat/>
    <w:rsid w:val="00070852"/>
    <w:pPr>
      <w:ind w:left="720"/>
      <w:contextualSpacing/>
    </w:pPr>
  </w:style>
  <w:style w:type="paragraph" w:customStyle="1" w:styleId="AHPRADocumentsubheading">
    <w:name w:val="AHPRA Document subheading"/>
    <w:basedOn w:val="Normal"/>
    <w:next w:val="Normal"/>
    <w:qFormat/>
    <w:rsid w:val="00070852"/>
    <w:pPr>
      <w:outlineLvl w:val="0"/>
    </w:pPr>
    <w:rPr>
      <w:rFonts w:cs="Arial"/>
      <w:color w:val="808080"/>
      <w:sz w:val="28"/>
      <w:szCs w:val="52"/>
      <w:lang w:val="en-US"/>
    </w:rPr>
  </w:style>
  <w:style w:type="paragraph" w:customStyle="1" w:styleId="AHPRABulletlevel1">
    <w:name w:val="AHPRA Bullet level 1"/>
    <w:basedOn w:val="Normal"/>
    <w:qFormat/>
    <w:rsid w:val="00070852"/>
    <w:pPr>
      <w:numPr>
        <w:numId w:val="1"/>
      </w:numPr>
      <w:spacing w:after="0"/>
    </w:pPr>
    <w:rPr>
      <w:sz w:val="20"/>
      <w:lang w:val="en-US"/>
    </w:rPr>
  </w:style>
  <w:style w:type="table" w:styleId="TableGrid">
    <w:name w:val="Table Grid"/>
    <w:basedOn w:val="TableNormal"/>
    <w:uiPriority w:val="59"/>
    <w:rsid w:val="00070852"/>
    <w:pPr>
      <w:spacing w:after="0"/>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Subhead">
    <w:name w:val="AHPRA Subhead"/>
    <w:basedOn w:val="Normal"/>
    <w:qFormat/>
    <w:rsid w:val="00070852"/>
    <w:rPr>
      <w:b/>
      <w:color w:val="008EC4"/>
      <w:sz w:val="20"/>
      <w:lang w:val="en-US"/>
    </w:rPr>
  </w:style>
  <w:style w:type="character" w:customStyle="1" w:styleId="ListParagraphChar">
    <w:name w:val="List Paragraph Char"/>
    <w:link w:val="ListParagraph"/>
    <w:uiPriority w:val="34"/>
    <w:locked/>
    <w:rsid w:val="00070852"/>
    <w:rPr>
      <w:rFonts w:ascii="Arial" w:eastAsia="Cambria" w:hAnsi="Arial" w:cs="Times New Roman"/>
      <w:sz w:val="24"/>
      <w:szCs w:val="24"/>
    </w:rPr>
  </w:style>
  <w:style w:type="paragraph" w:customStyle="1" w:styleId="AHPRAbodyContextparanumbered">
    <w:name w:val="AHPRA body 'Context' para numbered"/>
    <w:uiPriority w:val="1"/>
    <w:qFormat/>
    <w:rsid w:val="00070852"/>
    <w:pPr>
      <w:numPr>
        <w:numId w:val="2"/>
      </w:numPr>
    </w:pPr>
    <w:rPr>
      <w:rFonts w:ascii="Arial" w:eastAsia="Cambria" w:hAnsi="Arial" w:cs="Arial"/>
      <w:sz w:val="20"/>
      <w:szCs w:val="24"/>
    </w:rPr>
  </w:style>
  <w:style w:type="paragraph" w:customStyle="1" w:styleId="AHPRABody0">
    <w:name w:val="AHPRA Body"/>
    <w:basedOn w:val="Normal"/>
    <w:qFormat/>
    <w:rsid w:val="00070852"/>
    <w:rPr>
      <w:rFonts w:cs="Arial"/>
      <w:sz w:val="20"/>
      <w:szCs w:val="20"/>
    </w:rPr>
  </w:style>
  <w:style w:type="paragraph" w:styleId="Header">
    <w:name w:val="header"/>
    <w:basedOn w:val="Normal"/>
    <w:link w:val="HeaderChar"/>
    <w:uiPriority w:val="99"/>
    <w:unhideWhenUsed/>
    <w:rsid w:val="00AA3CCB"/>
    <w:pPr>
      <w:tabs>
        <w:tab w:val="center" w:pos="4513"/>
        <w:tab w:val="right" w:pos="9026"/>
      </w:tabs>
      <w:spacing w:after="0"/>
    </w:pPr>
  </w:style>
  <w:style w:type="character" w:customStyle="1" w:styleId="HeaderChar">
    <w:name w:val="Header Char"/>
    <w:basedOn w:val="DefaultParagraphFont"/>
    <w:link w:val="Header"/>
    <w:uiPriority w:val="99"/>
    <w:rsid w:val="00AA3CCB"/>
    <w:rPr>
      <w:rFonts w:ascii="Arial" w:eastAsia="Cambria" w:hAnsi="Arial" w:cs="Times New Roman"/>
      <w:sz w:val="24"/>
      <w:szCs w:val="24"/>
    </w:rPr>
  </w:style>
  <w:style w:type="paragraph" w:styleId="Footer">
    <w:name w:val="footer"/>
    <w:basedOn w:val="Normal"/>
    <w:link w:val="FooterChar"/>
    <w:uiPriority w:val="99"/>
    <w:unhideWhenUsed/>
    <w:rsid w:val="00AA3CCB"/>
    <w:pPr>
      <w:tabs>
        <w:tab w:val="center" w:pos="4513"/>
        <w:tab w:val="right" w:pos="9026"/>
      </w:tabs>
      <w:spacing w:after="0"/>
    </w:pPr>
  </w:style>
  <w:style w:type="character" w:customStyle="1" w:styleId="FooterChar">
    <w:name w:val="Footer Char"/>
    <w:basedOn w:val="DefaultParagraphFont"/>
    <w:link w:val="Footer"/>
    <w:uiPriority w:val="99"/>
    <w:rsid w:val="00AA3CCB"/>
    <w:rPr>
      <w:rFonts w:ascii="Arial" w:eastAsia="Cambria" w:hAnsi="Arial" w:cs="Times New Roman"/>
      <w:sz w:val="24"/>
      <w:szCs w:val="24"/>
    </w:rPr>
  </w:style>
  <w:style w:type="paragraph" w:customStyle="1" w:styleId="AHPRAHeadline">
    <w:name w:val="AHPRA Headline"/>
    <w:basedOn w:val="Normal"/>
    <w:uiPriority w:val="99"/>
    <w:rsid w:val="00A77629"/>
    <w:rPr>
      <w:color w:val="008EC4"/>
      <w:sz w:val="28"/>
      <w:lang w:val="en-US"/>
    </w:rPr>
  </w:style>
  <w:style w:type="paragraph" w:customStyle="1" w:styleId="AHPRATitle">
    <w:name w:val="AHPRA Title"/>
    <w:basedOn w:val="Normal"/>
    <w:next w:val="AHPRAHeadline"/>
    <w:uiPriority w:val="99"/>
    <w:rsid w:val="00A77629"/>
    <w:pPr>
      <w:outlineLvl w:val="0"/>
    </w:pPr>
    <w:rPr>
      <w:rFonts w:cs="Arial"/>
      <w:color w:val="808080"/>
      <w:sz w:val="44"/>
      <w:szCs w:val="52"/>
      <w:lang w:val="en-US"/>
    </w:rPr>
  </w:style>
  <w:style w:type="paragraph" w:customStyle="1" w:styleId="AHPRANumberedText">
    <w:name w:val="AHPRA Numbered Text"/>
    <w:basedOn w:val="Normal"/>
    <w:rsid w:val="00A77629"/>
    <w:pPr>
      <w:numPr>
        <w:numId w:val="7"/>
      </w:numPr>
    </w:pPr>
    <w:rPr>
      <w:sz w:val="20"/>
      <w:lang w:val="en-US"/>
    </w:rPr>
  </w:style>
  <w:style w:type="paragraph" w:customStyle="1" w:styleId="AHPRASubheading">
    <w:name w:val="AHPRA Subheading"/>
    <w:basedOn w:val="Normal"/>
    <w:link w:val="AHPRASubheadingChar"/>
    <w:qFormat/>
    <w:rsid w:val="00947419"/>
    <w:pPr>
      <w:spacing w:before="200"/>
    </w:pPr>
    <w:rPr>
      <w:b/>
      <w:color w:val="008EC4"/>
      <w:sz w:val="20"/>
    </w:rPr>
  </w:style>
  <w:style w:type="character" w:customStyle="1" w:styleId="AHPRASubheadingChar">
    <w:name w:val="AHPRA Subheading Char"/>
    <w:basedOn w:val="DefaultParagraphFont"/>
    <w:link w:val="AHPRASubheading"/>
    <w:rsid w:val="00947419"/>
    <w:rPr>
      <w:rFonts w:ascii="Arial" w:eastAsia="Cambria" w:hAnsi="Arial" w:cs="Times New Roman"/>
      <w:b/>
      <w:color w:val="008EC4"/>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20EC-FE6F-4328-AE11-208A4B1DA218}">
  <ds:schemaRefs>
    <ds:schemaRef ds:uri="http://schemas.microsoft.com/sharepoint/v3/contenttype/forms"/>
  </ds:schemaRefs>
</ds:datastoreItem>
</file>

<file path=customXml/itemProps2.xml><?xml version="1.0" encoding="utf-8"?>
<ds:datastoreItem xmlns:ds="http://schemas.openxmlformats.org/officeDocument/2006/customXml" ds:itemID="{789F55C5-C134-40AA-9E50-15E489EF39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50b1c92-5078-4f48-9f07-8ac9ba5b905d"/>
    <ds:schemaRef ds:uri="60e2ac08-e232-4add-ba3b-b6b56a49ca1f"/>
    <ds:schemaRef ds:uri="http://www.w3.org/XML/1998/namespace"/>
    <ds:schemaRef ds:uri="http://purl.org/dc/dcmitype/"/>
  </ds:schemaRefs>
</ds:datastoreItem>
</file>

<file path=customXml/itemProps3.xml><?xml version="1.0" encoding="utf-8"?>
<ds:datastoreItem xmlns:ds="http://schemas.openxmlformats.org/officeDocument/2006/customXml" ds:itemID="{76BCA0B4-23DE-4F6D-AEDD-58BCD5DC2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73A8C-606C-41A5-893B-D4126755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3562</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Medical Board - Guidance - Continuing professional development - High-level requirements for CPD programs</vt:lpstr>
    </vt:vector>
  </TitlesOfParts>
  <Company>Ahpra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 Guidance - Continuing professional development - High-level requirements for CPD programs</dc:title>
  <dc:subject>Guidance</dc:subject>
  <dc:creator>Medical Board</dc:creator>
  <cp:keywords/>
  <dc:description/>
  <cp:lastModifiedBy>Sheryl Kamath</cp:lastModifiedBy>
  <cp:revision>2</cp:revision>
  <dcterms:created xsi:type="dcterms:W3CDTF">2021-07-29T07:25:00Z</dcterms:created>
  <dcterms:modified xsi:type="dcterms:W3CDTF">2021-07-29T07:25:00Z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