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105C" w14:textId="77777777" w:rsidR="00C52463" w:rsidRPr="00C52463" w:rsidRDefault="00C52463" w:rsidP="00C52463">
      <w:pPr>
        <w:pStyle w:val="AHPRADocumenttitle"/>
        <w:rPr>
          <w:color w:val="009CDE"/>
        </w:rPr>
      </w:pPr>
      <w:r w:rsidRPr="00C52463">
        <w:rPr>
          <w:color w:val="009CDE"/>
        </w:rPr>
        <w:t>COVID-19</w:t>
      </w:r>
    </w:p>
    <w:p w14:paraId="2C838026" w14:textId="77777777" w:rsidR="00C52463" w:rsidRDefault="00C52463" w:rsidP="00C52463">
      <w:pPr>
        <w:pStyle w:val="AHPRADocumentsubheading"/>
      </w:pPr>
      <w:r>
        <w:t>Update on Paramedicine Accreditation Committee’s response to COVID-19</w:t>
      </w:r>
    </w:p>
    <w:p w14:paraId="4BD80CD8" w14:textId="77777777" w:rsidR="00C52463" w:rsidRDefault="00C52463" w:rsidP="00C52463">
      <w:pPr>
        <w:pStyle w:val="AHPRASubheading"/>
        <w:rPr>
          <w:sz w:val="36"/>
          <w:szCs w:val="36"/>
        </w:rPr>
      </w:pPr>
      <w:r>
        <w:t>11 May 2020</w:t>
      </w:r>
    </w:p>
    <w:p w14:paraId="3A71888B" w14:textId="77777777" w:rsidR="00C52463" w:rsidRDefault="00C52463" w:rsidP="005C3539">
      <w:pPr>
        <w:shd w:val="clear" w:color="auto" w:fill="FFFFFF"/>
        <w:spacing w:after="200" w:line="240" w:lineRule="auto"/>
        <w:rPr>
          <w:rFonts w:cs="Arial"/>
          <w:color w:val="54575B"/>
          <w:sz w:val="21"/>
          <w:szCs w:val="21"/>
        </w:rPr>
      </w:pPr>
      <w:r w:rsidRPr="005C3539">
        <w:rPr>
          <w:rStyle w:val="AHPRAbodyChar"/>
        </w:rPr>
        <w:t>The Paramedicine Accreditation Committee (Committee), together with the Accreditation Councils and Committees for all professions regulated within the National Scheme, has adopted the</w:t>
      </w:r>
      <w:r>
        <w:rPr>
          <w:rFonts w:cs="Arial"/>
          <w:color w:val="54575B"/>
          <w:sz w:val="21"/>
          <w:szCs w:val="21"/>
        </w:rPr>
        <w:t> </w:t>
      </w:r>
      <w:hyperlink r:id="rId11" w:tgtFrame="_blank" w:history="1">
        <w:r>
          <w:rPr>
            <w:rStyle w:val="Hyperlink"/>
            <w:rFonts w:cs="Arial"/>
            <w:color w:val="0082F1"/>
            <w:sz w:val="21"/>
            <w:szCs w:val="21"/>
          </w:rPr>
          <w:t>collective position</w:t>
        </w:r>
      </w:hyperlink>
      <w:r>
        <w:rPr>
          <w:rFonts w:cs="Arial"/>
          <w:color w:val="54575B"/>
          <w:sz w:val="21"/>
          <w:szCs w:val="21"/>
        </w:rPr>
        <w:t> </w:t>
      </w:r>
      <w:r w:rsidRPr="005C3539">
        <w:rPr>
          <w:rStyle w:val="AHPRAbodyChar"/>
        </w:rPr>
        <w:t>of the Health Professions Accreditation Collaborative Forum with respect to accredited programs and the impact of COVID-19</w:t>
      </w:r>
      <w:r>
        <w:rPr>
          <w:rFonts w:cs="Arial"/>
          <w:color w:val="54575B"/>
          <w:sz w:val="21"/>
          <w:szCs w:val="21"/>
        </w:rPr>
        <w:t>. </w:t>
      </w:r>
    </w:p>
    <w:p w14:paraId="309020AD" w14:textId="77777777" w:rsidR="00C52463" w:rsidRPr="005C3539" w:rsidRDefault="00C52463" w:rsidP="005C3539">
      <w:pPr>
        <w:shd w:val="clear" w:color="auto" w:fill="FFFFFF"/>
        <w:spacing w:after="200" w:line="240" w:lineRule="auto"/>
        <w:rPr>
          <w:rStyle w:val="AHPRAbodyChar"/>
        </w:rPr>
      </w:pPr>
      <w:r w:rsidRPr="005C3539">
        <w:rPr>
          <w:rStyle w:val="AHPRAbodyChar"/>
        </w:rPr>
        <w:t>Ahpra and the National Boards, together with the Australian Government and the Health Professions Accreditation Collaborative Forum, have set</w:t>
      </w:r>
      <w:r>
        <w:rPr>
          <w:rFonts w:cs="Arial"/>
          <w:color w:val="54575B"/>
          <w:sz w:val="21"/>
          <w:szCs w:val="21"/>
        </w:rPr>
        <w:t> </w:t>
      </w:r>
      <w:hyperlink r:id="rId12" w:tgtFrame="_blank" w:history="1">
        <w:r>
          <w:rPr>
            <w:rStyle w:val="Hyperlink"/>
            <w:rFonts w:cs="Arial"/>
            <w:color w:val="0082F1"/>
            <w:sz w:val="21"/>
            <w:szCs w:val="21"/>
          </w:rPr>
          <w:t>national principles for clinical education</w:t>
        </w:r>
      </w:hyperlink>
      <w:r>
        <w:rPr>
          <w:rFonts w:cs="Arial"/>
          <w:color w:val="54575B"/>
          <w:sz w:val="21"/>
          <w:szCs w:val="21"/>
        </w:rPr>
        <w:t> </w:t>
      </w:r>
      <w:r w:rsidRPr="005C3539">
        <w:rPr>
          <w:rStyle w:val="AHPRAbodyChar"/>
        </w:rPr>
        <w:t>to guide decisions of professions, Accreditation Authorities, education providers and health services about student clinical education during the COVID-19 pandemic response.</w:t>
      </w:r>
    </w:p>
    <w:p w14:paraId="24426112" w14:textId="77777777" w:rsidR="00C52463" w:rsidRDefault="00C52463" w:rsidP="005C3539">
      <w:pPr>
        <w:pStyle w:val="AHPRAbody"/>
      </w:pPr>
      <w:r>
        <w:t>As foreshadowed in its update released on 20 March 2020, the Committee now provides an update on site visit schedules and other accreditation activities.</w:t>
      </w:r>
    </w:p>
    <w:p w14:paraId="2192A950" w14:textId="77777777" w:rsidR="00C52463" w:rsidRDefault="00C52463" w:rsidP="005C3539">
      <w:pPr>
        <w:pStyle w:val="AHPRAbody"/>
      </w:pPr>
      <w:r>
        <w:t>The Committee has decided to:</w:t>
      </w:r>
    </w:p>
    <w:p w14:paraId="12761744" w14:textId="77777777" w:rsidR="00C52463" w:rsidRDefault="00C52463" w:rsidP="005C3539">
      <w:pPr>
        <w:pStyle w:val="AHPRABulletlevel1"/>
        <w:spacing w:after="0"/>
        <w:contextualSpacing/>
      </w:pPr>
      <w:r w:rsidRPr="005C3539">
        <w:t>defer</w:t>
      </w:r>
      <w:r>
        <w:t xml:space="preserve"> due dates for the next routine annual monitoring responses to a date to be determined</w:t>
      </w:r>
    </w:p>
    <w:p w14:paraId="57673DD4" w14:textId="77777777" w:rsidR="00C52463" w:rsidRDefault="00C52463" w:rsidP="005C3539">
      <w:pPr>
        <w:pStyle w:val="AHPRABulletlevel1"/>
        <w:spacing w:after="0"/>
        <w:contextualSpacing/>
      </w:pPr>
      <w:r>
        <w:t>require each education provider to submit information about changes to the program in response to COVID-19 later in 2020, and</w:t>
      </w:r>
    </w:p>
    <w:p w14:paraId="2EBBDBB6" w14:textId="77777777" w:rsidR="00C52463" w:rsidRDefault="00C52463" w:rsidP="005C3539">
      <w:pPr>
        <w:pStyle w:val="AHPRABulletlevel1last"/>
        <w:spacing w:line="240" w:lineRule="auto"/>
      </w:pPr>
      <w:r>
        <w:t>postpone any accreditation assessments that have not yet commenced from 2020 to 2021 unless an accreditation decision is required in 2020.</w:t>
      </w:r>
    </w:p>
    <w:p w14:paraId="77E8ABF5" w14:textId="77777777" w:rsidR="00C52463" w:rsidRDefault="00C52463" w:rsidP="005C3539">
      <w:pPr>
        <w:pStyle w:val="AHPRAbody"/>
      </w:pPr>
      <w:r>
        <w:t>Ahpra’s Program Accreditation Team will provide written advice to each education provider about proposed changes to their accreditation and monitoring activities.</w:t>
      </w:r>
    </w:p>
    <w:p w14:paraId="3419C3DA" w14:textId="77777777" w:rsidR="00C52463" w:rsidRDefault="00C52463" w:rsidP="005C3539">
      <w:pPr>
        <w:pStyle w:val="AHPRAbody"/>
      </w:pPr>
      <w:r>
        <w:t>The Committee and the Program Accreditation Team look forward to continuing to work collaboratively with all education providers during this challenging time, and for the remainder of 2020.</w:t>
      </w:r>
    </w:p>
    <w:p w14:paraId="5B7B40C2" w14:textId="77777777" w:rsidR="00B1603E" w:rsidRPr="00C52463" w:rsidRDefault="00B1603E" w:rsidP="005C3539">
      <w:pPr>
        <w:pStyle w:val="AHPRAbody"/>
      </w:pPr>
    </w:p>
    <w:sectPr w:rsidR="00B1603E" w:rsidRPr="00C52463" w:rsidSect="005C35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819" w:right="1268" w:bottom="567" w:left="1276" w:header="567" w:footer="7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C796C" w14:textId="77777777" w:rsidR="00C52463" w:rsidRDefault="00C52463" w:rsidP="00FC2881">
      <w:r>
        <w:separator/>
      </w:r>
    </w:p>
    <w:p w14:paraId="22EADF34" w14:textId="77777777" w:rsidR="00C52463" w:rsidRDefault="00C52463"/>
  </w:endnote>
  <w:endnote w:type="continuationSeparator" w:id="0">
    <w:p w14:paraId="33C4A5D7" w14:textId="77777777" w:rsidR="00C52463" w:rsidRDefault="00C52463" w:rsidP="00FC2881">
      <w:r>
        <w:continuationSeparator/>
      </w:r>
    </w:p>
    <w:p w14:paraId="1A1AF66F" w14:textId="77777777" w:rsidR="00C52463" w:rsidRDefault="00C52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C1AC" w14:textId="77777777" w:rsidR="000A6BF7" w:rsidRDefault="002A5798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400B9816" w14:textId="77777777" w:rsidR="000A6BF7" w:rsidRDefault="000A6BF7" w:rsidP="00FC2881">
    <w:pPr>
      <w:pStyle w:val="AHPRAfootnote"/>
      <w:ind w:right="360"/>
    </w:pPr>
  </w:p>
  <w:p w14:paraId="17D6621B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0DE2" w14:textId="77777777" w:rsidR="000E7E28" w:rsidRPr="00802BE3" w:rsidRDefault="00AD4B09" w:rsidP="001506FE">
    <w:pPr>
      <w:pStyle w:val="AHPRAfooter"/>
      <w:rPr>
        <w:color w:val="707372"/>
        <w:szCs w:val="16"/>
      </w:rPr>
    </w:pPr>
    <w:r>
      <w:br/>
    </w:r>
    <w:r w:rsidR="3268D640" w:rsidRPr="00802BE3">
      <w:rPr>
        <w:color w:val="707372"/>
      </w:rPr>
      <w:t>&lt;Letter title/Date&gt;</w:t>
    </w:r>
  </w:p>
  <w:p w14:paraId="55385451" w14:textId="77777777" w:rsidR="000A6BF7" w:rsidRPr="00802BE3" w:rsidRDefault="00F16FBD" w:rsidP="000E7E28">
    <w:pPr>
      <w:pStyle w:val="AHPRApagenumber"/>
      <w:rPr>
        <w:color w:val="707372"/>
      </w:rPr>
    </w:pPr>
    <w:sdt>
      <w:sdtPr>
        <w:rPr>
          <w:color w:val="707372"/>
        </w:rPr>
        <w:id w:val="-744494107"/>
        <w:docPartObj>
          <w:docPartGallery w:val="Page Numbers (Top of Page)"/>
          <w:docPartUnique/>
        </w:docPartObj>
      </w:sdtPr>
      <w:sdtEndPr/>
      <w:sdtContent>
        <w:r w:rsidR="001506FE" w:rsidRPr="00802BE3">
          <w:rPr>
            <w:color w:val="707372"/>
          </w:rPr>
          <w:t xml:space="preserve">Page </w:t>
        </w:r>
        <w:r w:rsidR="002A5798" w:rsidRPr="00802BE3">
          <w:rPr>
            <w:color w:val="707372"/>
          </w:rPr>
          <w:fldChar w:fldCharType="begin"/>
        </w:r>
        <w:r w:rsidR="00E74923" w:rsidRPr="00802BE3">
          <w:rPr>
            <w:color w:val="707372"/>
          </w:rPr>
          <w:instrText xml:space="preserve"> PAGE </w:instrText>
        </w:r>
        <w:r w:rsidR="002A5798" w:rsidRPr="00802BE3">
          <w:rPr>
            <w:color w:val="707372"/>
          </w:rPr>
          <w:fldChar w:fldCharType="separate"/>
        </w:r>
        <w:r w:rsidR="000E0576" w:rsidRPr="00802BE3">
          <w:rPr>
            <w:noProof/>
            <w:color w:val="707372"/>
          </w:rPr>
          <w:t>2</w:t>
        </w:r>
        <w:r w:rsidR="002A5798" w:rsidRPr="00802BE3">
          <w:rPr>
            <w:noProof/>
            <w:color w:val="707372"/>
          </w:rPr>
          <w:fldChar w:fldCharType="end"/>
        </w:r>
        <w:r w:rsidR="00E77E23" w:rsidRPr="00802BE3">
          <w:rPr>
            <w:color w:val="707372"/>
          </w:rPr>
          <w:t xml:space="preserve"> of </w:t>
        </w:r>
        <w:r w:rsidR="002A5798" w:rsidRPr="00802BE3">
          <w:rPr>
            <w:color w:val="707372"/>
          </w:rPr>
          <w:fldChar w:fldCharType="begin"/>
        </w:r>
        <w:r w:rsidR="00A56C8F" w:rsidRPr="00802BE3">
          <w:rPr>
            <w:color w:val="707372"/>
          </w:rPr>
          <w:instrText xml:space="preserve"> NUMPAGES  </w:instrText>
        </w:r>
        <w:r w:rsidR="002A5798" w:rsidRPr="00802BE3">
          <w:rPr>
            <w:color w:val="707372"/>
          </w:rPr>
          <w:fldChar w:fldCharType="separate"/>
        </w:r>
        <w:r w:rsidR="000E0576" w:rsidRPr="00802BE3">
          <w:rPr>
            <w:noProof/>
            <w:color w:val="707372"/>
          </w:rPr>
          <w:t>2</w:t>
        </w:r>
        <w:r w:rsidR="002A5798" w:rsidRPr="00802BE3">
          <w:rPr>
            <w:noProof/>
            <w:color w:val="70737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FB5E" w14:textId="77777777" w:rsidR="00E77E23" w:rsidRPr="00802BE3" w:rsidRDefault="3268D640" w:rsidP="005C3539">
    <w:pPr>
      <w:spacing w:after="0"/>
      <w:jc w:val="center"/>
      <w:rPr>
        <w:rFonts w:eastAsia="Arial"/>
        <w:color w:val="707372"/>
        <w:sz w:val="18"/>
        <w:szCs w:val="18"/>
        <w:lang w:val="en-US"/>
      </w:rPr>
    </w:pPr>
    <w:r w:rsidRPr="00802BE3">
      <w:rPr>
        <w:rFonts w:eastAsia="Arial"/>
        <w:color w:val="707372"/>
        <w:sz w:val="18"/>
        <w:szCs w:val="18"/>
        <w:lang w:val="en-US"/>
      </w:rPr>
      <w:t xml:space="preserve">Paramedicine </w:t>
    </w:r>
    <w:r w:rsidR="00EF62A1" w:rsidRPr="00802BE3">
      <w:rPr>
        <w:rFonts w:eastAsia="Arial"/>
        <w:color w:val="707372"/>
        <w:sz w:val="18"/>
        <w:szCs w:val="18"/>
        <w:lang w:val="en-US"/>
      </w:rPr>
      <w:t>Accreditation Committee</w:t>
    </w:r>
  </w:p>
  <w:p w14:paraId="100A13C0" w14:textId="77777777" w:rsidR="00E77E23" w:rsidRPr="00802BE3" w:rsidRDefault="3268D640" w:rsidP="005C3539">
    <w:pPr>
      <w:spacing w:after="0"/>
      <w:jc w:val="center"/>
      <w:rPr>
        <w:color w:val="707372"/>
      </w:rPr>
    </w:pPr>
    <w:r w:rsidRPr="00802BE3">
      <w:rPr>
        <w:rFonts w:eastAsia="Arial"/>
        <w:color w:val="707372"/>
        <w:sz w:val="18"/>
        <w:szCs w:val="18"/>
        <w:lang w:val="en-US"/>
      </w:rPr>
      <w:t>Australian Health Practitioner Regulation Agency</w:t>
    </w:r>
  </w:p>
  <w:p w14:paraId="6DA474FA" w14:textId="77777777" w:rsidR="00E77E23" w:rsidRPr="00E56C62" w:rsidRDefault="00E56C62" w:rsidP="005C3539">
    <w:pPr>
      <w:spacing w:after="0"/>
      <w:jc w:val="center"/>
      <w:rPr>
        <w:sz w:val="16"/>
        <w:szCs w:val="16"/>
      </w:rPr>
    </w:pPr>
    <w:r w:rsidRPr="00E56C62">
      <w:rPr>
        <w:rFonts w:eastAsia="Arial"/>
        <w:color w:val="0067B9"/>
        <w:sz w:val="16"/>
        <w:szCs w:val="16"/>
        <w:lang w:val="en-US"/>
      </w:rPr>
      <w:t xml:space="preserve">GPO </w:t>
    </w:r>
    <w:r w:rsidR="3268D640" w:rsidRPr="00E56C62">
      <w:rPr>
        <w:rFonts w:eastAsia="Arial"/>
        <w:color w:val="0067B9"/>
        <w:sz w:val="16"/>
        <w:szCs w:val="16"/>
        <w:lang w:val="en-US"/>
      </w:rPr>
      <w:t>Box 9958 Melbourne VIC 3001</w:t>
    </w:r>
    <w:r w:rsidR="3268D640" w:rsidRPr="00E56C62">
      <w:rPr>
        <w:rFonts w:eastAsia="Arial"/>
        <w:color w:val="5F6062"/>
        <w:sz w:val="16"/>
        <w:szCs w:val="16"/>
        <w:lang w:val="en-US"/>
      </w:rPr>
      <w:t xml:space="preserve">     </w:t>
    </w:r>
    <w:r w:rsidR="3268D640" w:rsidRPr="00802BE3">
      <w:rPr>
        <w:rFonts w:eastAsia="Arial"/>
        <w:color w:val="279989"/>
        <w:sz w:val="16"/>
        <w:szCs w:val="16"/>
        <w:lang w:val="en-US"/>
      </w:rPr>
      <w:t xml:space="preserve">Paramedicineboard.gov.au </w:t>
    </w:r>
    <w:proofErr w:type="gramStart"/>
    <w:r w:rsidR="3268D640" w:rsidRPr="00802BE3">
      <w:rPr>
        <w:rFonts w:eastAsia="Arial"/>
        <w:color w:val="279989"/>
        <w:sz w:val="16"/>
        <w:szCs w:val="16"/>
        <w:lang w:val="en-US"/>
      </w:rPr>
      <w:t xml:space="preserve">   </w:t>
    </w:r>
    <w:r w:rsidR="00EF62A1">
      <w:rPr>
        <w:rFonts w:eastAsia="Arial"/>
        <w:color w:val="0067B9"/>
        <w:sz w:val="16"/>
        <w:szCs w:val="16"/>
        <w:lang w:val="en-US"/>
      </w:rPr>
      <w:t>(</w:t>
    </w:r>
    <w:proofErr w:type="gramEnd"/>
    <w:r w:rsidR="00EF62A1">
      <w:rPr>
        <w:rFonts w:eastAsia="Arial"/>
        <w:color w:val="0067B9"/>
        <w:sz w:val="16"/>
        <w:szCs w:val="16"/>
        <w:lang w:val="en-US"/>
      </w:rPr>
      <w:t>03) 8708 9709</w:t>
    </w:r>
  </w:p>
  <w:p w14:paraId="59289EEB" w14:textId="77777777" w:rsidR="00041B1C" w:rsidRDefault="00041B1C" w:rsidP="005C3539">
    <w:pPr>
      <w:spacing w:after="0"/>
      <w:jc w:val="center"/>
    </w:pPr>
  </w:p>
  <w:p w14:paraId="06658035" w14:textId="77777777" w:rsidR="00E77E23" w:rsidRPr="00802BE3" w:rsidRDefault="00041B1C" w:rsidP="005C3539">
    <w:pPr>
      <w:spacing w:after="0"/>
      <w:ind w:left="720"/>
      <w:rPr>
        <w:color w:val="707372"/>
      </w:rPr>
    </w:pPr>
    <w:r w:rsidRPr="00802BE3">
      <w:rPr>
        <w:rFonts w:eastAsia="Arial"/>
        <w:color w:val="707372"/>
        <w:sz w:val="14"/>
        <w:szCs w:val="14"/>
        <w:lang w:val="en-US"/>
      </w:rPr>
      <w:t>Ahpra and the Paramedicine Accreditation Committee work in partnership to accredit education and training programs for paramedicine.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58F6" w14:textId="77777777" w:rsidR="00C52463" w:rsidRDefault="00C52463" w:rsidP="000E7E28">
      <w:r>
        <w:separator/>
      </w:r>
    </w:p>
  </w:footnote>
  <w:footnote w:type="continuationSeparator" w:id="0">
    <w:p w14:paraId="1F9B4755" w14:textId="77777777" w:rsidR="00C52463" w:rsidRDefault="00C52463" w:rsidP="00FC2881">
      <w:r>
        <w:continuationSeparator/>
      </w:r>
    </w:p>
    <w:p w14:paraId="230C3C42" w14:textId="77777777" w:rsidR="00C52463" w:rsidRDefault="00C52463"/>
  </w:footnote>
  <w:footnote w:type="continuationNotice" w:id="1">
    <w:p w14:paraId="1D734D03" w14:textId="77777777" w:rsidR="00C52463" w:rsidRDefault="00C52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55D3" w14:textId="77777777" w:rsidR="00F16FBD" w:rsidRDefault="00F16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7324" w14:textId="77777777" w:rsidR="000A6BF7" w:rsidRPr="00315933" w:rsidRDefault="000A6BF7" w:rsidP="001F25BA">
    <w:pPr>
      <w:ind w:right="-567"/>
    </w:pPr>
  </w:p>
  <w:p w14:paraId="11AF0878" w14:textId="77777777" w:rsidR="000A6BF7" w:rsidRDefault="000A6B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4DD" w14:textId="77777777" w:rsidR="000A6BF7" w:rsidRDefault="0016097D" w:rsidP="0016097D">
    <w:pPr>
      <w:tabs>
        <w:tab w:val="left" w:pos="3667"/>
      </w:tabs>
      <w:spacing w:after="200"/>
      <w:jc w:val="right"/>
    </w:pPr>
    <w:bookmarkStart w:id="0" w:name="_GoBack"/>
    <w:r>
      <w:rPr>
        <w:noProof/>
      </w:rPr>
      <w:drawing>
        <wp:inline distT="0" distB="0" distL="0" distR="0" wp14:anchorId="541E5D69" wp14:editId="027DCBE7">
          <wp:extent cx="2527200" cy="946949"/>
          <wp:effectExtent l="0" t="0" r="6985" b="5715"/>
          <wp:docPr id="18" name="Picture 18" descr="The Paramedicine Board of Australia - Accredit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7200" cy="94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17D61191"/>
    <w:multiLevelType w:val="multilevel"/>
    <w:tmpl w:val="584E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1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E154B0"/>
    <w:multiLevelType w:val="multilevel"/>
    <w:tmpl w:val="C4183F12"/>
    <w:numStyleLink w:val="AHPRANumberedlist"/>
  </w:abstractNum>
  <w:abstractNum w:abstractNumId="13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31660"/>
    <w:multiLevelType w:val="multilevel"/>
    <w:tmpl w:val="C4183F12"/>
    <w:numStyleLink w:val="AHPRANumberedlist"/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63"/>
    <w:rsid w:val="00000033"/>
    <w:rsid w:val="00006922"/>
    <w:rsid w:val="000232B7"/>
    <w:rsid w:val="000334D7"/>
    <w:rsid w:val="00041B1C"/>
    <w:rsid w:val="00071439"/>
    <w:rsid w:val="000945FB"/>
    <w:rsid w:val="000A6BF7"/>
    <w:rsid w:val="000C1AB8"/>
    <w:rsid w:val="000E0576"/>
    <w:rsid w:val="000E7E28"/>
    <w:rsid w:val="000F5D90"/>
    <w:rsid w:val="0010139F"/>
    <w:rsid w:val="00102788"/>
    <w:rsid w:val="00143CC2"/>
    <w:rsid w:val="00144DEF"/>
    <w:rsid w:val="001506FE"/>
    <w:rsid w:val="0016097D"/>
    <w:rsid w:val="001765D0"/>
    <w:rsid w:val="001C425C"/>
    <w:rsid w:val="001E1E31"/>
    <w:rsid w:val="001E2849"/>
    <w:rsid w:val="001E4A94"/>
    <w:rsid w:val="001E5621"/>
    <w:rsid w:val="001E77B0"/>
    <w:rsid w:val="001F0AFD"/>
    <w:rsid w:val="001F25BA"/>
    <w:rsid w:val="00220A3B"/>
    <w:rsid w:val="00224708"/>
    <w:rsid w:val="00230645"/>
    <w:rsid w:val="00265598"/>
    <w:rsid w:val="0028013F"/>
    <w:rsid w:val="00295B44"/>
    <w:rsid w:val="002A5798"/>
    <w:rsid w:val="002A77AD"/>
    <w:rsid w:val="002B2D48"/>
    <w:rsid w:val="002C08FB"/>
    <w:rsid w:val="002C34EA"/>
    <w:rsid w:val="00303BE1"/>
    <w:rsid w:val="00305AFC"/>
    <w:rsid w:val="003354E4"/>
    <w:rsid w:val="00353D8A"/>
    <w:rsid w:val="00372543"/>
    <w:rsid w:val="0038620E"/>
    <w:rsid w:val="003D5C59"/>
    <w:rsid w:val="003D6DBD"/>
    <w:rsid w:val="003E00B5"/>
    <w:rsid w:val="003E3268"/>
    <w:rsid w:val="003E5071"/>
    <w:rsid w:val="003F2F06"/>
    <w:rsid w:val="00405C0A"/>
    <w:rsid w:val="00414F2C"/>
    <w:rsid w:val="00450B34"/>
    <w:rsid w:val="004606A7"/>
    <w:rsid w:val="00461C91"/>
    <w:rsid w:val="0047542D"/>
    <w:rsid w:val="0049089C"/>
    <w:rsid w:val="004A5E5D"/>
    <w:rsid w:val="004B747B"/>
    <w:rsid w:val="004D7537"/>
    <w:rsid w:val="004F22D9"/>
    <w:rsid w:val="004F5C05"/>
    <w:rsid w:val="00536208"/>
    <w:rsid w:val="0053749F"/>
    <w:rsid w:val="00546C3A"/>
    <w:rsid w:val="00553A4C"/>
    <w:rsid w:val="00554335"/>
    <w:rsid w:val="005565CE"/>
    <w:rsid w:val="005708AE"/>
    <w:rsid w:val="00585CC0"/>
    <w:rsid w:val="00593C13"/>
    <w:rsid w:val="005A0FA9"/>
    <w:rsid w:val="005B3307"/>
    <w:rsid w:val="005C3539"/>
    <w:rsid w:val="005C5932"/>
    <w:rsid w:val="005C6817"/>
    <w:rsid w:val="005E2917"/>
    <w:rsid w:val="00616043"/>
    <w:rsid w:val="006277AF"/>
    <w:rsid w:val="00640B2C"/>
    <w:rsid w:val="00667CAD"/>
    <w:rsid w:val="00681D5E"/>
    <w:rsid w:val="006C0257"/>
    <w:rsid w:val="006C0E29"/>
    <w:rsid w:val="006D30FE"/>
    <w:rsid w:val="006D3757"/>
    <w:rsid w:val="006F7348"/>
    <w:rsid w:val="006F796D"/>
    <w:rsid w:val="0070155F"/>
    <w:rsid w:val="0070795B"/>
    <w:rsid w:val="007372A4"/>
    <w:rsid w:val="00741B04"/>
    <w:rsid w:val="007432A4"/>
    <w:rsid w:val="0076115C"/>
    <w:rsid w:val="007664F3"/>
    <w:rsid w:val="0079197C"/>
    <w:rsid w:val="007A35B9"/>
    <w:rsid w:val="007B77D6"/>
    <w:rsid w:val="007C0B6E"/>
    <w:rsid w:val="007C333B"/>
    <w:rsid w:val="007D4836"/>
    <w:rsid w:val="007E2C84"/>
    <w:rsid w:val="007E3545"/>
    <w:rsid w:val="007F0095"/>
    <w:rsid w:val="00802BE3"/>
    <w:rsid w:val="00824427"/>
    <w:rsid w:val="008338F7"/>
    <w:rsid w:val="00836397"/>
    <w:rsid w:val="00845054"/>
    <w:rsid w:val="008464F9"/>
    <w:rsid w:val="00852D1C"/>
    <w:rsid w:val="00856147"/>
    <w:rsid w:val="00860F40"/>
    <w:rsid w:val="008615C9"/>
    <w:rsid w:val="00864020"/>
    <w:rsid w:val="00877659"/>
    <w:rsid w:val="00890118"/>
    <w:rsid w:val="008979D5"/>
    <w:rsid w:val="008A4C3B"/>
    <w:rsid w:val="008B2AD7"/>
    <w:rsid w:val="008D4206"/>
    <w:rsid w:val="008D6B7E"/>
    <w:rsid w:val="008D7845"/>
    <w:rsid w:val="009226B7"/>
    <w:rsid w:val="00923B23"/>
    <w:rsid w:val="00937ED0"/>
    <w:rsid w:val="00952797"/>
    <w:rsid w:val="0097049B"/>
    <w:rsid w:val="009777D3"/>
    <w:rsid w:val="009859E6"/>
    <w:rsid w:val="00996BFC"/>
    <w:rsid w:val="009A0A5D"/>
    <w:rsid w:val="009C6933"/>
    <w:rsid w:val="00A04C7A"/>
    <w:rsid w:val="00A058E5"/>
    <w:rsid w:val="00A07582"/>
    <w:rsid w:val="00A10C1A"/>
    <w:rsid w:val="00A2072E"/>
    <w:rsid w:val="00A237BB"/>
    <w:rsid w:val="00A509AB"/>
    <w:rsid w:val="00A56C8F"/>
    <w:rsid w:val="00A70173"/>
    <w:rsid w:val="00A82078"/>
    <w:rsid w:val="00A838C8"/>
    <w:rsid w:val="00A91C42"/>
    <w:rsid w:val="00A9516B"/>
    <w:rsid w:val="00A9780A"/>
    <w:rsid w:val="00AA00AF"/>
    <w:rsid w:val="00AA10A8"/>
    <w:rsid w:val="00AA2FC9"/>
    <w:rsid w:val="00AB283D"/>
    <w:rsid w:val="00AB7F5D"/>
    <w:rsid w:val="00AD312E"/>
    <w:rsid w:val="00AD4B09"/>
    <w:rsid w:val="00AE3EAF"/>
    <w:rsid w:val="00B024B0"/>
    <w:rsid w:val="00B13DE7"/>
    <w:rsid w:val="00B1603E"/>
    <w:rsid w:val="00B34EDA"/>
    <w:rsid w:val="00B40AEA"/>
    <w:rsid w:val="00B41762"/>
    <w:rsid w:val="00B51748"/>
    <w:rsid w:val="00B57198"/>
    <w:rsid w:val="00B80AAD"/>
    <w:rsid w:val="00B85023"/>
    <w:rsid w:val="00BA2456"/>
    <w:rsid w:val="00BA261B"/>
    <w:rsid w:val="00BA469B"/>
    <w:rsid w:val="00BA7E28"/>
    <w:rsid w:val="00BB4A5B"/>
    <w:rsid w:val="00BC5E94"/>
    <w:rsid w:val="00BF2534"/>
    <w:rsid w:val="00BF79DC"/>
    <w:rsid w:val="00C35DE1"/>
    <w:rsid w:val="00C3795C"/>
    <w:rsid w:val="00C52463"/>
    <w:rsid w:val="00C524AA"/>
    <w:rsid w:val="00C54689"/>
    <w:rsid w:val="00C81B3A"/>
    <w:rsid w:val="00CB26F9"/>
    <w:rsid w:val="00CB6C08"/>
    <w:rsid w:val="00CD0DCA"/>
    <w:rsid w:val="00CD2EBC"/>
    <w:rsid w:val="00CD7EB8"/>
    <w:rsid w:val="00D12F61"/>
    <w:rsid w:val="00D201C6"/>
    <w:rsid w:val="00D638E0"/>
    <w:rsid w:val="00D716BA"/>
    <w:rsid w:val="00D8404D"/>
    <w:rsid w:val="00DA69A8"/>
    <w:rsid w:val="00DC2952"/>
    <w:rsid w:val="00DE3B70"/>
    <w:rsid w:val="00DF1AB7"/>
    <w:rsid w:val="00E07C02"/>
    <w:rsid w:val="00E1254E"/>
    <w:rsid w:val="00E12B06"/>
    <w:rsid w:val="00E15BF6"/>
    <w:rsid w:val="00E56C62"/>
    <w:rsid w:val="00E71CB9"/>
    <w:rsid w:val="00E7357F"/>
    <w:rsid w:val="00E73698"/>
    <w:rsid w:val="00E74923"/>
    <w:rsid w:val="00E77E23"/>
    <w:rsid w:val="00E8251C"/>
    <w:rsid w:val="00E844A0"/>
    <w:rsid w:val="00EF122D"/>
    <w:rsid w:val="00EF62A1"/>
    <w:rsid w:val="00F13ED2"/>
    <w:rsid w:val="00F16FBD"/>
    <w:rsid w:val="00F27ACB"/>
    <w:rsid w:val="00F3616F"/>
    <w:rsid w:val="00F6618F"/>
    <w:rsid w:val="00F70DD5"/>
    <w:rsid w:val="00F73165"/>
    <w:rsid w:val="00F90BCE"/>
    <w:rsid w:val="00FC2881"/>
    <w:rsid w:val="00FD7DC1"/>
    <w:rsid w:val="3268D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CC591"/>
  <w15:docId w15:val="{E05C04FC-4653-45A7-AF6E-B0F731E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463"/>
    <w:pPr>
      <w:spacing w:after="160" w:line="259" w:lineRule="auto"/>
    </w:pPr>
    <w:rPr>
      <w:rFonts w:eastAsiaTheme="minorHAnsi" w:cstheme="minorBidi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outlineLvl w:val="0"/>
    </w:pPr>
    <w:rPr>
      <w:rFonts w:eastAsia="Cambria"/>
      <w:color w:val="00BCE4"/>
      <w:sz w:val="32"/>
      <w:szCs w:val="52"/>
      <w:lang w:val="en-US"/>
    </w:rPr>
  </w:style>
  <w:style w:type="paragraph" w:customStyle="1" w:styleId="AHPRAbody">
    <w:name w:val="AHPRA body"/>
    <w:basedOn w:val="Normal"/>
    <w:link w:val="AHPRAbodyChar"/>
    <w:qFormat/>
    <w:rsid w:val="005C3539"/>
    <w:pPr>
      <w:spacing w:after="200"/>
    </w:pPr>
    <w:rPr>
      <w:rFonts w:eastAsia="Cambria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outlineLvl w:val="0"/>
    </w:pPr>
    <w:rPr>
      <w:rFonts w:eastAsia="Cambria"/>
      <w:color w:val="5F6062"/>
      <w:sz w:val="28"/>
      <w:szCs w:val="52"/>
      <w:lang w:val="en-US"/>
    </w:rPr>
  </w:style>
  <w:style w:type="paragraph" w:customStyle="1" w:styleId="AHPRASubheading">
    <w:name w:val="AHPRA Subheading"/>
    <w:basedOn w:val="Normal"/>
    <w:qFormat/>
    <w:rsid w:val="00802BE3"/>
    <w:pPr>
      <w:spacing w:before="200" w:after="200"/>
    </w:pPr>
    <w:rPr>
      <w:rFonts w:eastAsia="Cambria" w:cs="Times New Roman"/>
      <w:b/>
      <w:color w:val="0067B9"/>
      <w:lang w:val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</w:pPr>
    <w:rPr>
      <w:rFonts w:eastAsia="Cambria" w:cs="Times New Roman"/>
      <w:lang w:val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</w:pPr>
    <w:rPr>
      <w:rFonts w:eastAsia="Cambria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</w:pPr>
    <w:rPr>
      <w:rFonts w:eastAsia="Cambria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5C3539"/>
    <w:rPr>
      <w:rFonts w:cstheme="minorBidi"/>
      <w:szCs w:val="22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StyleAHPRAbodyblueboldBefore0ptAfter0pt">
    <w:name w:val="Style AHPRA body blue bold + Before:  0 pt After:  0 pt"/>
    <w:basedOn w:val="AHPRAbodybluebold"/>
    <w:rsid w:val="00802BE3"/>
    <w:pPr>
      <w:spacing w:before="0" w:after="0"/>
    </w:pPr>
    <w:rPr>
      <w:rFonts w:eastAsia="Times New Roman"/>
      <w:bCs/>
      <w:szCs w:val="20"/>
    </w:rPr>
  </w:style>
  <w:style w:type="paragraph" w:styleId="NormalWeb">
    <w:name w:val="Normal (Web)"/>
    <w:basedOn w:val="Normal"/>
    <w:uiPriority w:val="99"/>
    <w:unhideWhenUsed/>
    <w:rsid w:val="00C5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pra.gov.au/News/COVID-19/National-principles-for-clinical-education-during-COVID-19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pacf.org.au/wp-content/uploads/2020/03/2020-03-13-COVID-19-Forum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B972-4CB9-4D8A-B257-2507C901D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DA2C9-A8FA-4AA3-95EB-C0A70AEE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95284-0388-471D-8932-B27468840F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B547DA-8F95-4F2F-BC42-504998E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Accreditation Committee - Updated response to COVID-19 - 11 May 2020</vt:lpstr>
    </vt:vector>
  </TitlesOfParts>
  <Company/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Accreditation Committee - Updated response to COVID-19 - 11 May 2020</dc:title>
  <dc:subject>Communique - update</dc:subject>
  <dc:creator>Paramedicine Accreditation Committee</dc:creator>
  <cp:lastModifiedBy>Sheryl Kamath</cp:lastModifiedBy>
  <cp:revision>3</cp:revision>
  <cp:lastPrinted>2021-02-17T06:18:00Z</cp:lastPrinted>
  <dcterms:created xsi:type="dcterms:W3CDTF">2021-03-24T00:16:00Z</dcterms:created>
  <dcterms:modified xsi:type="dcterms:W3CDTF">2021-03-24T00:21:00Z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  <property fmtid="{D5CDD505-2E9C-101B-9397-08002B2CF9AE}" pid="3" name="Refiners">
    <vt:lpwstr>76;#Board|5f2fb2d5-1f3f-4682-a0f3-e6575464ca2b</vt:lpwstr>
  </property>
  <property fmtid="{D5CDD505-2E9C-101B-9397-08002B2CF9AE}" pid="4" name="News Owner">
    <vt:lpwstr/>
  </property>
</Properties>
</file>