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504C3" w14:textId="161EFB6B" w:rsidR="00D34100" w:rsidRDefault="00D34100">
      <w:pPr>
        <w:spacing w:after="200" w:line="276" w:lineRule="auto"/>
        <w:rPr>
          <w:rFonts w:ascii="Arial" w:hAnsi="Arial" w:cs="Arial"/>
          <w:sz w:val="48"/>
          <w:szCs w:val="56"/>
        </w:rPr>
      </w:pPr>
      <w:bookmarkStart w:id="0" w:name="_GoBack"/>
      <w:bookmarkEnd w:id="0"/>
    </w:p>
    <w:p w14:paraId="57AEEED5" w14:textId="6B5D1256" w:rsidR="00D119FA" w:rsidRDefault="001B1FA6">
      <w:pPr>
        <w:spacing w:after="200" w:line="276" w:lineRule="auto"/>
        <w:rPr>
          <w:rFonts w:ascii="Arial" w:hAnsi="Arial" w:cs="Arial"/>
          <w:sz w:val="48"/>
          <w:szCs w:val="56"/>
        </w:rPr>
      </w:pPr>
      <w:r>
        <w:rPr>
          <w:rFonts w:ascii="Arial" w:hAnsi="Arial" w:cs="Arial"/>
          <w:sz w:val="48"/>
          <w:szCs w:val="56"/>
        </w:rPr>
        <w:t xml:space="preserve">Draft </w:t>
      </w:r>
      <w:r w:rsidR="002838B3">
        <w:rPr>
          <w:rFonts w:ascii="Arial" w:hAnsi="Arial" w:cs="Arial"/>
          <w:sz w:val="48"/>
          <w:szCs w:val="56"/>
        </w:rPr>
        <w:t>p</w:t>
      </w:r>
      <w:r>
        <w:rPr>
          <w:rFonts w:ascii="Arial" w:hAnsi="Arial" w:cs="Arial"/>
          <w:sz w:val="48"/>
          <w:szCs w:val="56"/>
        </w:rPr>
        <w:t xml:space="preserve">roposed </w:t>
      </w:r>
      <w:r w:rsidR="002838B3">
        <w:rPr>
          <w:rFonts w:ascii="Arial" w:hAnsi="Arial" w:cs="Arial"/>
          <w:sz w:val="48"/>
          <w:szCs w:val="56"/>
        </w:rPr>
        <w:t>a</w:t>
      </w:r>
      <w:r w:rsidR="001833F6" w:rsidRPr="003D328F">
        <w:rPr>
          <w:rFonts w:ascii="Arial" w:hAnsi="Arial" w:cs="Arial"/>
          <w:sz w:val="48"/>
          <w:szCs w:val="56"/>
        </w:rPr>
        <w:t xml:space="preserve">ccreditation </w:t>
      </w:r>
      <w:r w:rsidR="00301022">
        <w:rPr>
          <w:rFonts w:ascii="Arial" w:hAnsi="Arial" w:cs="Arial"/>
          <w:sz w:val="48"/>
          <w:szCs w:val="56"/>
        </w:rPr>
        <w:t>s</w:t>
      </w:r>
      <w:r w:rsidR="001833F6" w:rsidRPr="003D328F">
        <w:rPr>
          <w:rFonts w:ascii="Arial" w:hAnsi="Arial" w:cs="Arial"/>
          <w:sz w:val="48"/>
          <w:szCs w:val="56"/>
        </w:rPr>
        <w:t>tandards</w:t>
      </w:r>
      <w:r w:rsidR="007D0F36">
        <w:rPr>
          <w:rFonts w:ascii="Arial" w:hAnsi="Arial" w:cs="Arial"/>
          <w:sz w:val="48"/>
          <w:szCs w:val="56"/>
        </w:rPr>
        <w:t xml:space="preserve"> for registered podiatrists</w:t>
      </w:r>
      <w:r w:rsidR="008C7824">
        <w:rPr>
          <w:rFonts w:ascii="Arial" w:hAnsi="Arial" w:cs="Arial"/>
          <w:sz w:val="48"/>
          <w:szCs w:val="56"/>
        </w:rPr>
        <w:t xml:space="preserve"> and podiatric surgeons</w:t>
      </w:r>
      <w:r w:rsidR="00353A5F">
        <w:rPr>
          <w:rFonts w:ascii="Arial" w:hAnsi="Arial" w:cs="Arial"/>
          <w:sz w:val="48"/>
          <w:szCs w:val="56"/>
        </w:rPr>
        <w:t xml:space="preserve"> </w:t>
      </w:r>
      <w:r w:rsidR="009B3496" w:rsidRPr="009B3496">
        <w:rPr>
          <w:rFonts w:ascii="Arial" w:hAnsi="Arial" w:cs="Arial"/>
          <w:sz w:val="48"/>
          <w:szCs w:val="56"/>
        </w:rPr>
        <w:t xml:space="preserve">addressing requirements for </w:t>
      </w:r>
      <w:r w:rsidR="009B3496">
        <w:rPr>
          <w:rFonts w:ascii="Arial" w:hAnsi="Arial" w:cs="Arial"/>
          <w:sz w:val="48"/>
          <w:szCs w:val="56"/>
        </w:rPr>
        <w:t>e</w:t>
      </w:r>
      <w:r w:rsidR="009B3496" w:rsidRPr="009B3496">
        <w:rPr>
          <w:rFonts w:ascii="Arial" w:hAnsi="Arial" w:cs="Arial"/>
          <w:sz w:val="48"/>
          <w:szCs w:val="56"/>
        </w:rPr>
        <w:t xml:space="preserve">ndorsement of registration in relation to scheduled medicines (ESM programs) </w:t>
      </w:r>
    </w:p>
    <w:p w14:paraId="69B9B84E" w14:textId="77777777" w:rsidR="00883EC2" w:rsidRDefault="00883EC2" w:rsidP="00883EC2">
      <w:pPr>
        <w:pStyle w:val="AHPRAAUtablebulletlevel1"/>
      </w:pPr>
    </w:p>
    <w:p w14:paraId="7F9624D8" w14:textId="77777777" w:rsidR="00883EC2" w:rsidRDefault="00883EC2" w:rsidP="00883EC2">
      <w:pPr>
        <w:pStyle w:val="AHPRAAUtablebulletlevel1"/>
      </w:pPr>
    </w:p>
    <w:p w14:paraId="5F06C2D0" w14:textId="77777777" w:rsidR="00883EC2" w:rsidRDefault="00883EC2" w:rsidP="00883EC2">
      <w:pPr>
        <w:pStyle w:val="AHPRAAUtablebulletlevel1"/>
      </w:pPr>
    </w:p>
    <w:p w14:paraId="5B37FA64" w14:textId="77777777" w:rsidR="00883EC2" w:rsidRDefault="00883EC2" w:rsidP="00883EC2">
      <w:pPr>
        <w:pStyle w:val="AHPRAAUtablebulletlevel1"/>
      </w:pPr>
    </w:p>
    <w:p w14:paraId="0E14AFD3" w14:textId="77777777" w:rsidR="00883EC2" w:rsidRDefault="00883EC2" w:rsidP="00883EC2">
      <w:pPr>
        <w:pStyle w:val="AHPRAAUtablebulletlevel1"/>
      </w:pPr>
    </w:p>
    <w:p w14:paraId="71552557" w14:textId="77777777" w:rsidR="00883EC2" w:rsidRDefault="00883EC2" w:rsidP="00883EC2">
      <w:pPr>
        <w:pStyle w:val="AHPRAAUtablebulletlevel1"/>
      </w:pPr>
    </w:p>
    <w:p w14:paraId="433F1317" w14:textId="77777777" w:rsidR="00883EC2" w:rsidRDefault="00883EC2" w:rsidP="00883EC2">
      <w:pPr>
        <w:pStyle w:val="AHPRAAUtablebulletlevel1"/>
      </w:pPr>
    </w:p>
    <w:p w14:paraId="62CF999F" w14:textId="77777777" w:rsidR="00883EC2" w:rsidRDefault="00883EC2" w:rsidP="00883EC2">
      <w:pPr>
        <w:pStyle w:val="AHPRAAUtablebulletlevel1"/>
      </w:pPr>
    </w:p>
    <w:p w14:paraId="6E2F0508" w14:textId="77777777" w:rsidR="00883EC2" w:rsidRDefault="00883EC2" w:rsidP="00883EC2">
      <w:pPr>
        <w:pStyle w:val="AHPRAAUtablebulletlevel1"/>
      </w:pPr>
    </w:p>
    <w:p w14:paraId="7B87C49C" w14:textId="77777777" w:rsidR="00883EC2" w:rsidRDefault="00883EC2" w:rsidP="00883EC2">
      <w:pPr>
        <w:pStyle w:val="AHPRAAUtablebulletlevel1"/>
      </w:pPr>
    </w:p>
    <w:p w14:paraId="4F90EE20" w14:textId="77777777" w:rsidR="00883EC2" w:rsidRDefault="00883EC2" w:rsidP="00883EC2">
      <w:pPr>
        <w:pStyle w:val="AHPRAAUtablebulletlevel1"/>
      </w:pPr>
    </w:p>
    <w:p w14:paraId="17B7AABA" w14:textId="77777777" w:rsidR="00883EC2" w:rsidRDefault="00883EC2" w:rsidP="00883EC2">
      <w:pPr>
        <w:pStyle w:val="AHPRAAUtablebulletlevel1"/>
      </w:pPr>
    </w:p>
    <w:p w14:paraId="0DF54C48" w14:textId="77777777" w:rsidR="00883EC2" w:rsidRDefault="00883EC2" w:rsidP="00883EC2">
      <w:pPr>
        <w:pStyle w:val="AHPRAAUtablebulletlevel1"/>
      </w:pPr>
    </w:p>
    <w:p w14:paraId="6F6A5D90" w14:textId="77777777" w:rsidR="00883EC2" w:rsidRDefault="00883EC2" w:rsidP="00883EC2">
      <w:pPr>
        <w:pStyle w:val="AHPRAAUtablebulletlevel1"/>
      </w:pPr>
    </w:p>
    <w:p w14:paraId="38F64181" w14:textId="5E9449BB" w:rsidR="001833F6" w:rsidRPr="00D119FA" w:rsidRDefault="001833F6" w:rsidP="00D3497F">
      <w:pPr>
        <w:pStyle w:val="AHPRAAUtablebulletlevel1"/>
        <w:rPr>
          <w:color w:val="007DC3"/>
        </w:rPr>
      </w:pPr>
      <w:r w:rsidRPr="00D119FA">
        <w:br w:type="page"/>
      </w:r>
    </w:p>
    <w:p w14:paraId="43952378" w14:textId="77777777" w:rsidR="001833F6" w:rsidRDefault="001833F6" w:rsidP="001833F6">
      <w:pPr>
        <w:pStyle w:val="AHPRASubheading"/>
        <w:rPr>
          <w:sz w:val="48"/>
          <w:szCs w:val="56"/>
        </w:rPr>
      </w:pPr>
    </w:p>
    <w:p w14:paraId="26E17A0F" w14:textId="537E8D0E" w:rsidR="002A24E3" w:rsidRPr="0036539A" w:rsidRDefault="002A24E3" w:rsidP="0068204B">
      <w:pPr>
        <w:pStyle w:val="AHPRADocumentsubheading"/>
      </w:pPr>
      <w:bookmarkStart w:id="1" w:name="_Toc55994905"/>
      <w:r w:rsidRPr="0036539A">
        <w:t>Contents</w:t>
      </w:r>
      <w:bookmarkEnd w:id="1"/>
    </w:p>
    <w:sdt>
      <w:sdtPr>
        <w:rPr>
          <w:rFonts w:ascii="Times New Roman" w:eastAsia="Times New Roman" w:hAnsi="Times New Roman"/>
          <w:b w:val="0"/>
          <w:noProof w:val="0"/>
          <w:color w:val="auto"/>
          <w:sz w:val="24"/>
        </w:rPr>
        <w:id w:val="-575439281"/>
        <w:docPartObj>
          <w:docPartGallery w:val="Table of Contents"/>
          <w:docPartUnique/>
        </w:docPartObj>
      </w:sdtPr>
      <w:sdtEndPr>
        <w:rPr>
          <w:bCs/>
        </w:rPr>
      </w:sdtEndPr>
      <w:sdtContent>
        <w:p w14:paraId="51699017" w14:textId="35A1D343" w:rsidR="00FD63BF" w:rsidRDefault="002838B3">
          <w:pPr>
            <w:pStyle w:val="TOC1"/>
            <w:rPr>
              <w:rFonts w:asciiTheme="minorHAnsi" w:eastAsiaTheme="minorEastAsia" w:hAnsiTheme="minorHAnsi" w:cstheme="minorBidi"/>
              <w:b w:val="0"/>
              <w:color w:val="auto"/>
              <w:sz w:val="22"/>
              <w:szCs w:val="22"/>
              <w:lang w:eastAsia="en-AU"/>
            </w:rPr>
          </w:pPr>
          <w:r>
            <w:fldChar w:fldCharType="begin"/>
          </w:r>
          <w:r>
            <w:instrText xml:space="preserve"> TOC \o "1-3" \h \z \u </w:instrText>
          </w:r>
          <w:r>
            <w:fldChar w:fldCharType="separate"/>
          </w:r>
          <w:hyperlink w:anchor="_Toc55994905" w:history="1"/>
        </w:p>
        <w:p w14:paraId="59C9AD80" w14:textId="57270717" w:rsidR="00FD63BF" w:rsidRDefault="006D67FA">
          <w:pPr>
            <w:pStyle w:val="TOC1"/>
            <w:rPr>
              <w:rFonts w:asciiTheme="minorHAnsi" w:eastAsiaTheme="minorEastAsia" w:hAnsiTheme="minorHAnsi" w:cstheme="minorBidi"/>
              <w:b w:val="0"/>
              <w:color w:val="auto"/>
              <w:sz w:val="22"/>
              <w:szCs w:val="22"/>
              <w:lang w:eastAsia="en-AU"/>
            </w:rPr>
          </w:pPr>
          <w:hyperlink w:anchor="_Toc55994906" w:history="1">
            <w:r w:rsidR="00FD63BF" w:rsidRPr="00E502FC">
              <w:rPr>
                <w:rStyle w:val="Hyperlink"/>
              </w:rPr>
              <w:t>1. Preamble</w:t>
            </w:r>
            <w:r w:rsidR="00FD63BF">
              <w:rPr>
                <w:webHidden/>
              </w:rPr>
              <w:tab/>
            </w:r>
            <w:r w:rsidR="00FD63BF">
              <w:rPr>
                <w:webHidden/>
              </w:rPr>
              <w:fldChar w:fldCharType="begin"/>
            </w:r>
            <w:r w:rsidR="00FD63BF">
              <w:rPr>
                <w:webHidden/>
              </w:rPr>
              <w:instrText xml:space="preserve"> PAGEREF _Toc55994906 \h </w:instrText>
            </w:r>
            <w:r w:rsidR="00FD63BF">
              <w:rPr>
                <w:webHidden/>
              </w:rPr>
            </w:r>
            <w:r w:rsidR="00FD63BF">
              <w:rPr>
                <w:webHidden/>
              </w:rPr>
              <w:fldChar w:fldCharType="separate"/>
            </w:r>
            <w:r w:rsidR="00FD63BF">
              <w:rPr>
                <w:webHidden/>
              </w:rPr>
              <w:t>3</w:t>
            </w:r>
            <w:r w:rsidR="00FD63BF">
              <w:rPr>
                <w:webHidden/>
              </w:rPr>
              <w:fldChar w:fldCharType="end"/>
            </w:r>
          </w:hyperlink>
        </w:p>
        <w:p w14:paraId="2911FDF7" w14:textId="54E5EC28" w:rsidR="00FD63BF" w:rsidRDefault="006D67FA">
          <w:pPr>
            <w:pStyle w:val="TOC2"/>
            <w:tabs>
              <w:tab w:val="right" w:leader="dot" w:pos="9350"/>
            </w:tabs>
            <w:rPr>
              <w:rFonts w:asciiTheme="minorHAnsi" w:eastAsiaTheme="minorEastAsia" w:hAnsiTheme="minorHAnsi" w:cstheme="minorBidi"/>
              <w:noProof/>
              <w:sz w:val="22"/>
              <w:szCs w:val="22"/>
              <w:lang w:eastAsia="en-AU"/>
            </w:rPr>
          </w:pPr>
          <w:hyperlink w:anchor="_Toc55994907" w:history="1">
            <w:r w:rsidR="00FD63BF" w:rsidRPr="00E502FC">
              <w:rPr>
                <w:rStyle w:val="Hyperlink"/>
                <w:noProof/>
              </w:rPr>
              <w:t>Overview of endorsement for scheduled medicines</w:t>
            </w:r>
            <w:r w:rsidR="00FD63BF">
              <w:rPr>
                <w:noProof/>
                <w:webHidden/>
              </w:rPr>
              <w:tab/>
            </w:r>
            <w:r w:rsidR="00FD63BF">
              <w:rPr>
                <w:noProof/>
                <w:webHidden/>
              </w:rPr>
              <w:fldChar w:fldCharType="begin"/>
            </w:r>
            <w:r w:rsidR="00FD63BF">
              <w:rPr>
                <w:noProof/>
                <w:webHidden/>
              </w:rPr>
              <w:instrText xml:space="preserve"> PAGEREF _Toc55994907 \h </w:instrText>
            </w:r>
            <w:r w:rsidR="00FD63BF">
              <w:rPr>
                <w:noProof/>
                <w:webHidden/>
              </w:rPr>
            </w:r>
            <w:r w:rsidR="00FD63BF">
              <w:rPr>
                <w:noProof/>
                <w:webHidden/>
              </w:rPr>
              <w:fldChar w:fldCharType="separate"/>
            </w:r>
            <w:r w:rsidR="00FD63BF">
              <w:rPr>
                <w:noProof/>
                <w:webHidden/>
              </w:rPr>
              <w:t>3</w:t>
            </w:r>
            <w:r w:rsidR="00FD63BF">
              <w:rPr>
                <w:noProof/>
                <w:webHidden/>
              </w:rPr>
              <w:fldChar w:fldCharType="end"/>
            </w:r>
          </w:hyperlink>
        </w:p>
        <w:p w14:paraId="3248A6E0" w14:textId="5C319095" w:rsidR="00FD63BF" w:rsidRDefault="006D67FA">
          <w:pPr>
            <w:pStyle w:val="TOC2"/>
            <w:tabs>
              <w:tab w:val="right" w:leader="dot" w:pos="9350"/>
            </w:tabs>
            <w:rPr>
              <w:rFonts w:asciiTheme="minorHAnsi" w:eastAsiaTheme="minorEastAsia" w:hAnsiTheme="minorHAnsi" w:cstheme="minorBidi"/>
              <w:noProof/>
              <w:sz w:val="22"/>
              <w:szCs w:val="22"/>
              <w:lang w:eastAsia="en-AU"/>
            </w:rPr>
          </w:pPr>
          <w:hyperlink w:anchor="_Toc55994908" w:history="1">
            <w:r w:rsidR="00FD63BF" w:rsidRPr="00E502FC">
              <w:rPr>
                <w:rStyle w:val="Hyperlink"/>
                <w:noProof/>
              </w:rPr>
              <w:t>Overview of the Accreditation standards for Podiatry Scheduled Medicines education (2021)</w:t>
            </w:r>
            <w:r w:rsidR="00FD63BF">
              <w:rPr>
                <w:noProof/>
                <w:webHidden/>
              </w:rPr>
              <w:tab/>
            </w:r>
            <w:r w:rsidR="00FD63BF">
              <w:rPr>
                <w:noProof/>
                <w:webHidden/>
              </w:rPr>
              <w:fldChar w:fldCharType="begin"/>
            </w:r>
            <w:r w:rsidR="00FD63BF">
              <w:rPr>
                <w:noProof/>
                <w:webHidden/>
              </w:rPr>
              <w:instrText xml:space="preserve"> PAGEREF _Toc55994908 \h </w:instrText>
            </w:r>
            <w:r w:rsidR="00FD63BF">
              <w:rPr>
                <w:noProof/>
                <w:webHidden/>
              </w:rPr>
            </w:r>
            <w:r w:rsidR="00FD63BF">
              <w:rPr>
                <w:noProof/>
                <w:webHidden/>
              </w:rPr>
              <w:fldChar w:fldCharType="separate"/>
            </w:r>
            <w:r w:rsidR="00FD63BF">
              <w:rPr>
                <w:noProof/>
                <w:webHidden/>
              </w:rPr>
              <w:t>6</w:t>
            </w:r>
            <w:r w:rsidR="00FD63BF">
              <w:rPr>
                <w:noProof/>
                <w:webHidden/>
              </w:rPr>
              <w:fldChar w:fldCharType="end"/>
            </w:r>
          </w:hyperlink>
        </w:p>
        <w:p w14:paraId="2836B76B" w14:textId="5D991B30" w:rsidR="00FD63BF" w:rsidRDefault="006D67FA">
          <w:pPr>
            <w:pStyle w:val="TOC2"/>
            <w:tabs>
              <w:tab w:val="right" w:leader="dot" w:pos="9350"/>
            </w:tabs>
            <w:rPr>
              <w:rFonts w:asciiTheme="minorHAnsi" w:eastAsiaTheme="minorEastAsia" w:hAnsiTheme="minorHAnsi" w:cstheme="minorBidi"/>
              <w:noProof/>
              <w:sz w:val="22"/>
              <w:szCs w:val="22"/>
              <w:lang w:eastAsia="en-AU"/>
            </w:rPr>
          </w:pPr>
          <w:hyperlink w:anchor="_Toc55994909" w:history="1">
            <w:r w:rsidR="00FD63BF" w:rsidRPr="00E502FC">
              <w:rPr>
                <w:rStyle w:val="Hyperlink"/>
                <w:noProof/>
              </w:rPr>
              <w:t>Mapping learning outcomes and assessment tasks to professional capabilities</w:t>
            </w:r>
            <w:r w:rsidR="00FD63BF">
              <w:rPr>
                <w:noProof/>
                <w:webHidden/>
              </w:rPr>
              <w:tab/>
            </w:r>
            <w:r w:rsidR="00FD63BF">
              <w:rPr>
                <w:noProof/>
                <w:webHidden/>
              </w:rPr>
              <w:fldChar w:fldCharType="begin"/>
            </w:r>
            <w:r w:rsidR="00FD63BF">
              <w:rPr>
                <w:noProof/>
                <w:webHidden/>
              </w:rPr>
              <w:instrText xml:space="preserve"> PAGEREF _Toc55994909 \h </w:instrText>
            </w:r>
            <w:r w:rsidR="00FD63BF">
              <w:rPr>
                <w:noProof/>
                <w:webHidden/>
              </w:rPr>
            </w:r>
            <w:r w:rsidR="00FD63BF">
              <w:rPr>
                <w:noProof/>
                <w:webHidden/>
              </w:rPr>
              <w:fldChar w:fldCharType="separate"/>
            </w:r>
            <w:r w:rsidR="00FD63BF">
              <w:rPr>
                <w:noProof/>
                <w:webHidden/>
              </w:rPr>
              <w:t>6</w:t>
            </w:r>
            <w:r w:rsidR="00FD63BF">
              <w:rPr>
                <w:noProof/>
                <w:webHidden/>
              </w:rPr>
              <w:fldChar w:fldCharType="end"/>
            </w:r>
          </w:hyperlink>
        </w:p>
        <w:p w14:paraId="562747C1" w14:textId="550A7D99" w:rsidR="00FD63BF" w:rsidRDefault="006D67FA">
          <w:pPr>
            <w:pStyle w:val="TOC2"/>
            <w:tabs>
              <w:tab w:val="right" w:leader="dot" w:pos="9350"/>
            </w:tabs>
            <w:rPr>
              <w:rFonts w:asciiTheme="minorHAnsi" w:eastAsiaTheme="minorEastAsia" w:hAnsiTheme="minorHAnsi" w:cstheme="minorBidi"/>
              <w:noProof/>
              <w:sz w:val="22"/>
              <w:szCs w:val="22"/>
              <w:lang w:eastAsia="en-AU"/>
            </w:rPr>
          </w:pPr>
          <w:hyperlink w:anchor="_Toc55994910" w:history="1">
            <w:r w:rsidR="00FD63BF" w:rsidRPr="00E502FC">
              <w:rPr>
                <w:rStyle w:val="Hyperlink"/>
                <w:noProof/>
              </w:rPr>
              <w:t>The relationship between the Accreditation Committee and other regulators</w:t>
            </w:r>
            <w:r w:rsidR="00FD63BF">
              <w:rPr>
                <w:noProof/>
                <w:webHidden/>
              </w:rPr>
              <w:tab/>
            </w:r>
            <w:r w:rsidR="00FD63BF">
              <w:rPr>
                <w:noProof/>
                <w:webHidden/>
              </w:rPr>
              <w:fldChar w:fldCharType="begin"/>
            </w:r>
            <w:r w:rsidR="00FD63BF">
              <w:rPr>
                <w:noProof/>
                <w:webHidden/>
              </w:rPr>
              <w:instrText xml:space="preserve"> PAGEREF _Toc55994910 \h </w:instrText>
            </w:r>
            <w:r w:rsidR="00FD63BF">
              <w:rPr>
                <w:noProof/>
                <w:webHidden/>
              </w:rPr>
            </w:r>
            <w:r w:rsidR="00FD63BF">
              <w:rPr>
                <w:noProof/>
                <w:webHidden/>
              </w:rPr>
              <w:fldChar w:fldCharType="separate"/>
            </w:r>
            <w:r w:rsidR="00FD63BF">
              <w:rPr>
                <w:noProof/>
                <w:webHidden/>
              </w:rPr>
              <w:t>7</w:t>
            </w:r>
            <w:r w:rsidR="00FD63BF">
              <w:rPr>
                <w:noProof/>
                <w:webHidden/>
              </w:rPr>
              <w:fldChar w:fldCharType="end"/>
            </w:r>
          </w:hyperlink>
        </w:p>
        <w:p w14:paraId="3BF8A6AF" w14:textId="0801600D" w:rsidR="00FD63BF" w:rsidRDefault="006D67FA">
          <w:pPr>
            <w:pStyle w:val="TOC2"/>
            <w:tabs>
              <w:tab w:val="right" w:leader="dot" w:pos="9350"/>
            </w:tabs>
            <w:rPr>
              <w:rFonts w:asciiTheme="minorHAnsi" w:eastAsiaTheme="minorEastAsia" w:hAnsiTheme="minorHAnsi" w:cstheme="minorBidi"/>
              <w:noProof/>
              <w:sz w:val="22"/>
              <w:szCs w:val="22"/>
              <w:lang w:eastAsia="en-AU"/>
            </w:rPr>
          </w:pPr>
          <w:hyperlink w:anchor="_Toc55994911" w:history="1">
            <w:r w:rsidR="00FD63BF" w:rsidRPr="00E502FC">
              <w:rPr>
                <w:rStyle w:val="Hyperlink"/>
                <w:noProof/>
              </w:rPr>
              <w:t>Structure of the accreditation standards</w:t>
            </w:r>
            <w:r w:rsidR="00FD63BF">
              <w:rPr>
                <w:noProof/>
                <w:webHidden/>
              </w:rPr>
              <w:tab/>
            </w:r>
            <w:r w:rsidR="00FD63BF">
              <w:rPr>
                <w:noProof/>
                <w:webHidden/>
              </w:rPr>
              <w:fldChar w:fldCharType="begin"/>
            </w:r>
            <w:r w:rsidR="00FD63BF">
              <w:rPr>
                <w:noProof/>
                <w:webHidden/>
              </w:rPr>
              <w:instrText xml:space="preserve"> PAGEREF _Toc55994911 \h </w:instrText>
            </w:r>
            <w:r w:rsidR="00FD63BF">
              <w:rPr>
                <w:noProof/>
                <w:webHidden/>
              </w:rPr>
            </w:r>
            <w:r w:rsidR="00FD63BF">
              <w:rPr>
                <w:noProof/>
                <w:webHidden/>
              </w:rPr>
              <w:fldChar w:fldCharType="separate"/>
            </w:r>
            <w:r w:rsidR="00FD63BF">
              <w:rPr>
                <w:noProof/>
                <w:webHidden/>
              </w:rPr>
              <w:t>7</w:t>
            </w:r>
            <w:r w:rsidR="00FD63BF">
              <w:rPr>
                <w:noProof/>
                <w:webHidden/>
              </w:rPr>
              <w:fldChar w:fldCharType="end"/>
            </w:r>
          </w:hyperlink>
        </w:p>
        <w:p w14:paraId="4D1F4CCF" w14:textId="3A7AD213" w:rsidR="00FD63BF" w:rsidRDefault="006D67FA">
          <w:pPr>
            <w:pStyle w:val="TOC2"/>
            <w:tabs>
              <w:tab w:val="right" w:leader="dot" w:pos="9350"/>
            </w:tabs>
            <w:rPr>
              <w:rFonts w:asciiTheme="minorHAnsi" w:eastAsiaTheme="minorEastAsia" w:hAnsiTheme="minorHAnsi" w:cstheme="minorBidi"/>
              <w:noProof/>
              <w:sz w:val="22"/>
              <w:szCs w:val="22"/>
              <w:lang w:eastAsia="en-AU"/>
            </w:rPr>
          </w:pPr>
          <w:hyperlink w:anchor="_Toc55994912" w:history="1">
            <w:r w:rsidR="00FD63BF" w:rsidRPr="00E502FC">
              <w:rPr>
                <w:rStyle w:val="Hyperlink"/>
                <w:noProof/>
              </w:rPr>
              <w:t>Guidance on the presentation of evidence for accreditation assessment and its evaluation by assessment teams and the Accreditation Committee</w:t>
            </w:r>
            <w:r w:rsidR="00FD63BF">
              <w:rPr>
                <w:noProof/>
                <w:webHidden/>
              </w:rPr>
              <w:tab/>
            </w:r>
            <w:r w:rsidR="00FD63BF">
              <w:rPr>
                <w:noProof/>
                <w:webHidden/>
              </w:rPr>
              <w:fldChar w:fldCharType="begin"/>
            </w:r>
            <w:r w:rsidR="00FD63BF">
              <w:rPr>
                <w:noProof/>
                <w:webHidden/>
              </w:rPr>
              <w:instrText xml:space="preserve"> PAGEREF _Toc55994912 \h </w:instrText>
            </w:r>
            <w:r w:rsidR="00FD63BF">
              <w:rPr>
                <w:noProof/>
                <w:webHidden/>
              </w:rPr>
            </w:r>
            <w:r w:rsidR="00FD63BF">
              <w:rPr>
                <w:noProof/>
                <w:webHidden/>
              </w:rPr>
              <w:fldChar w:fldCharType="separate"/>
            </w:r>
            <w:r w:rsidR="00FD63BF">
              <w:rPr>
                <w:noProof/>
                <w:webHidden/>
              </w:rPr>
              <w:t>7</w:t>
            </w:r>
            <w:r w:rsidR="00FD63BF">
              <w:rPr>
                <w:noProof/>
                <w:webHidden/>
              </w:rPr>
              <w:fldChar w:fldCharType="end"/>
            </w:r>
          </w:hyperlink>
        </w:p>
        <w:p w14:paraId="44D274BF" w14:textId="251E7E03" w:rsidR="00FD63BF" w:rsidRDefault="006D67FA">
          <w:pPr>
            <w:pStyle w:val="TOC2"/>
            <w:tabs>
              <w:tab w:val="right" w:leader="dot" w:pos="9350"/>
            </w:tabs>
            <w:rPr>
              <w:rFonts w:asciiTheme="minorHAnsi" w:eastAsiaTheme="minorEastAsia" w:hAnsiTheme="minorHAnsi" w:cstheme="minorBidi"/>
              <w:noProof/>
              <w:sz w:val="22"/>
              <w:szCs w:val="22"/>
              <w:lang w:eastAsia="en-AU"/>
            </w:rPr>
          </w:pPr>
          <w:hyperlink w:anchor="_Toc55994913" w:history="1">
            <w:r w:rsidR="00FD63BF" w:rsidRPr="00E502FC">
              <w:rPr>
                <w:rStyle w:val="Hyperlink"/>
                <w:noProof/>
              </w:rPr>
              <w:t>Monitoring accredited podiatry scheduled medicines education</w:t>
            </w:r>
            <w:r w:rsidR="00FD63BF">
              <w:rPr>
                <w:noProof/>
                <w:webHidden/>
              </w:rPr>
              <w:tab/>
            </w:r>
            <w:r w:rsidR="00FD63BF">
              <w:rPr>
                <w:noProof/>
                <w:webHidden/>
              </w:rPr>
              <w:fldChar w:fldCharType="begin"/>
            </w:r>
            <w:r w:rsidR="00FD63BF">
              <w:rPr>
                <w:noProof/>
                <w:webHidden/>
              </w:rPr>
              <w:instrText xml:space="preserve"> PAGEREF _Toc55994913 \h </w:instrText>
            </w:r>
            <w:r w:rsidR="00FD63BF">
              <w:rPr>
                <w:noProof/>
                <w:webHidden/>
              </w:rPr>
            </w:r>
            <w:r w:rsidR="00FD63BF">
              <w:rPr>
                <w:noProof/>
                <w:webHidden/>
              </w:rPr>
              <w:fldChar w:fldCharType="separate"/>
            </w:r>
            <w:r w:rsidR="00FD63BF">
              <w:rPr>
                <w:noProof/>
                <w:webHidden/>
              </w:rPr>
              <w:t>8</w:t>
            </w:r>
            <w:r w:rsidR="00FD63BF">
              <w:rPr>
                <w:noProof/>
                <w:webHidden/>
              </w:rPr>
              <w:fldChar w:fldCharType="end"/>
            </w:r>
          </w:hyperlink>
        </w:p>
        <w:p w14:paraId="58D58B2B" w14:textId="395E5B23" w:rsidR="00FD63BF" w:rsidRDefault="006D67FA">
          <w:pPr>
            <w:pStyle w:val="TOC2"/>
            <w:tabs>
              <w:tab w:val="right" w:leader="dot" w:pos="9350"/>
            </w:tabs>
            <w:rPr>
              <w:rFonts w:asciiTheme="minorHAnsi" w:eastAsiaTheme="minorEastAsia" w:hAnsiTheme="minorHAnsi" w:cstheme="minorBidi"/>
              <w:noProof/>
              <w:sz w:val="22"/>
              <w:szCs w:val="22"/>
              <w:lang w:eastAsia="en-AU"/>
            </w:rPr>
          </w:pPr>
          <w:hyperlink w:anchor="_Toc55994914" w:history="1">
            <w:r w:rsidR="00FD63BF" w:rsidRPr="00E502FC">
              <w:rPr>
                <w:rStyle w:val="Hyperlink"/>
                <w:noProof/>
              </w:rPr>
              <w:t>Feedback and further information</w:t>
            </w:r>
            <w:r w:rsidR="00FD63BF">
              <w:rPr>
                <w:noProof/>
                <w:webHidden/>
              </w:rPr>
              <w:tab/>
            </w:r>
            <w:r w:rsidR="00FD63BF">
              <w:rPr>
                <w:noProof/>
                <w:webHidden/>
              </w:rPr>
              <w:fldChar w:fldCharType="begin"/>
            </w:r>
            <w:r w:rsidR="00FD63BF">
              <w:rPr>
                <w:noProof/>
                <w:webHidden/>
              </w:rPr>
              <w:instrText xml:space="preserve"> PAGEREF _Toc55994914 \h </w:instrText>
            </w:r>
            <w:r w:rsidR="00FD63BF">
              <w:rPr>
                <w:noProof/>
                <w:webHidden/>
              </w:rPr>
            </w:r>
            <w:r w:rsidR="00FD63BF">
              <w:rPr>
                <w:noProof/>
                <w:webHidden/>
              </w:rPr>
              <w:fldChar w:fldCharType="separate"/>
            </w:r>
            <w:r w:rsidR="00FD63BF">
              <w:rPr>
                <w:noProof/>
                <w:webHidden/>
              </w:rPr>
              <w:t>9</w:t>
            </w:r>
            <w:r w:rsidR="00FD63BF">
              <w:rPr>
                <w:noProof/>
                <w:webHidden/>
              </w:rPr>
              <w:fldChar w:fldCharType="end"/>
            </w:r>
          </w:hyperlink>
        </w:p>
        <w:p w14:paraId="1348CAEA" w14:textId="35CD7F80" w:rsidR="00FD63BF" w:rsidRDefault="006D67FA">
          <w:pPr>
            <w:pStyle w:val="TOC1"/>
            <w:rPr>
              <w:rFonts w:asciiTheme="minorHAnsi" w:eastAsiaTheme="minorEastAsia" w:hAnsiTheme="minorHAnsi" w:cstheme="minorBidi"/>
              <w:b w:val="0"/>
              <w:color w:val="auto"/>
              <w:sz w:val="22"/>
              <w:szCs w:val="22"/>
              <w:lang w:eastAsia="en-AU"/>
            </w:rPr>
          </w:pPr>
          <w:hyperlink w:anchor="_Toc55994915" w:history="1">
            <w:r w:rsidR="00FD63BF" w:rsidRPr="00E502FC">
              <w:rPr>
                <w:rStyle w:val="Hyperlink"/>
              </w:rPr>
              <w:t>2. The accreditation standards, criteria, expected information and explanatory notes</w:t>
            </w:r>
            <w:r w:rsidR="00FD63BF">
              <w:rPr>
                <w:webHidden/>
              </w:rPr>
              <w:tab/>
            </w:r>
            <w:r w:rsidR="00FD63BF">
              <w:rPr>
                <w:webHidden/>
              </w:rPr>
              <w:fldChar w:fldCharType="begin"/>
            </w:r>
            <w:r w:rsidR="00FD63BF">
              <w:rPr>
                <w:webHidden/>
              </w:rPr>
              <w:instrText xml:space="preserve"> PAGEREF _Toc55994915 \h </w:instrText>
            </w:r>
            <w:r w:rsidR="00FD63BF">
              <w:rPr>
                <w:webHidden/>
              </w:rPr>
            </w:r>
            <w:r w:rsidR="00FD63BF">
              <w:rPr>
                <w:webHidden/>
              </w:rPr>
              <w:fldChar w:fldCharType="separate"/>
            </w:r>
            <w:r w:rsidR="00FD63BF">
              <w:rPr>
                <w:webHidden/>
              </w:rPr>
              <w:t>10</w:t>
            </w:r>
            <w:r w:rsidR="00FD63BF">
              <w:rPr>
                <w:webHidden/>
              </w:rPr>
              <w:fldChar w:fldCharType="end"/>
            </w:r>
          </w:hyperlink>
        </w:p>
        <w:p w14:paraId="6A9D21C3" w14:textId="0BD85C04" w:rsidR="00FD63BF" w:rsidRDefault="006D67FA">
          <w:pPr>
            <w:pStyle w:val="TOC2"/>
            <w:tabs>
              <w:tab w:val="right" w:leader="dot" w:pos="9350"/>
            </w:tabs>
            <w:rPr>
              <w:rFonts w:asciiTheme="minorHAnsi" w:eastAsiaTheme="minorEastAsia" w:hAnsiTheme="minorHAnsi" w:cstheme="minorBidi"/>
              <w:noProof/>
              <w:sz w:val="22"/>
              <w:szCs w:val="22"/>
              <w:lang w:eastAsia="en-AU"/>
            </w:rPr>
          </w:pPr>
          <w:hyperlink w:anchor="_Toc55994916" w:history="1">
            <w:r w:rsidR="00FD63BF" w:rsidRPr="00E502FC">
              <w:rPr>
                <w:rStyle w:val="Hyperlink"/>
                <w:noProof/>
              </w:rPr>
              <w:t>Standard 1: Assuring safe practice</w:t>
            </w:r>
            <w:r w:rsidR="00FD63BF">
              <w:rPr>
                <w:noProof/>
                <w:webHidden/>
              </w:rPr>
              <w:tab/>
            </w:r>
            <w:r w:rsidR="00FD63BF">
              <w:rPr>
                <w:noProof/>
                <w:webHidden/>
              </w:rPr>
              <w:fldChar w:fldCharType="begin"/>
            </w:r>
            <w:r w:rsidR="00FD63BF">
              <w:rPr>
                <w:noProof/>
                <w:webHidden/>
              </w:rPr>
              <w:instrText xml:space="preserve"> PAGEREF _Toc55994916 \h </w:instrText>
            </w:r>
            <w:r w:rsidR="00FD63BF">
              <w:rPr>
                <w:noProof/>
                <w:webHidden/>
              </w:rPr>
            </w:r>
            <w:r w:rsidR="00FD63BF">
              <w:rPr>
                <w:noProof/>
                <w:webHidden/>
              </w:rPr>
              <w:fldChar w:fldCharType="separate"/>
            </w:r>
            <w:r w:rsidR="00FD63BF">
              <w:rPr>
                <w:noProof/>
                <w:webHidden/>
              </w:rPr>
              <w:t>10</w:t>
            </w:r>
            <w:r w:rsidR="00FD63BF">
              <w:rPr>
                <w:noProof/>
                <w:webHidden/>
              </w:rPr>
              <w:fldChar w:fldCharType="end"/>
            </w:r>
          </w:hyperlink>
        </w:p>
        <w:p w14:paraId="29251CDE" w14:textId="450CF215" w:rsidR="00FD63BF" w:rsidRDefault="006D67FA">
          <w:pPr>
            <w:pStyle w:val="TOC2"/>
            <w:tabs>
              <w:tab w:val="right" w:leader="dot" w:pos="9350"/>
            </w:tabs>
            <w:rPr>
              <w:rFonts w:asciiTheme="minorHAnsi" w:eastAsiaTheme="minorEastAsia" w:hAnsiTheme="minorHAnsi" w:cstheme="minorBidi"/>
              <w:noProof/>
              <w:sz w:val="22"/>
              <w:szCs w:val="22"/>
              <w:lang w:eastAsia="en-AU"/>
            </w:rPr>
          </w:pPr>
          <w:hyperlink w:anchor="_Toc55994917" w:history="1">
            <w:r w:rsidR="00FD63BF" w:rsidRPr="00E502FC">
              <w:rPr>
                <w:rStyle w:val="Hyperlink"/>
                <w:noProof/>
              </w:rPr>
              <w:t>Standard 2: Academic governance and quality assurance of education</w:t>
            </w:r>
            <w:r w:rsidR="00FD63BF">
              <w:rPr>
                <w:noProof/>
                <w:webHidden/>
              </w:rPr>
              <w:tab/>
            </w:r>
            <w:r w:rsidR="00FD63BF">
              <w:rPr>
                <w:noProof/>
                <w:webHidden/>
              </w:rPr>
              <w:fldChar w:fldCharType="begin"/>
            </w:r>
            <w:r w:rsidR="00FD63BF">
              <w:rPr>
                <w:noProof/>
                <w:webHidden/>
              </w:rPr>
              <w:instrText xml:space="preserve"> PAGEREF _Toc55994917 \h </w:instrText>
            </w:r>
            <w:r w:rsidR="00FD63BF">
              <w:rPr>
                <w:noProof/>
                <w:webHidden/>
              </w:rPr>
            </w:r>
            <w:r w:rsidR="00FD63BF">
              <w:rPr>
                <w:noProof/>
                <w:webHidden/>
              </w:rPr>
              <w:fldChar w:fldCharType="separate"/>
            </w:r>
            <w:r w:rsidR="00FD63BF">
              <w:rPr>
                <w:noProof/>
                <w:webHidden/>
              </w:rPr>
              <w:t>14</w:t>
            </w:r>
            <w:r w:rsidR="00FD63BF">
              <w:rPr>
                <w:noProof/>
                <w:webHidden/>
              </w:rPr>
              <w:fldChar w:fldCharType="end"/>
            </w:r>
          </w:hyperlink>
        </w:p>
        <w:p w14:paraId="0FD14120" w14:textId="4E99B748" w:rsidR="00FD63BF" w:rsidRDefault="006D67FA">
          <w:pPr>
            <w:pStyle w:val="TOC2"/>
            <w:tabs>
              <w:tab w:val="right" w:leader="dot" w:pos="9350"/>
            </w:tabs>
            <w:rPr>
              <w:rFonts w:asciiTheme="minorHAnsi" w:eastAsiaTheme="minorEastAsia" w:hAnsiTheme="minorHAnsi" w:cstheme="minorBidi"/>
              <w:noProof/>
              <w:sz w:val="22"/>
              <w:szCs w:val="22"/>
              <w:lang w:eastAsia="en-AU"/>
            </w:rPr>
          </w:pPr>
          <w:hyperlink w:anchor="_Toc55994918" w:history="1">
            <w:r w:rsidR="00FD63BF" w:rsidRPr="00E502FC">
              <w:rPr>
                <w:rStyle w:val="Hyperlink"/>
                <w:noProof/>
              </w:rPr>
              <w:t>Standard 3: Education design, implementation and resourcing</w:t>
            </w:r>
            <w:r w:rsidR="00FD63BF">
              <w:rPr>
                <w:noProof/>
                <w:webHidden/>
              </w:rPr>
              <w:tab/>
            </w:r>
            <w:r w:rsidR="00FD63BF">
              <w:rPr>
                <w:noProof/>
                <w:webHidden/>
              </w:rPr>
              <w:fldChar w:fldCharType="begin"/>
            </w:r>
            <w:r w:rsidR="00FD63BF">
              <w:rPr>
                <w:noProof/>
                <w:webHidden/>
              </w:rPr>
              <w:instrText xml:space="preserve"> PAGEREF _Toc55994918 \h </w:instrText>
            </w:r>
            <w:r w:rsidR="00FD63BF">
              <w:rPr>
                <w:noProof/>
                <w:webHidden/>
              </w:rPr>
            </w:r>
            <w:r w:rsidR="00FD63BF">
              <w:rPr>
                <w:noProof/>
                <w:webHidden/>
              </w:rPr>
              <w:fldChar w:fldCharType="separate"/>
            </w:r>
            <w:r w:rsidR="00FD63BF">
              <w:rPr>
                <w:noProof/>
                <w:webHidden/>
              </w:rPr>
              <w:t>20</w:t>
            </w:r>
            <w:r w:rsidR="00FD63BF">
              <w:rPr>
                <w:noProof/>
                <w:webHidden/>
              </w:rPr>
              <w:fldChar w:fldCharType="end"/>
            </w:r>
          </w:hyperlink>
        </w:p>
        <w:p w14:paraId="69BC1F3F" w14:textId="1EBC2994" w:rsidR="00FD63BF" w:rsidRDefault="006D67FA">
          <w:pPr>
            <w:pStyle w:val="TOC2"/>
            <w:tabs>
              <w:tab w:val="right" w:leader="dot" w:pos="9350"/>
            </w:tabs>
            <w:rPr>
              <w:rFonts w:asciiTheme="minorHAnsi" w:eastAsiaTheme="minorEastAsia" w:hAnsiTheme="minorHAnsi" w:cstheme="minorBidi"/>
              <w:noProof/>
              <w:sz w:val="22"/>
              <w:szCs w:val="22"/>
              <w:lang w:eastAsia="en-AU"/>
            </w:rPr>
          </w:pPr>
          <w:hyperlink w:anchor="_Toc55994919" w:history="1">
            <w:r w:rsidR="00FD63BF" w:rsidRPr="00E502FC">
              <w:rPr>
                <w:rStyle w:val="Hyperlink"/>
                <w:noProof/>
              </w:rPr>
              <w:t>Standard 4: The student experience</w:t>
            </w:r>
            <w:r w:rsidR="00FD63BF">
              <w:rPr>
                <w:noProof/>
                <w:webHidden/>
              </w:rPr>
              <w:tab/>
            </w:r>
            <w:r w:rsidR="00FD63BF">
              <w:rPr>
                <w:noProof/>
                <w:webHidden/>
              </w:rPr>
              <w:fldChar w:fldCharType="begin"/>
            </w:r>
            <w:r w:rsidR="00FD63BF">
              <w:rPr>
                <w:noProof/>
                <w:webHidden/>
              </w:rPr>
              <w:instrText xml:space="preserve"> PAGEREF _Toc55994919 \h </w:instrText>
            </w:r>
            <w:r w:rsidR="00FD63BF">
              <w:rPr>
                <w:noProof/>
                <w:webHidden/>
              </w:rPr>
            </w:r>
            <w:r w:rsidR="00FD63BF">
              <w:rPr>
                <w:noProof/>
                <w:webHidden/>
              </w:rPr>
              <w:fldChar w:fldCharType="separate"/>
            </w:r>
            <w:r w:rsidR="00FD63BF">
              <w:rPr>
                <w:noProof/>
                <w:webHidden/>
              </w:rPr>
              <w:t>27</w:t>
            </w:r>
            <w:r w:rsidR="00FD63BF">
              <w:rPr>
                <w:noProof/>
                <w:webHidden/>
              </w:rPr>
              <w:fldChar w:fldCharType="end"/>
            </w:r>
          </w:hyperlink>
        </w:p>
        <w:p w14:paraId="71079DAF" w14:textId="5D9CD0D8" w:rsidR="00FD63BF" w:rsidRDefault="006D67FA">
          <w:pPr>
            <w:pStyle w:val="TOC2"/>
            <w:tabs>
              <w:tab w:val="right" w:leader="dot" w:pos="9350"/>
            </w:tabs>
            <w:rPr>
              <w:rFonts w:asciiTheme="minorHAnsi" w:eastAsiaTheme="minorEastAsia" w:hAnsiTheme="minorHAnsi" w:cstheme="minorBidi"/>
              <w:noProof/>
              <w:sz w:val="22"/>
              <w:szCs w:val="22"/>
              <w:lang w:eastAsia="en-AU"/>
            </w:rPr>
          </w:pPr>
          <w:hyperlink w:anchor="_Toc55994920" w:history="1">
            <w:r w:rsidR="00FD63BF" w:rsidRPr="00E502FC">
              <w:rPr>
                <w:rStyle w:val="Hyperlink"/>
                <w:noProof/>
              </w:rPr>
              <w:t>Standard 5: Assessment</w:t>
            </w:r>
            <w:r w:rsidR="00FD63BF">
              <w:rPr>
                <w:noProof/>
                <w:webHidden/>
              </w:rPr>
              <w:tab/>
            </w:r>
            <w:r w:rsidR="00FD63BF">
              <w:rPr>
                <w:noProof/>
                <w:webHidden/>
              </w:rPr>
              <w:fldChar w:fldCharType="begin"/>
            </w:r>
            <w:r w:rsidR="00FD63BF">
              <w:rPr>
                <w:noProof/>
                <w:webHidden/>
              </w:rPr>
              <w:instrText xml:space="preserve"> PAGEREF _Toc55994920 \h </w:instrText>
            </w:r>
            <w:r w:rsidR="00FD63BF">
              <w:rPr>
                <w:noProof/>
                <w:webHidden/>
              </w:rPr>
            </w:r>
            <w:r w:rsidR="00FD63BF">
              <w:rPr>
                <w:noProof/>
                <w:webHidden/>
              </w:rPr>
              <w:fldChar w:fldCharType="separate"/>
            </w:r>
            <w:r w:rsidR="00FD63BF">
              <w:rPr>
                <w:noProof/>
                <w:webHidden/>
              </w:rPr>
              <w:t>29</w:t>
            </w:r>
            <w:r w:rsidR="00FD63BF">
              <w:rPr>
                <w:noProof/>
                <w:webHidden/>
              </w:rPr>
              <w:fldChar w:fldCharType="end"/>
            </w:r>
          </w:hyperlink>
        </w:p>
        <w:p w14:paraId="4C392EB2" w14:textId="52E86898" w:rsidR="00FD63BF" w:rsidRDefault="006D67FA">
          <w:pPr>
            <w:pStyle w:val="TOC1"/>
            <w:rPr>
              <w:rFonts w:asciiTheme="minorHAnsi" w:eastAsiaTheme="minorEastAsia" w:hAnsiTheme="minorHAnsi" w:cstheme="minorBidi"/>
              <w:b w:val="0"/>
              <w:color w:val="auto"/>
              <w:sz w:val="22"/>
              <w:szCs w:val="22"/>
              <w:lang w:eastAsia="en-AU"/>
            </w:rPr>
          </w:pPr>
          <w:hyperlink w:anchor="_Toc55994921" w:history="1">
            <w:r w:rsidR="00FD63BF" w:rsidRPr="00E502FC">
              <w:rPr>
                <w:rStyle w:val="Hyperlink"/>
              </w:rPr>
              <w:t>Glossary</w:t>
            </w:r>
            <w:r w:rsidR="00FD63BF">
              <w:rPr>
                <w:webHidden/>
              </w:rPr>
              <w:tab/>
            </w:r>
            <w:r w:rsidR="00FD63BF">
              <w:rPr>
                <w:webHidden/>
              </w:rPr>
              <w:fldChar w:fldCharType="begin"/>
            </w:r>
            <w:r w:rsidR="00FD63BF">
              <w:rPr>
                <w:webHidden/>
              </w:rPr>
              <w:instrText xml:space="preserve"> PAGEREF _Toc55994921 \h </w:instrText>
            </w:r>
            <w:r w:rsidR="00FD63BF">
              <w:rPr>
                <w:webHidden/>
              </w:rPr>
            </w:r>
            <w:r w:rsidR="00FD63BF">
              <w:rPr>
                <w:webHidden/>
              </w:rPr>
              <w:fldChar w:fldCharType="separate"/>
            </w:r>
            <w:r w:rsidR="00FD63BF">
              <w:rPr>
                <w:webHidden/>
              </w:rPr>
              <w:t>32</w:t>
            </w:r>
            <w:r w:rsidR="00FD63BF">
              <w:rPr>
                <w:webHidden/>
              </w:rPr>
              <w:fldChar w:fldCharType="end"/>
            </w:r>
          </w:hyperlink>
        </w:p>
        <w:p w14:paraId="48C140B3" w14:textId="5E81D3A9" w:rsidR="00FD63BF" w:rsidRDefault="006D67FA">
          <w:pPr>
            <w:pStyle w:val="TOC1"/>
            <w:rPr>
              <w:rFonts w:asciiTheme="minorHAnsi" w:eastAsiaTheme="minorEastAsia" w:hAnsiTheme="minorHAnsi" w:cstheme="minorBidi"/>
              <w:b w:val="0"/>
              <w:color w:val="auto"/>
              <w:sz w:val="22"/>
              <w:szCs w:val="22"/>
              <w:lang w:eastAsia="en-AU"/>
            </w:rPr>
          </w:pPr>
          <w:hyperlink w:anchor="_Toc55994922" w:history="1">
            <w:r w:rsidR="00FD63BF" w:rsidRPr="00E502FC">
              <w:rPr>
                <w:rStyle w:val="Hyperlink"/>
              </w:rPr>
              <w:t>List of acronyms</w:t>
            </w:r>
            <w:r w:rsidR="00FD63BF">
              <w:rPr>
                <w:webHidden/>
              </w:rPr>
              <w:tab/>
            </w:r>
            <w:r w:rsidR="00FD63BF">
              <w:rPr>
                <w:webHidden/>
              </w:rPr>
              <w:fldChar w:fldCharType="begin"/>
            </w:r>
            <w:r w:rsidR="00FD63BF">
              <w:rPr>
                <w:webHidden/>
              </w:rPr>
              <w:instrText xml:space="preserve"> PAGEREF _Toc55994922 \h </w:instrText>
            </w:r>
            <w:r w:rsidR="00FD63BF">
              <w:rPr>
                <w:webHidden/>
              </w:rPr>
            </w:r>
            <w:r w:rsidR="00FD63BF">
              <w:rPr>
                <w:webHidden/>
              </w:rPr>
              <w:fldChar w:fldCharType="separate"/>
            </w:r>
            <w:r w:rsidR="00FD63BF">
              <w:rPr>
                <w:webHidden/>
              </w:rPr>
              <w:t>38</w:t>
            </w:r>
            <w:r w:rsidR="00FD63BF">
              <w:rPr>
                <w:webHidden/>
              </w:rPr>
              <w:fldChar w:fldCharType="end"/>
            </w:r>
          </w:hyperlink>
        </w:p>
        <w:p w14:paraId="6D76B12C" w14:textId="3203A8A5" w:rsidR="002838B3" w:rsidRDefault="002838B3">
          <w:r>
            <w:rPr>
              <w:b/>
              <w:bCs/>
              <w:noProof/>
            </w:rPr>
            <w:fldChar w:fldCharType="end"/>
          </w:r>
        </w:p>
      </w:sdtContent>
    </w:sdt>
    <w:p w14:paraId="2FBC87FB" w14:textId="77777777" w:rsidR="002A24E3" w:rsidRPr="004653E7" w:rsidRDefault="002A24E3" w:rsidP="002838B3">
      <w:pPr>
        <w:pStyle w:val="Heading2"/>
        <w:spacing w:before="200" w:after="200"/>
        <w:rPr>
          <w:rFonts w:ascii="Arial" w:hAnsi="Arial" w:cs="Arial"/>
        </w:rPr>
      </w:pPr>
      <w:r w:rsidRPr="004653E7">
        <w:rPr>
          <w:rFonts w:ascii="Arial" w:hAnsi="Arial" w:cs="Arial"/>
        </w:rPr>
        <w:br w:type="page"/>
      </w:r>
    </w:p>
    <w:p w14:paraId="6EB9829F" w14:textId="77777777" w:rsidR="002A24E3" w:rsidRPr="004653E7" w:rsidRDefault="002A24E3" w:rsidP="002838B3">
      <w:pPr>
        <w:pStyle w:val="AHPRADocumentsubheading"/>
        <w:rPr>
          <w:sz w:val="20"/>
          <w:szCs w:val="20"/>
        </w:rPr>
      </w:pPr>
      <w:bookmarkStart w:id="2" w:name="_Toc55994906"/>
      <w:r w:rsidRPr="002838B3">
        <w:lastRenderedPageBreak/>
        <w:t>1. Preamble</w:t>
      </w:r>
      <w:bookmarkEnd w:id="2"/>
      <w:r w:rsidRPr="004653E7">
        <w:t xml:space="preserve"> </w:t>
      </w:r>
      <w:r w:rsidRPr="004653E7">
        <w:br/>
      </w:r>
    </w:p>
    <w:p w14:paraId="1302915B" w14:textId="7482E492" w:rsidR="00FB4C9F" w:rsidRPr="00EA395E" w:rsidRDefault="002A24E3" w:rsidP="00475851">
      <w:pPr>
        <w:pStyle w:val="AHPRAbody"/>
        <w:rPr>
          <w:szCs w:val="20"/>
        </w:rPr>
      </w:pPr>
      <w:r w:rsidRPr="00FB4C9F">
        <w:rPr>
          <w:szCs w:val="20"/>
        </w:rPr>
        <w:t>On 1 July 201</w:t>
      </w:r>
      <w:r w:rsidR="00520234" w:rsidRPr="00FB4C9F">
        <w:rPr>
          <w:szCs w:val="20"/>
        </w:rPr>
        <w:t>0</w:t>
      </w:r>
      <w:r w:rsidRPr="00EA395E">
        <w:rPr>
          <w:szCs w:val="20"/>
        </w:rPr>
        <w:t xml:space="preserve">, the </w:t>
      </w:r>
      <w:r w:rsidR="00A12D72" w:rsidRPr="00EA395E">
        <w:rPr>
          <w:szCs w:val="20"/>
        </w:rPr>
        <w:t xml:space="preserve">podiatry </w:t>
      </w:r>
      <w:r w:rsidRPr="00EA395E">
        <w:rPr>
          <w:szCs w:val="20"/>
        </w:rPr>
        <w:t>profession joined the National Registration and Accreditation Scheme (</w:t>
      </w:r>
      <w:r w:rsidR="00611DF2" w:rsidRPr="00EA395E">
        <w:rPr>
          <w:szCs w:val="20"/>
        </w:rPr>
        <w:t xml:space="preserve">the </w:t>
      </w:r>
      <w:r w:rsidRPr="00ED6E0C">
        <w:rPr>
          <w:szCs w:val="20"/>
        </w:rPr>
        <w:t>National Scheme) under the Health Practitioner Regulation National Law, as in force in each state and territory (</w:t>
      </w:r>
      <w:r w:rsidR="00611DF2" w:rsidRPr="00ED6E0C">
        <w:rPr>
          <w:szCs w:val="20"/>
        </w:rPr>
        <w:t xml:space="preserve">the </w:t>
      </w:r>
      <w:r w:rsidRPr="00ED6E0C">
        <w:rPr>
          <w:szCs w:val="20"/>
        </w:rPr>
        <w:t xml:space="preserve">National Law). </w:t>
      </w:r>
      <w:r w:rsidR="00334C39" w:rsidRPr="00ED6E0C">
        <w:rPr>
          <w:szCs w:val="20"/>
        </w:rPr>
        <w:t>The Australian and New Zealand Podiatry Accreditation Council (AN</w:t>
      </w:r>
      <w:r w:rsidR="00FB4C9F" w:rsidRPr="00ED6E0C">
        <w:rPr>
          <w:szCs w:val="20"/>
        </w:rPr>
        <w:t>Z</w:t>
      </w:r>
      <w:r w:rsidR="00334C39" w:rsidRPr="00ED6E0C">
        <w:rPr>
          <w:szCs w:val="20"/>
        </w:rPr>
        <w:t xml:space="preserve">PAC) </w:t>
      </w:r>
      <w:r w:rsidR="00383C84" w:rsidRPr="00ED6E0C">
        <w:rPr>
          <w:szCs w:val="20"/>
        </w:rPr>
        <w:t xml:space="preserve">undertook assessment and accreditation of podiatry </w:t>
      </w:r>
      <w:r w:rsidR="00EA395E">
        <w:rPr>
          <w:szCs w:val="20"/>
        </w:rPr>
        <w:t xml:space="preserve">and podiatric surgery </w:t>
      </w:r>
      <w:r w:rsidR="00383C84" w:rsidRPr="00EA395E">
        <w:rPr>
          <w:szCs w:val="20"/>
        </w:rPr>
        <w:t xml:space="preserve">education programs </w:t>
      </w:r>
      <w:r w:rsidR="00FB4C9F" w:rsidRPr="00EA395E">
        <w:rPr>
          <w:szCs w:val="20"/>
        </w:rPr>
        <w:t xml:space="preserve">under the National Law </w:t>
      </w:r>
      <w:r w:rsidR="00383C84" w:rsidRPr="00EA395E">
        <w:rPr>
          <w:szCs w:val="20"/>
        </w:rPr>
        <w:t xml:space="preserve">from </w:t>
      </w:r>
      <w:r w:rsidR="00FB4C9F" w:rsidRPr="00EA395E">
        <w:rPr>
          <w:szCs w:val="20"/>
        </w:rPr>
        <w:t xml:space="preserve">1 July 2010 </w:t>
      </w:r>
      <w:r w:rsidR="00383C84" w:rsidRPr="00ED6E0C">
        <w:rPr>
          <w:szCs w:val="20"/>
        </w:rPr>
        <w:t xml:space="preserve">until mid-2019. From 1 July 2019, the Podiatry Accreditation Committee (Accreditation Committee) </w:t>
      </w:r>
      <w:r w:rsidR="00FB4C9F" w:rsidRPr="00ED6E0C">
        <w:rPr>
          <w:szCs w:val="20"/>
        </w:rPr>
        <w:t xml:space="preserve">established by the Podiatry Board of Australia (Board) is the accreditation authority for </w:t>
      </w:r>
      <w:r w:rsidR="00EA395E">
        <w:rPr>
          <w:szCs w:val="20"/>
        </w:rPr>
        <w:t xml:space="preserve">the </w:t>
      </w:r>
      <w:r w:rsidR="00FB4C9F" w:rsidRPr="00EA395E">
        <w:rPr>
          <w:szCs w:val="20"/>
        </w:rPr>
        <w:t xml:space="preserve">podiatry </w:t>
      </w:r>
      <w:r w:rsidR="00EA395E">
        <w:rPr>
          <w:szCs w:val="20"/>
        </w:rPr>
        <w:t xml:space="preserve">profession </w:t>
      </w:r>
      <w:r w:rsidR="00FB4C9F" w:rsidRPr="00EA395E">
        <w:rPr>
          <w:szCs w:val="20"/>
        </w:rPr>
        <w:t>under the National Law</w:t>
      </w:r>
      <w:r w:rsidR="00383C84" w:rsidRPr="00EA395E">
        <w:rPr>
          <w:szCs w:val="20"/>
        </w:rPr>
        <w:t xml:space="preserve">. </w:t>
      </w:r>
    </w:p>
    <w:p w14:paraId="1049D693" w14:textId="77777777" w:rsidR="002A24E3" w:rsidRPr="004653E7" w:rsidRDefault="002A24E3" w:rsidP="002A24E3">
      <w:pPr>
        <w:rPr>
          <w:rFonts w:ascii="Arial" w:hAnsi="Arial" w:cs="Arial"/>
          <w:sz w:val="20"/>
          <w:szCs w:val="20"/>
        </w:rPr>
      </w:pPr>
      <w:r w:rsidRPr="004653E7">
        <w:rPr>
          <w:rFonts w:ascii="Arial" w:hAnsi="Arial" w:cs="Arial"/>
          <w:sz w:val="20"/>
          <w:szCs w:val="20"/>
        </w:rPr>
        <w:t>This document contains:</w:t>
      </w:r>
    </w:p>
    <w:p w14:paraId="7BB9719B" w14:textId="77777777" w:rsidR="002A24E3" w:rsidRPr="004653E7" w:rsidRDefault="002A24E3" w:rsidP="00B01400">
      <w:pPr>
        <w:rPr>
          <w:rFonts w:ascii="Arial" w:hAnsi="Arial" w:cs="Arial"/>
          <w:sz w:val="20"/>
          <w:szCs w:val="20"/>
        </w:rPr>
      </w:pPr>
    </w:p>
    <w:p w14:paraId="14484DF5" w14:textId="23FDD3EC" w:rsidR="002A24E3" w:rsidRPr="004653E7" w:rsidRDefault="007C5F0E" w:rsidP="00C273CB">
      <w:pPr>
        <w:pStyle w:val="ListParagraph"/>
        <w:numPr>
          <w:ilvl w:val="0"/>
          <w:numId w:val="17"/>
        </w:numPr>
        <w:spacing w:after="200"/>
        <w:jc w:val="left"/>
        <w:rPr>
          <w:sz w:val="20"/>
          <w:szCs w:val="20"/>
        </w:rPr>
      </w:pPr>
      <w:r>
        <w:rPr>
          <w:sz w:val="20"/>
          <w:szCs w:val="20"/>
        </w:rPr>
        <w:t>a</w:t>
      </w:r>
      <w:r w:rsidR="00F61445">
        <w:rPr>
          <w:sz w:val="20"/>
          <w:szCs w:val="20"/>
        </w:rPr>
        <w:t xml:space="preserve"> preamble relevant to </w:t>
      </w:r>
      <w:r w:rsidR="002A24E3" w:rsidRPr="004653E7">
        <w:rPr>
          <w:sz w:val="20"/>
          <w:szCs w:val="20"/>
        </w:rPr>
        <w:t>the context of the</w:t>
      </w:r>
      <w:r w:rsidR="0067671D">
        <w:rPr>
          <w:sz w:val="20"/>
          <w:szCs w:val="20"/>
        </w:rPr>
        <w:t xml:space="preserve"> </w:t>
      </w:r>
      <w:r w:rsidR="0067671D" w:rsidRPr="0067671D">
        <w:rPr>
          <w:i/>
          <w:sz w:val="20"/>
          <w:szCs w:val="20"/>
        </w:rPr>
        <w:t>Accreditation standards for registered podiatrists addressing requirements for endorsement of registration in relation to scheduled medicines (ESM programs)</w:t>
      </w:r>
      <w:r w:rsidR="002A24E3" w:rsidRPr="004653E7">
        <w:rPr>
          <w:sz w:val="20"/>
          <w:szCs w:val="20"/>
        </w:rPr>
        <w:t xml:space="preserve"> </w:t>
      </w:r>
    </w:p>
    <w:p w14:paraId="34E37337" w14:textId="36363258" w:rsidR="002A24E3" w:rsidRPr="004653E7" w:rsidRDefault="007C5F0E" w:rsidP="00C273CB">
      <w:pPr>
        <w:pStyle w:val="ListParagraph"/>
        <w:numPr>
          <w:ilvl w:val="0"/>
          <w:numId w:val="17"/>
        </w:numPr>
        <w:spacing w:after="200"/>
        <w:jc w:val="left"/>
        <w:rPr>
          <w:sz w:val="20"/>
          <w:szCs w:val="20"/>
        </w:rPr>
      </w:pPr>
      <w:r>
        <w:rPr>
          <w:sz w:val="20"/>
          <w:szCs w:val="20"/>
        </w:rPr>
        <w:t>t</w:t>
      </w:r>
      <w:r w:rsidR="001A7366" w:rsidRPr="004653E7">
        <w:rPr>
          <w:sz w:val="20"/>
          <w:szCs w:val="20"/>
        </w:rPr>
        <w:t xml:space="preserve">he </w:t>
      </w:r>
      <w:r w:rsidR="00350A92" w:rsidRPr="004653E7">
        <w:rPr>
          <w:sz w:val="20"/>
          <w:szCs w:val="20"/>
        </w:rPr>
        <w:t>accreditation standards</w:t>
      </w:r>
      <w:r w:rsidR="002A24E3" w:rsidRPr="004653E7">
        <w:rPr>
          <w:sz w:val="20"/>
          <w:szCs w:val="20"/>
        </w:rPr>
        <w:t xml:space="preserve"> and their associated criteria</w:t>
      </w:r>
    </w:p>
    <w:p w14:paraId="14C7DC33" w14:textId="1B363186" w:rsidR="002A24E3" w:rsidRPr="004653E7" w:rsidRDefault="007C5F0E" w:rsidP="00C273CB">
      <w:pPr>
        <w:pStyle w:val="ListParagraph"/>
        <w:numPr>
          <w:ilvl w:val="0"/>
          <w:numId w:val="17"/>
        </w:numPr>
        <w:spacing w:after="200"/>
        <w:jc w:val="left"/>
        <w:rPr>
          <w:sz w:val="20"/>
          <w:szCs w:val="20"/>
        </w:rPr>
      </w:pPr>
      <w:r>
        <w:rPr>
          <w:sz w:val="20"/>
          <w:szCs w:val="20"/>
        </w:rPr>
        <w:t>g</w:t>
      </w:r>
      <w:r w:rsidR="002A24E3" w:rsidRPr="004653E7">
        <w:rPr>
          <w:sz w:val="20"/>
          <w:szCs w:val="20"/>
        </w:rPr>
        <w:t xml:space="preserve">uidance on the evidence to be presented by </w:t>
      </w:r>
      <w:r w:rsidR="007D1D19" w:rsidRPr="004653E7">
        <w:rPr>
          <w:sz w:val="20"/>
          <w:szCs w:val="20"/>
        </w:rPr>
        <w:t xml:space="preserve">education </w:t>
      </w:r>
      <w:r w:rsidR="002A24E3" w:rsidRPr="004653E7">
        <w:rPr>
          <w:sz w:val="20"/>
          <w:szCs w:val="20"/>
        </w:rPr>
        <w:t xml:space="preserve">providers seeking accreditation or responding to monitoring of </w:t>
      </w:r>
      <w:r w:rsidR="00F61445">
        <w:rPr>
          <w:sz w:val="20"/>
          <w:szCs w:val="20"/>
        </w:rPr>
        <w:t>accredited</w:t>
      </w:r>
      <w:r w:rsidR="00095918" w:rsidRPr="00095918">
        <w:rPr>
          <w:sz w:val="20"/>
          <w:szCs w:val="20"/>
          <w:lang w:eastAsia="en-US"/>
        </w:rPr>
        <w:t xml:space="preserve"> </w:t>
      </w:r>
      <w:r w:rsidR="00095918" w:rsidRPr="00095918">
        <w:rPr>
          <w:sz w:val="20"/>
          <w:szCs w:val="20"/>
        </w:rPr>
        <w:t>podiatry</w:t>
      </w:r>
      <w:r w:rsidR="003D328F">
        <w:rPr>
          <w:sz w:val="20"/>
          <w:szCs w:val="20"/>
        </w:rPr>
        <w:t xml:space="preserve"> </w:t>
      </w:r>
      <w:r w:rsidR="00233DE1">
        <w:rPr>
          <w:sz w:val="20"/>
          <w:szCs w:val="20"/>
        </w:rPr>
        <w:t>scheduled medicines education</w:t>
      </w:r>
      <w:r w:rsidR="002A24E3" w:rsidRPr="004653E7">
        <w:rPr>
          <w:sz w:val="20"/>
          <w:szCs w:val="20"/>
        </w:rPr>
        <w:t>, including:</w:t>
      </w:r>
    </w:p>
    <w:p w14:paraId="5257547D" w14:textId="77777777" w:rsidR="002A24E3" w:rsidRPr="004653E7" w:rsidRDefault="002A24E3" w:rsidP="00C273CB">
      <w:pPr>
        <w:pStyle w:val="ListParagraph"/>
        <w:numPr>
          <w:ilvl w:val="0"/>
          <w:numId w:val="37"/>
        </w:numPr>
        <w:spacing w:after="200"/>
        <w:jc w:val="left"/>
        <w:rPr>
          <w:sz w:val="20"/>
          <w:szCs w:val="20"/>
        </w:rPr>
      </w:pPr>
      <w:r w:rsidRPr="004653E7">
        <w:rPr>
          <w:sz w:val="20"/>
          <w:szCs w:val="20"/>
        </w:rPr>
        <w:t>expected information for each criterion to be presented</w:t>
      </w:r>
    </w:p>
    <w:p w14:paraId="7B510F95" w14:textId="6FBDEFCA" w:rsidR="002A24E3" w:rsidRPr="004653E7" w:rsidRDefault="002A24E3" w:rsidP="00C273CB">
      <w:pPr>
        <w:pStyle w:val="ListParagraph"/>
        <w:numPr>
          <w:ilvl w:val="0"/>
          <w:numId w:val="37"/>
        </w:numPr>
        <w:spacing w:after="200"/>
        <w:jc w:val="left"/>
        <w:rPr>
          <w:sz w:val="20"/>
          <w:szCs w:val="20"/>
        </w:rPr>
      </w:pPr>
      <w:r w:rsidRPr="004653E7">
        <w:rPr>
          <w:sz w:val="20"/>
          <w:szCs w:val="20"/>
        </w:rPr>
        <w:t>explanatory notes, to</w:t>
      </w:r>
      <w:r w:rsidR="00BB49FB" w:rsidRPr="004653E7">
        <w:rPr>
          <w:sz w:val="20"/>
          <w:szCs w:val="20"/>
        </w:rPr>
        <w:t xml:space="preserve"> help</w:t>
      </w:r>
      <w:r w:rsidRPr="004653E7">
        <w:rPr>
          <w:sz w:val="20"/>
          <w:szCs w:val="20"/>
        </w:rPr>
        <w:t xml:space="preserve"> common understandings between accreditation assessment teams and providers </w:t>
      </w:r>
      <w:r w:rsidR="00F61445">
        <w:rPr>
          <w:sz w:val="20"/>
          <w:szCs w:val="20"/>
        </w:rPr>
        <w:t>about</w:t>
      </w:r>
      <w:r w:rsidRPr="004653E7">
        <w:rPr>
          <w:sz w:val="20"/>
          <w:szCs w:val="20"/>
        </w:rPr>
        <w:t xml:space="preserve"> the </w:t>
      </w:r>
      <w:r w:rsidR="00350A92" w:rsidRPr="004653E7">
        <w:rPr>
          <w:sz w:val="20"/>
          <w:szCs w:val="20"/>
        </w:rPr>
        <w:t>Accreditation Committee</w:t>
      </w:r>
      <w:r w:rsidRPr="004653E7">
        <w:rPr>
          <w:sz w:val="20"/>
          <w:szCs w:val="20"/>
        </w:rPr>
        <w:t>’s requirements</w:t>
      </w:r>
    </w:p>
    <w:p w14:paraId="6FCFAE9A" w14:textId="77777777" w:rsidR="002A24E3" w:rsidRPr="004653E7" w:rsidRDefault="002A24E3" w:rsidP="00C273CB">
      <w:pPr>
        <w:pStyle w:val="ListParagraph"/>
        <w:numPr>
          <w:ilvl w:val="0"/>
          <w:numId w:val="17"/>
        </w:numPr>
        <w:spacing w:after="200"/>
        <w:jc w:val="left"/>
        <w:rPr>
          <w:sz w:val="20"/>
          <w:szCs w:val="20"/>
        </w:rPr>
      </w:pPr>
      <w:r w:rsidRPr="004653E7">
        <w:rPr>
          <w:sz w:val="20"/>
          <w:szCs w:val="20"/>
        </w:rPr>
        <w:t xml:space="preserve">a </w:t>
      </w:r>
      <w:r w:rsidR="00414F37" w:rsidRPr="004653E7">
        <w:rPr>
          <w:sz w:val="20"/>
          <w:szCs w:val="20"/>
        </w:rPr>
        <w:t>g</w:t>
      </w:r>
      <w:r w:rsidRPr="004653E7">
        <w:rPr>
          <w:sz w:val="20"/>
          <w:szCs w:val="20"/>
        </w:rPr>
        <w:t>lossary of key terms used</w:t>
      </w:r>
      <w:r w:rsidR="00BB49FB" w:rsidRPr="004653E7">
        <w:rPr>
          <w:sz w:val="20"/>
          <w:szCs w:val="20"/>
        </w:rPr>
        <w:t>, and</w:t>
      </w:r>
    </w:p>
    <w:p w14:paraId="0D6A444E" w14:textId="77777777" w:rsidR="00545AEA" w:rsidRPr="004653E7" w:rsidRDefault="004B177B" w:rsidP="00C273CB">
      <w:pPr>
        <w:pStyle w:val="ListParagraph"/>
        <w:numPr>
          <w:ilvl w:val="0"/>
          <w:numId w:val="17"/>
        </w:numPr>
        <w:spacing w:after="200"/>
        <w:jc w:val="left"/>
        <w:rPr>
          <w:sz w:val="20"/>
          <w:szCs w:val="20"/>
        </w:rPr>
      </w:pPr>
      <w:r w:rsidRPr="004653E7">
        <w:rPr>
          <w:sz w:val="20"/>
          <w:szCs w:val="20"/>
        </w:rPr>
        <w:t xml:space="preserve">a </w:t>
      </w:r>
      <w:r w:rsidR="00545AEA" w:rsidRPr="004653E7">
        <w:rPr>
          <w:sz w:val="20"/>
          <w:szCs w:val="20"/>
        </w:rPr>
        <w:t>list of acronyms</w:t>
      </w:r>
      <w:r w:rsidR="00BB49FB" w:rsidRPr="004653E7">
        <w:rPr>
          <w:sz w:val="20"/>
          <w:szCs w:val="20"/>
        </w:rPr>
        <w:t>.</w:t>
      </w:r>
    </w:p>
    <w:p w14:paraId="40CB2FA4" w14:textId="6BDA39AF" w:rsidR="002A24E3" w:rsidRPr="004653E7" w:rsidRDefault="002A24E3" w:rsidP="009511AB">
      <w:pPr>
        <w:rPr>
          <w:rFonts w:ascii="Arial" w:hAnsi="Arial" w:cs="Arial"/>
          <w:sz w:val="20"/>
          <w:szCs w:val="20"/>
        </w:rPr>
      </w:pPr>
      <w:r w:rsidRPr="004653E7">
        <w:rPr>
          <w:rFonts w:ascii="Arial" w:hAnsi="Arial" w:cs="Arial"/>
          <w:sz w:val="20"/>
          <w:szCs w:val="20"/>
        </w:rPr>
        <w:t xml:space="preserve">Assessment teams and </w:t>
      </w:r>
      <w:r w:rsidR="004F712F" w:rsidRPr="004653E7">
        <w:rPr>
          <w:rFonts w:ascii="Arial" w:hAnsi="Arial" w:cs="Arial"/>
          <w:sz w:val="20"/>
          <w:szCs w:val="20"/>
        </w:rPr>
        <w:t xml:space="preserve">education </w:t>
      </w:r>
      <w:r w:rsidR="00E64973" w:rsidRPr="004653E7">
        <w:rPr>
          <w:rFonts w:ascii="Arial" w:hAnsi="Arial" w:cs="Arial"/>
          <w:sz w:val="20"/>
          <w:szCs w:val="20"/>
        </w:rPr>
        <w:t>providers</w:t>
      </w:r>
      <w:r w:rsidRPr="004653E7">
        <w:rPr>
          <w:rFonts w:ascii="Arial" w:hAnsi="Arial" w:cs="Arial"/>
          <w:sz w:val="20"/>
          <w:szCs w:val="20"/>
        </w:rPr>
        <w:t xml:space="preserve"> should also refer to the separate document </w:t>
      </w:r>
      <w:r w:rsidR="003D328F" w:rsidRPr="002163EC">
        <w:rPr>
          <w:rFonts w:ascii="Arial" w:hAnsi="Arial" w:cs="Arial"/>
          <w:i/>
          <w:sz w:val="20"/>
          <w:szCs w:val="20"/>
        </w:rPr>
        <w:t>Guidelines for accreditation and training programs</w:t>
      </w:r>
      <w:r w:rsidR="003D328F">
        <w:rPr>
          <w:rFonts w:ascii="Arial" w:hAnsi="Arial" w:cs="Arial"/>
          <w:sz w:val="20"/>
          <w:szCs w:val="20"/>
        </w:rPr>
        <w:t xml:space="preserve"> for </w:t>
      </w:r>
      <w:r w:rsidR="00F61445">
        <w:rPr>
          <w:rFonts w:ascii="Arial" w:hAnsi="Arial" w:cs="Arial"/>
          <w:sz w:val="20"/>
          <w:szCs w:val="20"/>
        </w:rPr>
        <w:t>information about</w:t>
      </w:r>
      <w:r w:rsidRPr="004653E7">
        <w:rPr>
          <w:rFonts w:ascii="Arial" w:hAnsi="Arial" w:cs="Arial"/>
          <w:sz w:val="20"/>
          <w:szCs w:val="20"/>
        </w:rPr>
        <w:t xml:space="preserve"> the accreditation processes and procedures used by the </w:t>
      </w:r>
      <w:r w:rsidR="00350A92" w:rsidRPr="004653E7">
        <w:rPr>
          <w:rFonts w:ascii="Arial" w:hAnsi="Arial" w:cs="Arial"/>
          <w:sz w:val="20"/>
          <w:szCs w:val="20"/>
        </w:rPr>
        <w:t>Accreditation Committee</w:t>
      </w:r>
      <w:r w:rsidRPr="004653E7">
        <w:rPr>
          <w:rFonts w:ascii="Arial" w:hAnsi="Arial" w:cs="Arial"/>
          <w:sz w:val="20"/>
          <w:szCs w:val="20"/>
        </w:rPr>
        <w:t xml:space="preserve"> to assess and monitor </w:t>
      </w:r>
      <w:r w:rsidR="00350A92" w:rsidRPr="004653E7">
        <w:rPr>
          <w:rFonts w:ascii="Arial" w:hAnsi="Arial" w:cs="Arial"/>
          <w:sz w:val="20"/>
          <w:szCs w:val="20"/>
        </w:rPr>
        <w:t>program</w:t>
      </w:r>
      <w:r w:rsidR="001B4E3E">
        <w:rPr>
          <w:rFonts w:ascii="Arial" w:hAnsi="Arial" w:cs="Arial"/>
          <w:sz w:val="20"/>
          <w:szCs w:val="20"/>
        </w:rPr>
        <w:t xml:space="preserve"> and units/subject</w:t>
      </w:r>
      <w:r w:rsidR="00350A92" w:rsidRPr="004653E7">
        <w:rPr>
          <w:rFonts w:ascii="Arial" w:hAnsi="Arial" w:cs="Arial"/>
          <w:sz w:val="20"/>
          <w:szCs w:val="20"/>
        </w:rPr>
        <w:t>s</w:t>
      </w:r>
      <w:r w:rsidRPr="004653E7">
        <w:rPr>
          <w:rFonts w:ascii="Arial" w:hAnsi="Arial" w:cs="Arial"/>
          <w:sz w:val="20"/>
          <w:szCs w:val="20"/>
        </w:rPr>
        <w:t xml:space="preserve"> against the </w:t>
      </w:r>
      <w:r w:rsidR="00381ED1" w:rsidRPr="004653E7">
        <w:rPr>
          <w:rFonts w:ascii="Arial" w:hAnsi="Arial" w:cs="Arial"/>
          <w:sz w:val="20"/>
          <w:szCs w:val="20"/>
        </w:rPr>
        <w:t xml:space="preserve">accreditation </w:t>
      </w:r>
      <w:r w:rsidRPr="004653E7">
        <w:rPr>
          <w:rFonts w:ascii="Arial" w:hAnsi="Arial" w:cs="Arial"/>
          <w:sz w:val="20"/>
          <w:szCs w:val="20"/>
        </w:rPr>
        <w:t>standards.</w:t>
      </w:r>
    </w:p>
    <w:p w14:paraId="0DBCD1BB" w14:textId="77777777" w:rsidR="000E235F" w:rsidRPr="002838B3" w:rsidRDefault="000E235F" w:rsidP="000E235F">
      <w:pPr>
        <w:pStyle w:val="Heading2"/>
        <w:spacing w:before="200" w:after="200"/>
        <w:rPr>
          <w:rFonts w:ascii="Arial" w:hAnsi="Arial"/>
          <w:i w:val="0"/>
          <w:color w:val="007DC3"/>
        </w:rPr>
      </w:pPr>
      <w:bookmarkStart w:id="3" w:name="_Toc55994907"/>
      <w:r w:rsidRPr="002838B3">
        <w:rPr>
          <w:rFonts w:ascii="Arial" w:hAnsi="Arial"/>
          <w:i w:val="0"/>
          <w:color w:val="007DC3"/>
        </w:rPr>
        <w:t>Overview of the Accreditation standards for Podiatry Scheduled Medicines education (2021)</w:t>
      </w:r>
    </w:p>
    <w:p w14:paraId="1FC6A849" w14:textId="71EF7EC4" w:rsidR="000E235F" w:rsidRDefault="000E235F" w:rsidP="000E235F">
      <w:pPr>
        <w:rPr>
          <w:rFonts w:ascii="Arial" w:hAnsi="Arial" w:cs="Arial"/>
          <w:sz w:val="20"/>
          <w:szCs w:val="20"/>
        </w:rPr>
      </w:pPr>
      <w:r w:rsidRPr="007A63A3">
        <w:rPr>
          <w:rFonts w:ascii="Arial" w:hAnsi="Arial" w:cs="Arial"/>
          <w:sz w:val="20"/>
          <w:szCs w:val="20"/>
        </w:rPr>
        <w:t>The</w:t>
      </w:r>
      <w:r>
        <w:rPr>
          <w:rFonts w:ascii="Arial" w:hAnsi="Arial" w:cs="Arial"/>
          <w:sz w:val="20"/>
          <w:szCs w:val="20"/>
        </w:rPr>
        <w:t xml:space="preserve"> </w:t>
      </w:r>
      <w:r w:rsidRPr="005F22D4">
        <w:rPr>
          <w:rFonts w:ascii="Arial" w:hAnsi="Arial" w:cs="Arial"/>
          <w:i/>
          <w:sz w:val="20"/>
          <w:szCs w:val="20"/>
        </w:rPr>
        <w:t>Accreditation Standards</w:t>
      </w:r>
      <w:r>
        <w:rPr>
          <w:rFonts w:ascii="Arial" w:hAnsi="Arial" w:cs="Arial"/>
          <w:i/>
          <w:sz w:val="20"/>
          <w:szCs w:val="20"/>
        </w:rPr>
        <w:t xml:space="preserve"> for </w:t>
      </w:r>
      <w:r w:rsidRPr="000E235F">
        <w:rPr>
          <w:rFonts w:ascii="Arial" w:hAnsi="Arial" w:cs="Arial"/>
          <w:i/>
          <w:sz w:val="20"/>
          <w:szCs w:val="20"/>
        </w:rPr>
        <w:t>registered podiatrists addressing requirements for endorsement of registration in relation to scheduled medicines (ESM programs)</w:t>
      </w:r>
      <w:r>
        <w:rPr>
          <w:rFonts w:ascii="Arial" w:hAnsi="Arial" w:cs="Arial"/>
          <w:i/>
          <w:sz w:val="20"/>
          <w:szCs w:val="20"/>
        </w:rPr>
        <w:t xml:space="preserve"> </w:t>
      </w:r>
      <w:r>
        <w:rPr>
          <w:rFonts w:ascii="Arial" w:hAnsi="Arial" w:cs="Arial"/>
          <w:sz w:val="20"/>
          <w:szCs w:val="20"/>
        </w:rPr>
        <w:t>(t</w:t>
      </w:r>
      <w:r w:rsidRPr="004653E7">
        <w:rPr>
          <w:rFonts w:ascii="Arial" w:hAnsi="Arial" w:cs="Arial"/>
          <w:sz w:val="20"/>
          <w:szCs w:val="20"/>
        </w:rPr>
        <w:t xml:space="preserve">he </w:t>
      </w:r>
      <w:r>
        <w:rPr>
          <w:rFonts w:ascii="Arial" w:hAnsi="Arial" w:cs="Arial"/>
          <w:sz w:val="20"/>
          <w:szCs w:val="20"/>
        </w:rPr>
        <w:t xml:space="preserve">ESM </w:t>
      </w:r>
      <w:r w:rsidRPr="004653E7">
        <w:rPr>
          <w:rFonts w:ascii="Arial" w:hAnsi="Arial" w:cs="Arial"/>
          <w:sz w:val="20"/>
          <w:szCs w:val="20"/>
        </w:rPr>
        <w:t>accreditation standards</w:t>
      </w:r>
      <w:r>
        <w:rPr>
          <w:rFonts w:ascii="Arial" w:hAnsi="Arial" w:cs="Arial"/>
          <w:sz w:val="20"/>
          <w:szCs w:val="20"/>
        </w:rPr>
        <w:t>)</w:t>
      </w:r>
      <w:r w:rsidRPr="004653E7">
        <w:rPr>
          <w:rFonts w:ascii="Arial" w:hAnsi="Arial" w:cs="Arial"/>
          <w:sz w:val="20"/>
          <w:szCs w:val="20"/>
        </w:rPr>
        <w:t xml:space="preserve"> recognise contemporary practice in standards development across Australia and internationally. </w:t>
      </w:r>
    </w:p>
    <w:p w14:paraId="2332B896" w14:textId="77777777" w:rsidR="000E235F" w:rsidRDefault="000E235F" w:rsidP="000E235F">
      <w:pPr>
        <w:rPr>
          <w:rFonts w:ascii="Arial" w:hAnsi="Arial" w:cs="Arial"/>
          <w:i/>
          <w:sz w:val="20"/>
          <w:szCs w:val="20"/>
        </w:rPr>
      </w:pPr>
    </w:p>
    <w:p w14:paraId="6BE01194" w14:textId="77777777" w:rsidR="000E235F" w:rsidRDefault="000E235F" w:rsidP="000E235F">
      <w:pPr>
        <w:rPr>
          <w:rFonts w:ascii="Arial" w:hAnsi="Arial" w:cs="Arial"/>
          <w:sz w:val="20"/>
          <w:szCs w:val="20"/>
        </w:rPr>
      </w:pPr>
      <w:r w:rsidRPr="004653E7">
        <w:rPr>
          <w:rFonts w:ascii="Arial" w:hAnsi="Arial" w:cs="Arial"/>
          <w:sz w:val="20"/>
          <w:szCs w:val="20"/>
        </w:rPr>
        <w:t>The accreditation standards in this document</w:t>
      </w:r>
      <w:r>
        <w:rPr>
          <w:rFonts w:ascii="Arial" w:hAnsi="Arial" w:cs="Arial"/>
          <w:sz w:val="20"/>
          <w:szCs w:val="20"/>
        </w:rPr>
        <w:t xml:space="preserve"> are </w:t>
      </w:r>
      <w:r w:rsidRPr="00684A14">
        <w:rPr>
          <w:rFonts w:ascii="Arial" w:hAnsi="Arial" w:cs="Arial"/>
          <w:sz w:val="20"/>
          <w:szCs w:val="20"/>
        </w:rPr>
        <w:t>limited to aspects of the</w:t>
      </w:r>
      <w:r w:rsidRPr="004653E7">
        <w:rPr>
          <w:rFonts w:ascii="Arial" w:hAnsi="Arial" w:cs="Arial"/>
          <w:sz w:val="20"/>
          <w:szCs w:val="20"/>
        </w:rPr>
        <w:t xml:space="preserve"> education provider</w:t>
      </w:r>
      <w:r>
        <w:rPr>
          <w:rFonts w:ascii="Arial" w:hAnsi="Arial" w:cs="Arial"/>
          <w:sz w:val="20"/>
          <w:szCs w:val="20"/>
        </w:rPr>
        <w:t xml:space="preserve"> and podiatry scheduled medicines education</w:t>
      </w:r>
      <w:r w:rsidRPr="004653E7">
        <w:rPr>
          <w:rFonts w:ascii="Arial" w:hAnsi="Arial" w:cs="Arial"/>
          <w:sz w:val="20"/>
          <w:szCs w:val="20"/>
        </w:rPr>
        <w:t xml:space="preserve"> that are directly related to </w:t>
      </w:r>
      <w:r>
        <w:rPr>
          <w:rFonts w:ascii="Arial" w:hAnsi="Arial" w:cs="Arial"/>
          <w:sz w:val="20"/>
          <w:szCs w:val="20"/>
        </w:rPr>
        <w:t xml:space="preserve">ensuring students have </w:t>
      </w:r>
      <w:r w:rsidRPr="007A63A3">
        <w:rPr>
          <w:rFonts w:ascii="Arial" w:hAnsi="Arial" w:cs="Arial"/>
          <w:sz w:val="20"/>
          <w:szCs w:val="20"/>
        </w:rPr>
        <w:t xml:space="preserve">the knowledge, skills and professional attributes needed to safely and competently </w:t>
      </w:r>
      <w:r w:rsidRPr="00386F4E">
        <w:rPr>
          <w:rFonts w:ascii="Arial" w:hAnsi="Arial" w:cs="Arial"/>
          <w:sz w:val="20"/>
          <w:szCs w:val="20"/>
        </w:rPr>
        <w:t>administer, obtain, possess, prescribe, sell, supply or use Schedule 2, 3, 4 or 8 medicines for the treatment of podiatric conditions</w:t>
      </w:r>
      <w:r>
        <w:rPr>
          <w:rFonts w:ascii="Arial" w:hAnsi="Arial" w:cs="Arial"/>
          <w:sz w:val="20"/>
          <w:szCs w:val="20"/>
        </w:rPr>
        <w:t xml:space="preserve">. </w:t>
      </w:r>
      <w:r w:rsidRPr="004653E7">
        <w:rPr>
          <w:rFonts w:ascii="Arial" w:hAnsi="Arial" w:cs="Arial"/>
          <w:sz w:val="20"/>
          <w:szCs w:val="20"/>
        </w:rPr>
        <w:t xml:space="preserve"> </w:t>
      </w:r>
    </w:p>
    <w:p w14:paraId="0E0F58B9" w14:textId="77777777" w:rsidR="000E235F" w:rsidRDefault="000E235F" w:rsidP="000E235F">
      <w:pPr>
        <w:rPr>
          <w:rFonts w:ascii="Arial" w:hAnsi="Arial" w:cs="Arial"/>
          <w:sz w:val="20"/>
          <w:szCs w:val="20"/>
        </w:rPr>
      </w:pPr>
    </w:p>
    <w:p w14:paraId="7DCB71B8" w14:textId="07FBD75E" w:rsidR="000E235F" w:rsidRPr="00FD63BF" w:rsidRDefault="000E235F" w:rsidP="000E235F">
      <w:pPr>
        <w:rPr>
          <w:rFonts w:ascii="Arial" w:hAnsi="Arial" w:cs="Arial"/>
          <w:sz w:val="20"/>
          <w:szCs w:val="20"/>
        </w:rPr>
      </w:pPr>
      <w:r>
        <w:rPr>
          <w:rFonts w:ascii="Arial" w:hAnsi="Arial" w:cs="Arial"/>
          <w:sz w:val="20"/>
          <w:szCs w:val="20"/>
        </w:rPr>
        <w:t xml:space="preserve">Podiatry </w:t>
      </w:r>
      <w:r w:rsidR="00037C9B">
        <w:rPr>
          <w:rFonts w:ascii="Arial" w:hAnsi="Arial" w:cs="Arial"/>
          <w:sz w:val="20"/>
          <w:szCs w:val="20"/>
        </w:rPr>
        <w:t>s</w:t>
      </w:r>
      <w:r>
        <w:rPr>
          <w:rFonts w:ascii="Arial" w:hAnsi="Arial" w:cs="Arial"/>
          <w:sz w:val="20"/>
          <w:szCs w:val="20"/>
        </w:rPr>
        <w:t xml:space="preserve">cheduled </w:t>
      </w:r>
      <w:r w:rsidR="00037C9B">
        <w:rPr>
          <w:rFonts w:ascii="Arial" w:hAnsi="Arial" w:cs="Arial"/>
          <w:sz w:val="20"/>
          <w:szCs w:val="20"/>
        </w:rPr>
        <w:t>m</w:t>
      </w:r>
      <w:r>
        <w:rPr>
          <w:rFonts w:ascii="Arial" w:hAnsi="Arial" w:cs="Arial"/>
          <w:sz w:val="20"/>
          <w:szCs w:val="20"/>
        </w:rPr>
        <w:t xml:space="preserve">edicines education programs will include units/subjects in podiatry prescribing and provide for the clinically supervised practice required for a podiatrist or podiatric surgeon to apply to have their registration endorsed for scheduled medicines. </w:t>
      </w:r>
      <w:r w:rsidRPr="004653E7">
        <w:rPr>
          <w:rFonts w:ascii="Arial" w:hAnsi="Arial" w:cs="Arial"/>
          <w:sz w:val="20"/>
          <w:szCs w:val="20"/>
        </w:rPr>
        <w:t>The focus is on</w:t>
      </w:r>
      <w:r>
        <w:rPr>
          <w:rFonts w:ascii="Arial" w:hAnsi="Arial" w:cs="Arial"/>
          <w:sz w:val="20"/>
          <w:szCs w:val="20"/>
        </w:rPr>
        <w:t xml:space="preserve"> demonstrating</w:t>
      </w:r>
      <w:r w:rsidRPr="004653E7">
        <w:rPr>
          <w:rFonts w:ascii="Arial" w:hAnsi="Arial" w:cs="Arial"/>
          <w:sz w:val="20"/>
          <w:szCs w:val="20"/>
        </w:rPr>
        <w:t xml:space="preserve"> that student learning outcomes and assessment tasks map to</w:t>
      </w:r>
      <w:r>
        <w:rPr>
          <w:rFonts w:ascii="Arial" w:hAnsi="Arial" w:cs="Arial"/>
          <w:sz w:val="20"/>
          <w:szCs w:val="20"/>
        </w:rPr>
        <w:t xml:space="preserve"> the relevant professional capabilities.</w:t>
      </w:r>
      <w:r w:rsidRPr="004653E7">
        <w:rPr>
          <w:rFonts w:ascii="Arial" w:hAnsi="Arial" w:cs="Arial"/>
          <w:sz w:val="20"/>
          <w:szCs w:val="20"/>
        </w:rPr>
        <w:t xml:space="preserve"> </w:t>
      </w:r>
    </w:p>
    <w:p w14:paraId="73C2553E" w14:textId="32FB33E6" w:rsidR="00C056EF" w:rsidRPr="002838B3" w:rsidRDefault="00C056EF" w:rsidP="002838B3">
      <w:pPr>
        <w:pStyle w:val="Heading2"/>
        <w:spacing w:before="200" w:after="200"/>
        <w:rPr>
          <w:rFonts w:ascii="Arial" w:hAnsi="Arial"/>
          <w:i w:val="0"/>
          <w:color w:val="007DC3"/>
        </w:rPr>
      </w:pPr>
      <w:r w:rsidRPr="002838B3">
        <w:rPr>
          <w:rFonts w:ascii="Arial" w:hAnsi="Arial"/>
          <w:i w:val="0"/>
          <w:color w:val="007DC3"/>
        </w:rPr>
        <w:t xml:space="preserve">Overview of </w:t>
      </w:r>
      <w:bookmarkStart w:id="4" w:name="_Hlk56507729"/>
      <w:r w:rsidRPr="002838B3">
        <w:rPr>
          <w:rFonts w:ascii="Arial" w:hAnsi="Arial"/>
          <w:i w:val="0"/>
          <w:color w:val="007DC3"/>
        </w:rPr>
        <w:t>endorsement for scheduled medicines</w:t>
      </w:r>
      <w:bookmarkEnd w:id="3"/>
      <w:r w:rsidRPr="002838B3">
        <w:rPr>
          <w:rFonts w:ascii="Arial" w:hAnsi="Arial"/>
          <w:i w:val="0"/>
          <w:color w:val="007DC3"/>
        </w:rPr>
        <w:t xml:space="preserve">  </w:t>
      </w:r>
      <w:bookmarkEnd w:id="4"/>
    </w:p>
    <w:p w14:paraId="680D9AC6" w14:textId="77777777" w:rsidR="00AF43D5" w:rsidRDefault="00AF43D5" w:rsidP="00AF43D5">
      <w:pPr>
        <w:pStyle w:val="AHPRAbody"/>
      </w:pPr>
      <w:r w:rsidRPr="00E97DD4">
        <w:rPr>
          <w:szCs w:val="20"/>
        </w:rPr>
        <w:t xml:space="preserve">Endorsement of registration identifies practitioners with additional qualifications and specific expertise. </w:t>
      </w:r>
      <w:r>
        <w:t xml:space="preserve">A podiatrist or podiatric surgeon whose registration is endorsed for scheduled medicines under section 94 of the National Law is qualified to administer, obtain, possess, prescribe, sell, supply or use Schedule 2, 3, 4 or 8 medicines for the treatment of podiatric conditions, as listed in the </w:t>
      </w:r>
      <w:r w:rsidRPr="00AC3BA9">
        <w:rPr>
          <w:i/>
        </w:rPr>
        <w:t xml:space="preserve">National podiatry scheduled </w:t>
      </w:r>
      <w:r w:rsidRPr="00AC3BA9">
        <w:rPr>
          <w:i/>
        </w:rPr>
        <w:lastRenderedPageBreak/>
        <w:t>medicines list</w:t>
      </w:r>
      <w:r>
        <w:rPr>
          <w:rStyle w:val="FootnoteReference"/>
        </w:rPr>
        <w:footnoteReference w:id="1"/>
      </w:r>
      <w:r>
        <w:t xml:space="preserve"> and </w:t>
      </w:r>
      <w:r w:rsidRPr="00DA33B4">
        <w:t xml:space="preserve">in accordance with the relevant legislation and regulations in each state or territory in which they are practising. </w:t>
      </w:r>
    </w:p>
    <w:p w14:paraId="6CF7998F" w14:textId="4235D3F3" w:rsidR="00AF43D5" w:rsidRDefault="00AF43D5" w:rsidP="00AF43D5">
      <w:pPr>
        <w:pStyle w:val="AHPRAbody"/>
      </w:pPr>
      <w:r>
        <w:t xml:space="preserve">In 2018, following approval from the then COAG Health Council, the Podiatry Board of Australia introduced a revised registration standard and guidelines for the endorsement </w:t>
      </w:r>
      <w:r w:rsidR="00250A62">
        <w:t>for</w:t>
      </w:r>
      <w:r>
        <w:t xml:space="preserve"> scheduled medicines (ESM registration standard). The ESM registration standard describes the Board’s minimum requirements for a podiatrist or podiatric surgeon to have their registration endorsed for scheduled medicines.</w:t>
      </w:r>
      <w:r>
        <w:rPr>
          <w:rStyle w:val="FootnoteReference"/>
        </w:rPr>
        <w:footnoteReference w:id="2"/>
      </w:r>
    </w:p>
    <w:p w14:paraId="12959451" w14:textId="77777777" w:rsidR="00AF43D5" w:rsidRDefault="00AF43D5" w:rsidP="00AF43D5">
      <w:pPr>
        <w:pStyle w:val="AHPRAbody"/>
      </w:pPr>
      <w:r>
        <w:t>The registration standard outlines two pathways for endorsement</w:t>
      </w:r>
      <w:r>
        <w:rPr>
          <w:szCs w:val="20"/>
        </w:rPr>
        <w:t>:</w:t>
      </w:r>
    </w:p>
    <w:p w14:paraId="0F67A5D8" w14:textId="77777777" w:rsidR="00AF43D5" w:rsidRDefault="00AF43D5" w:rsidP="00AF43D5">
      <w:pPr>
        <w:pStyle w:val="AHPRAbody"/>
        <w:numPr>
          <w:ilvl w:val="0"/>
          <w:numId w:val="54"/>
        </w:numPr>
        <w:rPr>
          <w:szCs w:val="20"/>
        </w:rPr>
      </w:pPr>
      <w:r>
        <w:rPr>
          <w:szCs w:val="20"/>
        </w:rPr>
        <w:t xml:space="preserve">Pathway A: Approved Qualification Pathway </w:t>
      </w:r>
      <w:r>
        <w:rPr>
          <w:b/>
          <w:szCs w:val="20"/>
        </w:rPr>
        <w:t>or</w:t>
      </w:r>
      <w:r>
        <w:rPr>
          <w:szCs w:val="20"/>
        </w:rPr>
        <w:t xml:space="preserve"> </w:t>
      </w:r>
    </w:p>
    <w:p w14:paraId="16520EB6" w14:textId="77777777" w:rsidR="00AF43D5" w:rsidRDefault="00AF43D5" w:rsidP="00AF43D5">
      <w:pPr>
        <w:pStyle w:val="AHPRAbody"/>
        <w:numPr>
          <w:ilvl w:val="0"/>
          <w:numId w:val="54"/>
        </w:numPr>
        <w:rPr>
          <w:szCs w:val="20"/>
        </w:rPr>
      </w:pPr>
      <w:r>
        <w:rPr>
          <w:szCs w:val="20"/>
        </w:rPr>
        <w:t xml:space="preserve">Pathway B: Supervised Practice Pathway under the Board’s </w:t>
      </w:r>
      <w:r>
        <w:rPr>
          <w:i/>
          <w:szCs w:val="20"/>
        </w:rPr>
        <w:t>Registration Standards: Endorsement for scheduled medicines</w:t>
      </w:r>
      <w:r>
        <w:rPr>
          <w:rStyle w:val="FootnoteReference"/>
          <w:szCs w:val="20"/>
        </w:rPr>
        <w:footnoteReference w:id="3"/>
      </w:r>
      <w:r>
        <w:rPr>
          <w:szCs w:val="20"/>
        </w:rPr>
        <w:t xml:space="preserve">. </w:t>
      </w:r>
    </w:p>
    <w:p w14:paraId="650B1B48" w14:textId="77777777" w:rsidR="00AF43D5" w:rsidRDefault="00AF43D5" w:rsidP="00AF43D5">
      <w:pPr>
        <w:pStyle w:val="AHPRASubheading"/>
      </w:pPr>
      <w:r>
        <w:t>Pathway A: Approved qualification pathway</w:t>
      </w:r>
    </w:p>
    <w:p w14:paraId="762277B6" w14:textId="62738A7C" w:rsidR="00AF43D5" w:rsidRDefault="00AF43D5" w:rsidP="00AF43D5">
      <w:pPr>
        <w:pStyle w:val="AHPRAbody"/>
      </w:pPr>
      <w:r>
        <w:t xml:space="preserve">Under Pathway A, a podiatrist or podiatric surgeon is qualified for endorsement after completing a qualification that is approved by the Board for the endorsement </w:t>
      </w:r>
      <w:r w:rsidR="00250A62">
        <w:t>for</w:t>
      </w:r>
      <w:r>
        <w:t xml:space="preserve"> scheduled medicines (or another qualification that the Board deems to be substantially equivalent to, or based on similar competencies to, an approved qualification in endorsement for scheduled medicines). </w:t>
      </w:r>
    </w:p>
    <w:p w14:paraId="23578A2A" w14:textId="77B0B6E5" w:rsidR="00AF43D5" w:rsidRDefault="00AF43D5" w:rsidP="00AF43D5">
      <w:pPr>
        <w:pStyle w:val="AHPRAbody"/>
      </w:pPr>
      <w:r>
        <w:t xml:space="preserve">Pathway A is shown in Figure </w:t>
      </w:r>
      <w:r w:rsidR="00AB7C52">
        <w:t>1</w:t>
      </w:r>
      <w:r>
        <w:t xml:space="preserve"> below.</w:t>
      </w:r>
    </w:p>
    <w:p w14:paraId="705C2946" w14:textId="3D049521" w:rsidR="00AF43D5" w:rsidRDefault="00AF43D5" w:rsidP="00AF43D5">
      <w:pPr>
        <w:pStyle w:val="AHPRASubheadinglevel3"/>
        <w:rPr>
          <w:sz w:val="18"/>
        </w:rPr>
      </w:pPr>
      <w:r>
        <w:rPr>
          <w:sz w:val="18"/>
        </w:rPr>
        <w:t xml:space="preserve">Figure </w:t>
      </w:r>
      <w:r w:rsidR="00AB7C52">
        <w:rPr>
          <w:sz w:val="18"/>
        </w:rPr>
        <w:t>1</w:t>
      </w:r>
      <w:r>
        <w:rPr>
          <w:sz w:val="18"/>
        </w:rPr>
        <w:t xml:space="preserve">: Pathway A to endorsement for scheduled medicines </w:t>
      </w:r>
    </w:p>
    <w:p w14:paraId="1AA84F3A" w14:textId="77777777" w:rsidR="00AF43D5" w:rsidRDefault="00AF43D5" w:rsidP="00AF43D5">
      <w:pPr>
        <w:pStyle w:val="AHPRAbody"/>
        <w:rPr>
          <w:szCs w:val="20"/>
        </w:rPr>
      </w:pPr>
      <w:r>
        <w:rPr>
          <w:noProof/>
        </w:rPr>
        <w:drawing>
          <wp:inline distT="0" distB="0" distL="0" distR="0" wp14:anchorId="2F6E1B61" wp14:editId="2E1D22CB">
            <wp:extent cx="5562600" cy="1314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l="4668" t="23280" r="33932" b="54546"/>
                    <a:stretch>
                      <a:fillRect/>
                    </a:stretch>
                  </pic:blipFill>
                  <pic:spPr bwMode="auto">
                    <a:xfrm>
                      <a:off x="0" y="0"/>
                      <a:ext cx="5562600" cy="1314450"/>
                    </a:xfrm>
                    <a:prstGeom prst="rect">
                      <a:avLst/>
                    </a:prstGeom>
                    <a:noFill/>
                    <a:ln>
                      <a:noFill/>
                    </a:ln>
                  </pic:spPr>
                </pic:pic>
              </a:graphicData>
            </a:graphic>
          </wp:inline>
        </w:drawing>
      </w:r>
    </w:p>
    <w:p w14:paraId="45F43405" w14:textId="77777777" w:rsidR="00AF43D5" w:rsidRDefault="00AF43D5" w:rsidP="00AF43D5">
      <w:pPr>
        <w:pStyle w:val="AHPRASubheading"/>
      </w:pPr>
      <w:r>
        <w:t xml:space="preserve">Pathway B: Supervised practice pathway </w:t>
      </w:r>
    </w:p>
    <w:p w14:paraId="447C7663" w14:textId="7C5D6DC3" w:rsidR="00AF43D5" w:rsidRDefault="00AF43D5" w:rsidP="00AF43D5">
      <w:pPr>
        <w:pStyle w:val="AHPRAbody"/>
      </w:pPr>
      <w:r>
        <w:t xml:space="preserve">Under Pathway B, a podiatrist or podiatric surgeon is eligible for endorsement </w:t>
      </w:r>
      <w:r w:rsidR="00250A62">
        <w:t>for</w:t>
      </w:r>
      <w:r>
        <w:t xml:space="preserve"> scheduled medicines after completing an approved qualification in podiatric therapeutics (or another qualification that the Board deems to be substantially equivalent to, or based on similar competencies to, an approved qualification in podiatric therapeutics) </w:t>
      </w:r>
      <w:r w:rsidRPr="00032856">
        <w:rPr>
          <w:b/>
        </w:rPr>
        <w:t>and</w:t>
      </w:r>
      <w:r>
        <w:t xml:space="preserve"> undertaking additional requirements as outlined in the Board’s </w:t>
      </w:r>
      <w:r w:rsidRPr="00962319">
        <w:rPr>
          <w:i/>
        </w:rPr>
        <w:t>Guidelines: Endorsement for Scheduled Medicines</w:t>
      </w:r>
      <w:r>
        <w:t xml:space="preserve"> and </w:t>
      </w:r>
      <w:r w:rsidRPr="00962319">
        <w:rPr>
          <w:i/>
        </w:rPr>
        <w:t>Registration Standard: Endorsement for Scheduled Medicines</w:t>
      </w:r>
      <w:r>
        <w:rPr>
          <w:rStyle w:val="FootnoteReference"/>
          <w:i/>
        </w:rPr>
        <w:footnoteReference w:id="4"/>
      </w:r>
      <w:r>
        <w:t xml:space="preserve">. </w:t>
      </w:r>
    </w:p>
    <w:p w14:paraId="75D6943F" w14:textId="77777777" w:rsidR="00AF43D5" w:rsidRDefault="00AF43D5" w:rsidP="00AF43D5">
      <w:pPr>
        <w:pStyle w:val="AHPRAbody"/>
      </w:pPr>
      <w:r>
        <w:lastRenderedPageBreak/>
        <w:t xml:space="preserve">The additional requirements in the Board’s </w:t>
      </w:r>
      <w:r>
        <w:rPr>
          <w:i/>
        </w:rPr>
        <w:t>Guidelines: Endorsement for Scheduled Medicines</w:t>
      </w:r>
      <w:r>
        <w:t xml:space="preserve"> are: </w:t>
      </w:r>
    </w:p>
    <w:p w14:paraId="44021E63" w14:textId="77777777" w:rsidR="00AF43D5" w:rsidRDefault="00AF43D5" w:rsidP="00AF43D5">
      <w:pPr>
        <w:pStyle w:val="AHPRAbody"/>
        <w:numPr>
          <w:ilvl w:val="0"/>
          <w:numId w:val="55"/>
        </w:numPr>
      </w:pPr>
      <w:r>
        <w:t xml:space="preserve">successful completion of approved online case studies, </w:t>
      </w:r>
    </w:p>
    <w:p w14:paraId="20548C37" w14:textId="77777777" w:rsidR="00AF43D5" w:rsidRDefault="00AF43D5" w:rsidP="00AF43D5">
      <w:pPr>
        <w:pStyle w:val="AHPRAbody"/>
        <w:numPr>
          <w:ilvl w:val="0"/>
          <w:numId w:val="55"/>
        </w:numPr>
      </w:pPr>
      <w:r>
        <w:t xml:space="preserve">a period of supervised practice, and </w:t>
      </w:r>
    </w:p>
    <w:p w14:paraId="6693E20F" w14:textId="77777777" w:rsidR="00AF43D5" w:rsidRDefault="00AF43D5" w:rsidP="00AF43D5">
      <w:pPr>
        <w:pStyle w:val="AHPRAbody"/>
        <w:numPr>
          <w:ilvl w:val="0"/>
          <w:numId w:val="55"/>
        </w:numPr>
      </w:pPr>
      <w:r>
        <w:t xml:space="preserve">development of a portfolio of evidence for assessment by the Board. </w:t>
      </w:r>
    </w:p>
    <w:p w14:paraId="52544F9C" w14:textId="09767D2B" w:rsidR="00AF43D5" w:rsidRDefault="00AF43D5" w:rsidP="00AF43D5">
      <w:pPr>
        <w:pStyle w:val="AHPRAbody"/>
      </w:pPr>
      <w:r>
        <w:t xml:space="preserve">Pathway B is shown in Figure </w:t>
      </w:r>
      <w:r w:rsidR="00AB7C52">
        <w:t>2</w:t>
      </w:r>
      <w:r>
        <w:t xml:space="preserve"> below.</w:t>
      </w:r>
    </w:p>
    <w:p w14:paraId="077EFEAC" w14:textId="720DFB2F" w:rsidR="00AF43D5" w:rsidRDefault="00AF43D5" w:rsidP="00AF43D5">
      <w:pPr>
        <w:pStyle w:val="AHPRASubheadinglevel3"/>
        <w:rPr>
          <w:sz w:val="18"/>
        </w:rPr>
      </w:pPr>
      <w:r>
        <w:rPr>
          <w:sz w:val="18"/>
        </w:rPr>
        <w:t xml:space="preserve">Figure </w:t>
      </w:r>
      <w:r w:rsidR="00AB7C52">
        <w:rPr>
          <w:sz w:val="18"/>
        </w:rPr>
        <w:t>2</w:t>
      </w:r>
      <w:r>
        <w:rPr>
          <w:sz w:val="18"/>
        </w:rPr>
        <w:t>: Pathway B to endorsement for scheduled medicines</w:t>
      </w:r>
      <w:r>
        <w:rPr>
          <w:rStyle w:val="FootnoteReference"/>
        </w:rPr>
        <w:footnoteReference w:id="5"/>
      </w:r>
      <w:r>
        <w:rPr>
          <w:sz w:val="18"/>
        </w:rPr>
        <w:t xml:space="preserve"> </w:t>
      </w:r>
    </w:p>
    <w:p w14:paraId="2DFCCEA6" w14:textId="77777777" w:rsidR="00AF43D5" w:rsidRDefault="00AF43D5" w:rsidP="00AF43D5">
      <w:pPr>
        <w:pStyle w:val="AHPRAbody"/>
      </w:pPr>
      <w:r>
        <w:rPr>
          <w:noProof/>
        </w:rPr>
        <w:drawing>
          <wp:inline distT="0" distB="0" distL="0" distR="0" wp14:anchorId="2ECC9552" wp14:editId="798940E1">
            <wp:extent cx="5943600" cy="17462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l="4668" t="47917" b="9212"/>
                    <a:stretch>
                      <a:fillRect/>
                    </a:stretch>
                  </pic:blipFill>
                  <pic:spPr bwMode="auto">
                    <a:xfrm>
                      <a:off x="0" y="0"/>
                      <a:ext cx="5943600" cy="1746250"/>
                    </a:xfrm>
                    <a:prstGeom prst="rect">
                      <a:avLst/>
                    </a:prstGeom>
                    <a:noFill/>
                    <a:ln>
                      <a:noFill/>
                    </a:ln>
                  </pic:spPr>
                </pic:pic>
              </a:graphicData>
            </a:graphic>
          </wp:inline>
        </w:drawing>
      </w:r>
    </w:p>
    <w:p w14:paraId="569078B1" w14:textId="77777777" w:rsidR="00AF43D5" w:rsidRPr="008A6CED" w:rsidRDefault="00AF43D5" w:rsidP="00AF43D5">
      <w:pPr>
        <w:pStyle w:val="AHPRASubheading"/>
      </w:pPr>
      <w:r w:rsidRPr="008A6CED">
        <w:t xml:space="preserve">Accreditation decisions </w:t>
      </w:r>
    </w:p>
    <w:p w14:paraId="7F72F597" w14:textId="77777777" w:rsidR="00AF43D5" w:rsidRDefault="00AF43D5" w:rsidP="00AF43D5">
      <w:pPr>
        <w:pStyle w:val="AHPRAbody"/>
        <w:rPr>
          <w:szCs w:val="20"/>
        </w:rPr>
      </w:pPr>
      <w:r w:rsidRPr="00475851">
        <w:t xml:space="preserve">The Accreditation Committee assesses whether programs of study and education providers are meeting the accreditation standards and decides </w:t>
      </w:r>
      <w:proofErr w:type="gramStart"/>
      <w:r w:rsidRPr="00475851">
        <w:t>whether or not</w:t>
      </w:r>
      <w:proofErr w:type="gramEnd"/>
      <w:r w:rsidRPr="00475851">
        <w:t xml:space="preserve"> to accredit </w:t>
      </w:r>
      <w:r>
        <w:t xml:space="preserve">the </w:t>
      </w:r>
      <w:r w:rsidRPr="00475851">
        <w:t xml:space="preserve">program. </w:t>
      </w:r>
      <w:r w:rsidRPr="004653E7">
        <w:t>The Accreditation Committee accredits programs that meet</w:t>
      </w:r>
      <w:r>
        <w:t xml:space="preserve"> the accreditation standards. It also </w:t>
      </w:r>
      <w:r w:rsidRPr="004653E7">
        <w:t>monitors</w:t>
      </w:r>
      <w:r>
        <w:t xml:space="preserve"> accredited</w:t>
      </w:r>
      <w:r w:rsidRPr="004653E7">
        <w:t xml:space="preserve"> programs to ensure they continue to meet the accreditation standards</w:t>
      </w:r>
      <w:r>
        <w:t>.</w:t>
      </w:r>
      <w:r w:rsidRPr="004653E7">
        <w:t xml:space="preserve"> </w:t>
      </w:r>
      <w:r w:rsidRPr="00475851">
        <w:t>The Board considers the Accreditation Committee’s decision</w:t>
      </w:r>
      <w:r>
        <w:t>s</w:t>
      </w:r>
      <w:r w:rsidRPr="00475851">
        <w:t xml:space="preserve"> and decides </w:t>
      </w:r>
      <w:proofErr w:type="gramStart"/>
      <w:r w:rsidRPr="00475851">
        <w:t>whether or not</w:t>
      </w:r>
      <w:proofErr w:type="gramEnd"/>
      <w:r w:rsidRPr="00475851">
        <w:t xml:space="preserve"> to approve</w:t>
      </w:r>
      <w:r>
        <w:t xml:space="preserve"> </w:t>
      </w:r>
      <w:r w:rsidRPr="00475851">
        <w:t>accredited program</w:t>
      </w:r>
      <w:r>
        <w:t>s</w:t>
      </w:r>
      <w:r w:rsidRPr="00475851">
        <w:t xml:space="preserve"> as </w:t>
      </w:r>
      <w:r>
        <w:t xml:space="preserve">providing </w:t>
      </w:r>
      <w:r w:rsidRPr="00475851">
        <w:t>qualification</w:t>
      </w:r>
      <w:r>
        <w:t>s</w:t>
      </w:r>
      <w:r w:rsidRPr="00475851">
        <w:t xml:space="preserve"> for registration.</w:t>
      </w:r>
      <w:r>
        <w:t xml:space="preserve"> </w:t>
      </w:r>
    </w:p>
    <w:p w14:paraId="78449325" w14:textId="77777777" w:rsidR="00AF43D5" w:rsidRDefault="00AF43D5" w:rsidP="00AF43D5">
      <w:pPr>
        <w:pStyle w:val="AHPRAbody"/>
      </w:pPr>
      <w:r>
        <w:t>When the Accreditation Committee reports on its accreditation decision to the Board under section 48 of the National Law, it will identify if, in addition to addressing professional capabilities for general registration as a podiatrist or specialist registration as a podiatric surgeon, the accredited program:</w:t>
      </w:r>
    </w:p>
    <w:p w14:paraId="79CDE4DB" w14:textId="77777777" w:rsidR="00AF43D5" w:rsidRDefault="00AF43D5" w:rsidP="00AF43D5">
      <w:pPr>
        <w:pStyle w:val="AHPRAbody"/>
        <w:numPr>
          <w:ilvl w:val="0"/>
          <w:numId w:val="70"/>
        </w:numPr>
        <w:ind w:left="426" w:hanging="426"/>
      </w:pPr>
      <w:r>
        <w:t xml:space="preserve">included education in podiatric therapeutics that covers the theoretical foundation for endorsement to </w:t>
      </w:r>
      <w:r w:rsidRPr="00392BE0">
        <w:t>ensure graduates can safely and competently commence their supervised practice</w:t>
      </w:r>
      <w:r>
        <w:t xml:space="preserve"> for Pathway B of the ESM registration standard</w:t>
      </w:r>
    </w:p>
    <w:p w14:paraId="6AD18D7B" w14:textId="77777777" w:rsidR="00AF43D5" w:rsidRDefault="00AF43D5" w:rsidP="00AF43D5">
      <w:pPr>
        <w:pStyle w:val="AHPRAbody"/>
        <w:numPr>
          <w:ilvl w:val="0"/>
          <w:numId w:val="70"/>
        </w:numPr>
        <w:ind w:left="426" w:hanging="426"/>
      </w:pPr>
      <w:r>
        <w:t xml:space="preserve">included </w:t>
      </w:r>
      <w:r w:rsidRPr="00392BE0">
        <w:t>education and training in podiatric therapeutics and clinically-supervised practice</w:t>
      </w:r>
      <w:r>
        <w:t xml:space="preserve"> </w:t>
      </w:r>
      <w:r w:rsidRPr="00392BE0">
        <w:t xml:space="preserve">to ensure that graduates have the professional capabilities required to administer, obtain, possess, prescribe, sell, supply or use Schedule 2, 3, 4 or 8 medicines for the treatment of podiatric conditions, as listed in the </w:t>
      </w:r>
      <w:r w:rsidRPr="00392BE0">
        <w:rPr>
          <w:i/>
        </w:rPr>
        <w:t>National podiatry scheduled medicines list</w:t>
      </w:r>
      <w:r w:rsidRPr="00392BE0">
        <w:t>.</w:t>
      </w:r>
    </w:p>
    <w:p w14:paraId="042DA57E" w14:textId="77777777" w:rsidR="00AF43D5" w:rsidRDefault="00AF43D5" w:rsidP="00AF43D5">
      <w:pPr>
        <w:pStyle w:val="AHPRASubheading"/>
      </w:pPr>
      <w:r>
        <w:t xml:space="preserve">Options for education providers </w:t>
      </w:r>
    </w:p>
    <w:p w14:paraId="66328559" w14:textId="77777777" w:rsidR="00AF43D5" w:rsidRDefault="00AF43D5" w:rsidP="00AF43D5">
      <w:pPr>
        <w:pStyle w:val="AHPRAbody"/>
      </w:pPr>
      <w:r>
        <w:t>P</w:t>
      </w:r>
      <w:r w:rsidRPr="00392BE0">
        <w:t>odiatrists and podiatric surgeons who</w:t>
      </w:r>
      <w:r>
        <w:t xml:space="preserve"> meet the Board’s requirements for </w:t>
      </w:r>
      <w:r w:rsidRPr="00392BE0">
        <w:t xml:space="preserve">endorsement of their registration </w:t>
      </w:r>
      <w:r>
        <w:t xml:space="preserve">in relation to scheduled medicine </w:t>
      </w:r>
      <w:r w:rsidRPr="00392BE0">
        <w:t>currently do so via Pathway B</w:t>
      </w:r>
      <w:r>
        <w:t xml:space="preserve"> because there are not yet any approved qualifications for Pathway A</w:t>
      </w:r>
      <w:r w:rsidRPr="00392BE0">
        <w:t>.</w:t>
      </w:r>
      <w:r>
        <w:t xml:space="preserve"> </w:t>
      </w:r>
    </w:p>
    <w:p w14:paraId="3B329879" w14:textId="77777777" w:rsidR="00AF43D5" w:rsidRDefault="00AF43D5" w:rsidP="00AF43D5">
      <w:pPr>
        <w:pStyle w:val="AHPRAbody"/>
      </w:pPr>
      <w:r>
        <w:lastRenderedPageBreak/>
        <w:t>The proposed accreditation standards are designed to provide an option for education providers to seek accreditation of programs they want the Board to approve as providing qualifications for Pathway A. The Board may approve a</w:t>
      </w:r>
      <w:r w:rsidRPr="00392BE0">
        <w:t xml:space="preserve"> </w:t>
      </w:r>
      <w:r>
        <w:t xml:space="preserve">program as providing a </w:t>
      </w:r>
      <w:r w:rsidRPr="00392BE0">
        <w:t xml:space="preserve">qualification </w:t>
      </w:r>
      <w:r>
        <w:t>suitable for Pathway A</w:t>
      </w:r>
      <w:r w:rsidRPr="00392BE0">
        <w:t xml:space="preserve"> </w:t>
      </w:r>
      <w:r>
        <w:t xml:space="preserve">if the Accreditation Committee advises the Board that the curriculum includes </w:t>
      </w:r>
      <w:r w:rsidRPr="00392BE0">
        <w:t xml:space="preserve">education and training in podiatric therapeutics and clinically-supervised practice to ensure that graduates have the professional capabilities required to administer, obtain, possess, prescribe, sell, supply or use Schedule 2, 3, 4 or 8 medicines for the treatment of podiatric conditions, as listed in the </w:t>
      </w:r>
      <w:r w:rsidRPr="00392BE0">
        <w:rPr>
          <w:i/>
        </w:rPr>
        <w:t>National podiatry scheduled medicines list</w:t>
      </w:r>
      <w:r w:rsidRPr="00392BE0">
        <w:t xml:space="preserve">. </w:t>
      </w:r>
    </w:p>
    <w:p w14:paraId="1F103E70" w14:textId="77777777" w:rsidR="00AF43D5" w:rsidRDefault="00AF43D5" w:rsidP="00AF43D5">
      <w:pPr>
        <w:pStyle w:val="AHPRAbody"/>
      </w:pPr>
      <w:r>
        <w:t>Education providers also have the option to seek accreditation of programs they want the Board to approve as providing qualifications for Pathway B. The Board may approve a</w:t>
      </w:r>
      <w:r w:rsidRPr="00392BE0">
        <w:t xml:space="preserve"> </w:t>
      </w:r>
      <w:r>
        <w:t xml:space="preserve">program as providing a </w:t>
      </w:r>
      <w:r w:rsidRPr="00392BE0">
        <w:t xml:space="preserve">qualification </w:t>
      </w:r>
      <w:r>
        <w:t>in podiatric therapeutics suitable for Pathway B</w:t>
      </w:r>
      <w:r w:rsidRPr="00392BE0">
        <w:t xml:space="preserve"> </w:t>
      </w:r>
      <w:r>
        <w:t xml:space="preserve">if the Accreditation Committee advises the Board that the curriculum includes learning and assessment of </w:t>
      </w:r>
      <w:r w:rsidRPr="00392BE0">
        <w:t xml:space="preserve">the theoretical foundation </w:t>
      </w:r>
      <w:r>
        <w:t xml:space="preserve">for endorsement to </w:t>
      </w:r>
      <w:r w:rsidRPr="00392BE0">
        <w:t>ensure graduates can safely and competently commence their supervised practice</w:t>
      </w:r>
      <w:r>
        <w:t xml:space="preserve">. </w:t>
      </w:r>
    </w:p>
    <w:p w14:paraId="4D38186B" w14:textId="77777777" w:rsidR="00AF43D5" w:rsidRDefault="00AF43D5" w:rsidP="00AF43D5">
      <w:pPr>
        <w:pStyle w:val="AHPRAbody"/>
      </w:pPr>
      <w:r>
        <w:t>Education provides may also seek accreditation of programs they want the Board to approve as providing qualifications for general registration as a podiatrist or specialist registration as a podiatric surgeon. The Board may approve a</w:t>
      </w:r>
      <w:r w:rsidRPr="00392BE0">
        <w:t xml:space="preserve"> </w:t>
      </w:r>
      <w:r>
        <w:t xml:space="preserve">program as providing a </w:t>
      </w:r>
      <w:r w:rsidRPr="00392BE0">
        <w:t xml:space="preserve">qualification </w:t>
      </w:r>
      <w:r>
        <w:t>suitable for general registration as a podiatrist or for specialist registration as a podiatric surgeon</w:t>
      </w:r>
      <w:r w:rsidRPr="00392BE0">
        <w:t xml:space="preserve"> </w:t>
      </w:r>
      <w:r>
        <w:t xml:space="preserve">if the Accreditation Committee advises the Board that the curriculum includes learning and assessment of </w:t>
      </w:r>
      <w:r w:rsidRPr="00392BE0">
        <w:t xml:space="preserve">the </w:t>
      </w:r>
      <w:r>
        <w:t>relevant professional capabilities.</w:t>
      </w:r>
    </w:p>
    <w:p w14:paraId="7C0D9084" w14:textId="6084A7EF" w:rsidR="00AF43D5" w:rsidRPr="009A4C19" w:rsidRDefault="00AF43D5" w:rsidP="00AF43D5">
      <w:pPr>
        <w:pStyle w:val="AHPRAbody"/>
        <w:rPr>
          <w:szCs w:val="20"/>
        </w:rPr>
      </w:pPr>
      <w:r>
        <w:rPr>
          <w:b/>
        </w:rPr>
        <w:t xml:space="preserve">The accreditation standards in this document will be used to assess education programs designed for registered podiatrists and registered podiatric surgeons to meet the qualification aspect of the Board’s requirements for endorsement for scheduled medicines under Pathway A. </w:t>
      </w:r>
      <w:r>
        <w:rPr>
          <w:szCs w:val="20"/>
        </w:rPr>
        <w:t xml:space="preserve"> </w:t>
      </w:r>
    </w:p>
    <w:p w14:paraId="3418D36B" w14:textId="67CE0FD4" w:rsidR="00AF43D5" w:rsidRPr="00475851" w:rsidRDefault="00AF43D5" w:rsidP="00AF43D5">
      <w:pPr>
        <w:pStyle w:val="AHPRAbody"/>
      </w:pPr>
      <w:r w:rsidRPr="002838B3">
        <w:t xml:space="preserve">Accreditation of programs  leading to approved qualifications for endorsement </w:t>
      </w:r>
      <w:r w:rsidR="00250A62">
        <w:t>for</w:t>
      </w:r>
      <w:r w:rsidRPr="002838B3">
        <w:t xml:space="preserve"> scheduled medicines provides assurance</w:t>
      </w:r>
      <w:r w:rsidR="00037C9B">
        <w:t>s</w:t>
      </w:r>
      <w:r w:rsidRPr="002838B3">
        <w:t xml:space="preserve"> to the Board and the community that graduating students have achieved the professional capabilities needed to safely and competently administer, obtain, possess, prescribe, sell, supply or use Schedule 2, 3, 4 or 8 medicines for the treatment of podiatric conditions, listed in the </w:t>
      </w:r>
      <w:r w:rsidRPr="002838B3">
        <w:rPr>
          <w:i/>
        </w:rPr>
        <w:t>National podiatry scheduled medicines list</w:t>
      </w:r>
      <w:r w:rsidRPr="002838B3">
        <w:t>.</w:t>
      </w:r>
      <w:r>
        <w:t xml:space="preserve"> </w:t>
      </w:r>
    </w:p>
    <w:p w14:paraId="5A82F700" w14:textId="6BC3345F" w:rsidR="009F6DD2" w:rsidRPr="002838B3" w:rsidRDefault="009F6DD2" w:rsidP="002838B3">
      <w:pPr>
        <w:pStyle w:val="Heading2"/>
        <w:spacing w:before="200" w:after="200"/>
        <w:rPr>
          <w:rFonts w:ascii="Arial" w:hAnsi="Arial"/>
          <w:i w:val="0"/>
          <w:color w:val="007DC3"/>
        </w:rPr>
      </w:pPr>
      <w:bookmarkStart w:id="5" w:name="_Toc55994909"/>
      <w:r w:rsidRPr="002838B3">
        <w:rPr>
          <w:rFonts w:ascii="Arial" w:hAnsi="Arial"/>
          <w:i w:val="0"/>
          <w:color w:val="007DC3"/>
        </w:rPr>
        <w:t xml:space="preserve">Mapping learning outcomes and assessment tasks to </w:t>
      </w:r>
      <w:r w:rsidR="00EC0E97" w:rsidRPr="002838B3">
        <w:rPr>
          <w:rFonts w:ascii="Arial" w:hAnsi="Arial"/>
          <w:i w:val="0"/>
          <w:color w:val="007DC3"/>
        </w:rPr>
        <w:t>professional capabilities</w:t>
      </w:r>
      <w:bookmarkEnd w:id="5"/>
      <w:r w:rsidR="00EC0E97" w:rsidRPr="002838B3">
        <w:rPr>
          <w:rFonts w:ascii="Arial" w:hAnsi="Arial"/>
          <w:i w:val="0"/>
          <w:color w:val="007DC3"/>
        </w:rPr>
        <w:t xml:space="preserve"> </w:t>
      </w:r>
    </w:p>
    <w:p w14:paraId="7EE530F5" w14:textId="191ACD8F" w:rsidR="00EC0E97" w:rsidRDefault="00EC0E97" w:rsidP="00EC0E97">
      <w:pPr>
        <w:rPr>
          <w:rFonts w:ascii="Arial" w:hAnsi="Arial" w:cs="Arial"/>
          <w:sz w:val="20"/>
          <w:szCs w:val="20"/>
        </w:rPr>
      </w:pPr>
      <w:r w:rsidRPr="004653E7">
        <w:rPr>
          <w:rFonts w:ascii="Arial" w:hAnsi="Arial" w:cs="Arial"/>
          <w:sz w:val="20"/>
          <w:szCs w:val="20"/>
        </w:rPr>
        <w:t xml:space="preserve">These accreditation standards require education providers to design and implement </w:t>
      </w:r>
      <w:r w:rsidR="00233DE1">
        <w:rPr>
          <w:rFonts w:ascii="Arial" w:hAnsi="Arial" w:cs="Arial"/>
          <w:sz w:val="20"/>
          <w:szCs w:val="20"/>
        </w:rPr>
        <w:t>education underpinned by</w:t>
      </w:r>
      <w:r w:rsidRPr="004653E7">
        <w:rPr>
          <w:rFonts w:ascii="Arial" w:hAnsi="Arial" w:cs="Arial"/>
          <w:sz w:val="20"/>
          <w:szCs w:val="20"/>
        </w:rPr>
        <w:t xml:space="preserve"> learning outcomes and assessment tasks </w:t>
      </w:r>
      <w:r w:rsidR="00233DE1">
        <w:rPr>
          <w:rFonts w:ascii="Arial" w:hAnsi="Arial" w:cs="Arial"/>
          <w:sz w:val="20"/>
          <w:szCs w:val="20"/>
        </w:rPr>
        <w:t xml:space="preserve">that </w:t>
      </w:r>
      <w:r w:rsidRPr="004653E7">
        <w:rPr>
          <w:rFonts w:ascii="Arial" w:hAnsi="Arial" w:cs="Arial"/>
          <w:sz w:val="20"/>
          <w:szCs w:val="20"/>
        </w:rPr>
        <w:t>map to</w:t>
      </w:r>
      <w:r w:rsidR="00AF43D5">
        <w:rPr>
          <w:rFonts w:ascii="Arial" w:hAnsi="Arial" w:cs="Arial"/>
          <w:sz w:val="20"/>
          <w:szCs w:val="20"/>
        </w:rPr>
        <w:t xml:space="preserve"> the relevant professional capabilities for endorsement for scheduled medicines as described in the </w:t>
      </w:r>
      <w:r w:rsidR="00AF43D5">
        <w:rPr>
          <w:rFonts w:ascii="Arial" w:hAnsi="Arial" w:cs="Arial"/>
          <w:i/>
          <w:sz w:val="20"/>
          <w:szCs w:val="20"/>
        </w:rPr>
        <w:t xml:space="preserve">Professional capabilities for podiatrists </w:t>
      </w:r>
      <w:r w:rsidR="00AF43D5">
        <w:rPr>
          <w:rFonts w:ascii="Arial" w:hAnsi="Arial" w:cs="Arial"/>
          <w:sz w:val="20"/>
          <w:szCs w:val="20"/>
        </w:rPr>
        <w:t xml:space="preserve">and the </w:t>
      </w:r>
      <w:r w:rsidR="00AF43D5">
        <w:rPr>
          <w:rFonts w:ascii="Arial" w:hAnsi="Arial" w:cs="Arial"/>
          <w:i/>
          <w:sz w:val="20"/>
          <w:szCs w:val="20"/>
        </w:rPr>
        <w:t>Professional capabilities for podiatric surgeons.</w:t>
      </w:r>
      <w:r w:rsidR="00AF43D5" w:rsidRPr="00AF43D5">
        <w:rPr>
          <w:rStyle w:val="FootnoteReference"/>
          <w:szCs w:val="20"/>
        </w:rPr>
        <w:t xml:space="preserve"> </w:t>
      </w:r>
      <w:r w:rsidR="00AF43D5" w:rsidRPr="004653E7">
        <w:rPr>
          <w:rStyle w:val="FootnoteReference"/>
          <w:szCs w:val="20"/>
        </w:rPr>
        <w:footnoteReference w:id="6"/>
      </w:r>
    </w:p>
    <w:p w14:paraId="39941A8B" w14:textId="77777777" w:rsidR="00EC0E97" w:rsidRDefault="00EC0E97" w:rsidP="00EC0E97">
      <w:pPr>
        <w:rPr>
          <w:rFonts w:ascii="Arial" w:hAnsi="Arial" w:cs="Arial"/>
          <w:sz w:val="20"/>
          <w:szCs w:val="20"/>
        </w:rPr>
      </w:pPr>
    </w:p>
    <w:p w14:paraId="3648DF9D" w14:textId="77777777" w:rsidR="009F6DD2" w:rsidRPr="004653E7" w:rsidRDefault="009F6DD2" w:rsidP="002838B3">
      <w:pPr>
        <w:pStyle w:val="Heading2"/>
        <w:spacing w:before="200" w:after="200"/>
        <w:rPr>
          <w:rFonts w:ascii="Arial" w:hAnsi="Arial" w:cs="Arial"/>
          <w:b w:val="0"/>
          <w:sz w:val="20"/>
          <w:szCs w:val="20"/>
        </w:rPr>
      </w:pPr>
      <w:bookmarkStart w:id="6" w:name="_Toc55994910"/>
      <w:r w:rsidRPr="002838B3">
        <w:rPr>
          <w:rFonts w:ascii="Arial" w:hAnsi="Arial"/>
          <w:i w:val="0"/>
          <w:color w:val="007DC3"/>
        </w:rPr>
        <w:t xml:space="preserve">The relationship between the Accreditation Committee and other </w:t>
      </w:r>
      <w:r w:rsidR="007C18BF" w:rsidRPr="002838B3">
        <w:rPr>
          <w:rFonts w:ascii="Arial" w:hAnsi="Arial"/>
          <w:i w:val="0"/>
          <w:color w:val="007DC3"/>
        </w:rPr>
        <w:t>regulators</w:t>
      </w:r>
      <w:bookmarkEnd w:id="6"/>
    </w:p>
    <w:p w14:paraId="27BBFCF9" w14:textId="344CA1D8" w:rsidR="009F6DD2" w:rsidRPr="004653E7" w:rsidRDefault="009F6DD2" w:rsidP="002A24E3">
      <w:pPr>
        <w:rPr>
          <w:rFonts w:ascii="Arial" w:hAnsi="Arial" w:cs="Arial"/>
          <w:sz w:val="20"/>
          <w:szCs w:val="20"/>
        </w:rPr>
      </w:pPr>
      <w:r w:rsidRPr="004653E7">
        <w:rPr>
          <w:rFonts w:ascii="Arial" w:hAnsi="Arial" w:cs="Arial"/>
          <w:sz w:val="20"/>
          <w:szCs w:val="20"/>
        </w:rPr>
        <w:t xml:space="preserve">The Accreditation Committee recognises the role of the </w:t>
      </w:r>
      <w:r w:rsidR="000B0402">
        <w:rPr>
          <w:rFonts w:ascii="Arial" w:hAnsi="Arial" w:cs="Arial"/>
          <w:sz w:val="20"/>
          <w:szCs w:val="20"/>
        </w:rPr>
        <w:t xml:space="preserve">Australian Government </w:t>
      </w:r>
      <w:r w:rsidRPr="004653E7">
        <w:rPr>
          <w:rFonts w:ascii="Arial" w:hAnsi="Arial" w:cs="Arial"/>
          <w:sz w:val="20"/>
          <w:szCs w:val="20"/>
        </w:rPr>
        <w:t>Department of Education</w:t>
      </w:r>
      <w:r w:rsidR="000B0402">
        <w:rPr>
          <w:rFonts w:ascii="Arial" w:hAnsi="Arial" w:cs="Arial"/>
          <w:sz w:val="20"/>
          <w:szCs w:val="20"/>
        </w:rPr>
        <w:t>, Skills and Employment</w:t>
      </w:r>
      <w:r w:rsidRPr="004653E7">
        <w:rPr>
          <w:rFonts w:ascii="Arial" w:hAnsi="Arial" w:cs="Arial"/>
          <w:sz w:val="20"/>
          <w:szCs w:val="20"/>
        </w:rPr>
        <w:t>, the Higher Education Standards Panel (HESP)</w:t>
      </w:r>
      <w:r w:rsidRPr="004653E7">
        <w:rPr>
          <w:rStyle w:val="FootnoteReference"/>
          <w:rFonts w:cs="Arial"/>
          <w:szCs w:val="20"/>
        </w:rPr>
        <w:footnoteReference w:id="7"/>
      </w:r>
      <w:r w:rsidR="00223C10">
        <w:rPr>
          <w:rFonts w:ascii="Arial" w:hAnsi="Arial" w:cs="Arial"/>
          <w:sz w:val="20"/>
          <w:szCs w:val="20"/>
        </w:rPr>
        <w:t>,</w:t>
      </w:r>
      <w:r w:rsidRPr="004653E7">
        <w:rPr>
          <w:rFonts w:ascii="Arial" w:hAnsi="Arial" w:cs="Arial"/>
          <w:sz w:val="20"/>
          <w:szCs w:val="20"/>
        </w:rPr>
        <w:t xml:space="preserve"> the Tertiary Education Quality Standards Agency (TEQSA)</w:t>
      </w:r>
      <w:r w:rsidRPr="004653E7">
        <w:rPr>
          <w:rStyle w:val="FootnoteReference"/>
          <w:rFonts w:cs="Arial"/>
          <w:szCs w:val="20"/>
        </w:rPr>
        <w:footnoteReference w:id="8"/>
      </w:r>
      <w:r w:rsidRPr="004653E7">
        <w:rPr>
          <w:rFonts w:ascii="Arial" w:hAnsi="Arial" w:cs="Arial"/>
          <w:sz w:val="20"/>
          <w:szCs w:val="20"/>
        </w:rPr>
        <w:t xml:space="preserve"> in the regulation and quality assurance of higher education in Australia. The Accreditation Committee does not seek to duplicate the role of these bodies and does not assess against the standards from the </w:t>
      </w:r>
      <w:r w:rsidR="00570CA7" w:rsidRPr="004653E7">
        <w:rPr>
          <w:rFonts w:ascii="Arial" w:hAnsi="Arial" w:cs="Arial"/>
          <w:i/>
          <w:sz w:val="20"/>
          <w:szCs w:val="20"/>
        </w:rPr>
        <w:t>Higher Education Standards Framework (Threshold Standards) 2015</w:t>
      </w:r>
      <w:r w:rsidR="003A4EE9" w:rsidRPr="004653E7">
        <w:rPr>
          <w:rFonts w:ascii="Arial" w:hAnsi="Arial" w:cs="Arial"/>
          <w:i/>
          <w:sz w:val="20"/>
          <w:szCs w:val="20"/>
        </w:rPr>
        <w:t xml:space="preserve"> </w:t>
      </w:r>
      <w:r w:rsidRPr="004653E7">
        <w:rPr>
          <w:rFonts w:ascii="Arial" w:hAnsi="Arial" w:cs="Arial"/>
          <w:sz w:val="20"/>
          <w:szCs w:val="20"/>
        </w:rPr>
        <w:t>(threshold HES)</w:t>
      </w:r>
      <w:r w:rsidR="00361E09">
        <w:rPr>
          <w:rFonts w:ascii="Arial" w:hAnsi="Arial" w:cs="Arial"/>
          <w:sz w:val="20"/>
          <w:szCs w:val="20"/>
        </w:rPr>
        <w:t>.</w:t>
      </w:r>
      <w:r w:rsidRPr="004653E7">
        <w:rPr>
          <w:rStyle w:val="FootnoteReference"/>
          <w:rFonts w:cs="Arial"/>
          <w:szCs w:val="20"/>
        </w:rPr>
        <w:footnoteReference w:id="9"/>
      </w:r>
      <w:r w:rsidRPr="004653E7">
        <w:rPr>
          <w:rFonts w:ascii="Arial" w:hAnsi="Arial" w:cs="Arial"/>
          <w:sz w:val="20"/>
          <w:szCs w:val="20"/>
        </w:rPr>
        <w:t xml:space="preserve"> </w:t>
      </w:r>
    </w:p>
    <w:p w14:paraId="71E49B8B" w14:textId="77777777" w:rsidR="002A24E3" w:rsidRPr="002838B3" w:rsidRDefault="0013637B" w:rsidP="002838B3">
      <w:pPr>
        <w:pStyle w:val="Heading2"/>
        <w:spacing w:before="200" w:after="200"/>
        <w:rPr>
          <w:rFonts w:ascii="Arial" w:hAnsi="Arial"/>
          <w:i w:val="0"/>
          <w:color w:val="007DC3"/>
        </w:rPr>
      </w:pPr>
      <w:bookmarkStart w:id="7" w:name="_Toc55994911"/>
      <w:r w:rsidRPr="002838B3">
        <w:rPr>
          <w:rFonts w:ascii="Arial" w:hAnsi="Arial"/>
          <w:i w:val="0"/>
          <w:color w:val="007DC3"/>
        </w:rPr>
        <w:lastRenderedPageBreak/>
        <w:t>Structure of the accreditation s</w:t>
      </w:r>
      <w:r w:rsidR="002A24E3" w:rsidRPr="002838B3">
        <w:rPr>
          <w:rFonts w:ascii="Arial" w:hAnsi="Arial"/>
          <w:i w:val="0"/>
          <w:color w:val="007DC3"/>
        </w:rPr>
        <w:t>tandards</w:t>
      </w:r>
      <w:bookmarkEnd w:id="7"/>
    </w:p>
    <w:p w14:paraId="53801FA7" w14:textId="6785B215" w:rsidR="002A24E3" w:rsidRPr="004653E7" w:rsidRDefault="002A24E3" w:rsidP="002A24E3">
      <w:pPr>
        <w:rPr>
          <w:rFonts w:ascii="Arial" w:hAnsi="Arial" w:cs="Arial"/>
          <w:sz w:val="20"/>
          <w:szCs w:val="20"/>
        </w:rPr>
      </w:pPr>
      <w:r w:rsidRPr="004653E7">
        <w:rPr>
          <w:rFonts w:ascii="Arial" w:hAnsi="Arial" w:cs="Arial"/>
          <w:sz w:val="20"/>
          <w:szCs w:val="20"/>
        </w:rPr>
        <w:t>The</w:t>
      </w:r>
      <w:r w:rsidR="003D0243">
        <w:rPr>
          <w:rFonts w:ascii="Arial" w:hAnsi="Arial" w:cs="Arial"/>
          <w:sz w:val="20"/>
          <w:szCs w:val="20"/>
        </w:rPr>
        <w:t xml:space="preserve"> accreditation standards</w:t>
      </w:r>
      <w:r w:rsidRPr="004653E7">
        <w:rPr>
          <w:rFonts w:ascii="Arial" w:hAnsi="Arial" w:cs="Arial"/>
          <w:sz w:val="20"/>
          <w:szCs w:val="20"/>
        </w:rPr>
        <w:t xml:space="preserve"> comprise five </w:t>
      </w:r>
      <w:r w:rsidR="003F3D2D" w:rsidRPr="004653E7">
        <w:rPr>
          <w:rFonts w:ascii="Arial" w:hAnsi="Arial" w:cs="Arial"/>
          <w:sz w:val="20"/>
          <w:szCs w:val="20"/>
        </w:rPr>
        <w:t>s</w:t>
      </w:r>
      <w:r w:rsidR="009F6DD2" w:rsidRPr="004653E7">
        <w:rPr>
          <w:rFonts w:ascii="Arial" w:hAnsi="Arial" w:cs="Arial"/>
          <w:sz w:val="20"/>
          <w:szCs w:val="20"/>
        </w:rPr>
        <w:t>tandards</w:t>
      </w:r>
      <w:r w:rsidRPr="004653E7">
        <w:rPr>
          <w:rFonts w:ascii="Arial" w:hAnsi="Arial" w:cs="Arial"/>
          <w:sz w:val="20"/>
          <w:szCs w:val="20"/>
        </w:rPr>
        <w:t>:</w:t>
      </w:r>
    </w:p>
    <w:p w14:paraId="754B3291" w14:textId="77777777" w:rsidR="007D1D19" w:rsidRPr="004653E7" w:rsidRDefault="007D1D19" w:rsidP="002A24E3">
      <w:pPr>
        <w:rPr>
          <w:rFonts w:ascii="Arial" w:hAnsi="Arial" w:cs="Arial"/>
          <w:sz w:val="20"/>
          <w:szCs w:val="20"/>
        </w:rPr>
      </w:pPr>
    </w:p>
    <w:p w14:paraId="60DFC9E7" w14:textId="77777777" w:rsidR="00771FCA" w:rsidRPr="004653E7" w:rsidRDefault="002A24E3" w:rsidP="002A24E3">
      <w:pPr>
        <w:rPr>
          <w:rFonts w:ascii="Arial" w:hAnsi="Arial" w:cs="Arial"/>
          <w:sz w:val="20"/>
          <w:szCs w:val="20"/>
        </w:rPr>
      </w:pPr>
      <w:r w:rsidRPr="004653E7">
        <w:rPr>
          <w:rFonts w:ascii="Arial" w:hAnsi="Arial" w:cs="Arial"/>
          <w:sz w:val="20"/>
          <w:szCs w:val="20"/>
        </w:rPr>
        <w:t xml:space="preserve">1. </w:t>
      </w:r>
      <w:r w:rsidR="00771FCA" w:rsidRPr="004653E7">
        <w:rPr>
          <w:rFonts w:ascii="Arial" w:hAnsi="Arial" w:cs="Arial"/>
          <w:sz w:val="20"/>
          <w:szCs w:val="20"/>
        </w:rPr>
        <w:t xml:space="preserve">Assuring safe practice </w:t>
      </w:r>
    </w:p>
    <w:p w14:paraId="04518C0C" w14:textId="1CEDE70E" w:rsidR="002A24E3" w:rsidRPr="004653E7" w:rsidRDefault="002A24E3" w:rsidP="002A24E3">
      <w:pPr>
        <w:rPr>
          <w:rFonts w:ascii="Arial" w:hAnsi="Arial" w:cs="Arial"/>
          <w:sz w:val="20"/>
          <w:szCs w:val="20"/>
        </w:rPr>
      </w:pPr>
      <w:r w:rsidRPr="004653E7">
        <w:rPr>
          <w:rFonts w:ascii="Arial" w:hAnsi="Arial" w:cs="Arial"/>
          <w:sz w:val="20"/>
          <w:szCs w:val="20"/>
        </w:rPr>
        <w:t xml:space="preserve">2. Academic governance and quality assurance of </w:t>
      </w:r>
      <w:r w:rsidR="0000589D">
        <w:rPr>
          <w:rFonts w:ascii="Arial" w:hAnsi="Arial" w:cs="Arial"/>
          <w:sz w:val="20"/>
          <w:szCs w:val="20"/>
        </w:rPr>
        <w:t>education</w:t>
      </w:r>
    </w:p>
    <w:p w14:paraId="477655C4" w14:textId="5983CE6B" w:rsidR="002A24E3" w:rsidRPr="004653E7" w:rsidRDefault="002A24E3" w:rsidP="002A24E3">
      <w:pPr>
        <w:rPr>
          <w:rFonts w:ascii="Arial" w:hAnsi="Arial" w:cs="Arial"/>
          <w:sz w:val="20"/>
          <w:szCs w:val="20"/>
        </w:rPr>
      </w:pPr>
      <w:r w:rsidRPr="004653E7">
        <w:rPr>
          <w:rFonts w:ascii="Arial" w:hAnsi="Arial" w:cs="Arial"/>
          <w:sz w:val="20"/>
          <w:szCs w:val="20"/>
        </w:rPr>
        <w:t xml:space="preserve">3. </w:t>
      </w:r>
      <w:r w:rsidR="0000589D">
        <w:rPr>
          <w:rFonts w:ascii="Arial" w:hAnsi="Arial" w:cs="Arial"/>
          <w:sz w:val="20"/>
          <w:szCs w:val="20"/>
        </w:rPr>
        <w:t>Education</w:t>
      </w:r>
      <w:r w:rsidR="001B4E3E" w:rsidRPr="004653E7">
        <w:rPr>
          <w:rFonts w:ascii="Arial" w:hAnsi="Arial" w:cs="Arial"/>
          <w:sz w:val="20"/>
          <w:szCs w:val="20"/>
        </w:rPr>
        <w:t xml:space="preserve"> </w:t>
      </w:r>
      <w:r w:rsidRPr="004653E7">
        <w:rPr>
          <w:rFonts w:ascii="Arial" w:hAnsi="Arial" w:cs="Arial"/>
          <w:sz w:val="20"/>
          <w:szCs w:val="20"/>
        </w:rPr>
        <w:t>design, implementation and resourcing</w:t>
      </w:r>
    </w:p>
    <w:p w14:paraId="21C51CE4" w14:textId="77777777" w:rsidR="002A24E3" w:rsidRPr="004653E7" w:rsidRDefault="002A24E3" w:rsidP="002A24E3">
      <w:pPr>
        <w:rPr>
          <w:rFonts w:ascii="Arial" w:hAnsi="Arial" w:cs="Arial"/>
          <w:sz w:val="20"/>
          <w:szCs w:val="20"/>
        </w:rPr>
      </w:pPr>
      <w:r w:rsidRPr="004653E7">
        <w:rPr>
          <w:rFonts w:ascii="Arial" w:hAnsi="Arial" w:cs="Arial"/>
          <w:sz w:val="20"/>
          <w:szCs w:val="20"/>
        </w:rPr>
        <w:t>4. The student experience</w:t>
      </w:r>
    </w:p>
    <w:p w14:paraId="21F224C1" w14:textId="77777777" w:rsidR="002A24E3" w:rsidRPr="004653E7" w:rsidRDefault="002A24E3" w:rsidP="002A24E3">
      <w:pPr>
        <w:rPr>
          <w:rFonts w:ascii="Arial" w:hAnsi="Arial" w:cs="Arial"/>
          <w:sz w:val="20"/>
          <w:szCs w:val="20"/>
        </w:rPr>
      </w:pPr>
      <w:r w:rsidRPr="004653E7">
        <w:rPr>
          <w:rFonts w:ascii="Arial" w:hAnsi="Arial" w:cs="Arial"/>
          <w:sz w:val="20"/>
          <w:szCs w:val="20"/>
        </w:rPr>
        <w:t>5. Assessment</w:t>
      </w:r>
      <w:r w:rsidRPr="004653E7">
        <w:rPr>
          <w:rFonts w:ascii="Arial" w:hAnsi="Arial" w:cs="Arial"/>
          <w:sz w:val="20"/>
          <w:szCs w:val="20"/>
        </w:rPr>
        <w:br/>
      </w:r>
    </w:p>
    <w:p w14:paraId="4A78F6B3" w14:textId="194E855B" w:rsidR="002A24E3" w:rsidRPr="004653E7" w:rsidRDefault="003F3D2D" w:rsidP="002A24E3">
      <w:pPr>
        <w:rPr>
          <w:rFonts w:ascii="Arial" w:hAnsi="Arial" w:cs="Arial"/>
          <w:sz w:val="20"/>
          <w:szCs w:val="20"/>
        </w:rPr>
      </w:pPr>
      <w:r w:rsidRPr="004653E7">
        <w:rPr>
          <w:rFonts w:ascii="Arial" w:hAnsi="Arial" w:cs="Arial"/>
          <w:sz w:val="20"/>
          <w:szCs w:val="20"/>
        </w:rPr>
        <w:t>A standard s</w:t>
      </w:r>
      <w:r w:rsidR="002A24E3" w:rsidRPr="004653E7">
        <w:rPr>
          <w:rFonts w:ascii="Arial" w:hAnsi="Arial" w:cs="Arial"/>
          <w:sz w:val="20"/>
          <w:szCs w:val="20"/>
        </w:rPr>
        <w:t xml:space="preserve">tatement articulates the </w:t>
      </w:r>
      <w:r w:rsidR="006D350C" w:rsidRPr="004653E7">
        <w:rPr>
          <w:rFonts w:ascii="Arial" w:hAnsi="Arial" w:cs="Arial"/>
          <w:sz w:val="20"/>
          <w:szCs w:val="20"/>
        </w:rPr>
        <w:t>key purpose of</w:t>
      </w:r>
      <w:r w:rsidR="002A24E3" w:rsidRPr="004653E7">
        <w:rPr>
          <w:rFonts w:ascii="Arial" w:hAnsi="Arial" w:cs="Arial"/>
          <w:sz w:val="20"/>
          <w:szCs w:val="20"/>
        </w:rPr>
        <w:t xml:space="preserve"> each </w:t>
      </w:r>
      <w:r w:rsidRPr="004653E7">
        <w:rPr>
          <w:rFonts w:ascii="Arial" w:hAnsi="Arial" w:cs="Arial"/>
          <w:sz w:val="20"/>
          <w:szCs w:val="20"/>
        </w:rPr>
        <w:t>s</w:t>
      </w:r>
      <w:r w:rsidR="006D350C" w:rsidRPr="004653E7">
        <w:rPr>
          <w:rFonts w:ascii="Arial" w:hAnsi="Arial" w:cs="Arial"/>
          <w:sz w:val="20"/>
          <w:szCs w:val="20"/>
        </w:rPr>
        <w:t>tandard</w:t>
      </w:r>
      <w:r w:rsidR="002A24E3" w:rsidRPr="004653E7">
        <w:rPr>
          <w:rFonts w:ascii="Arial" w:hAnsi="Arial" w:cs="Arial"/>
          <w:sz w:val="20"/>
          <w:szCs w:val="20"/>
        </w:rPr>
        <w:t>.</w:t>
      </w:r>
      <w:r w:rsidR="000948B2">
        <w:rPr>
          <w:rFonts w:ascii="Arial" w:hAnsi="Arial" w:cs="Arial"/>
          <w:sz w:val="20"/>
          <w:szCs w:val="20"/>
        </w:rPr>
        <w:t xml:space="preserve"> </w:t>
      </w:r>
      <w:r w:rsidRPr="004653E7">
        <w:rPr>
          <w:rFonts w:ascii="Arial" w:hAnsi="Arial" w:cs="Arial"/>
          <w:sz w:val="20"/>
          <w:szCs w:val="20"/>
        </w:rPr>
        <w:t>Each standard s</w:t>
      </w:r>
      <w:r w:rsidR="002A24E3" w:rsidRPr="004653E7">
        <w:rPr>
          <w:rFonts w:ascii="Arial" w:hAnsi="Arial" w:cs="Arial"/>
          <w:sz w:val="20"/>
          <w:szCs w:val="20"/>
        </w:rPr>
        <w:t>tatement is supported by multiple criteria</w:t>
      </w:r>
      <w:r w:rsidR="00620BCC">
        <w:t xml:space="preserve"> </w:t>
      </w:r>
      <w:r w:rsidR="002A24E3" w:rsidRPr="004653E7">
        <w:rPr>
          <w:rFonts w:ascii="Arial" w:hAnsi="Arial" w:cs="Arial"/>
          <w:sz w:val="20"/>
          <w:szCs w:val="20"/>
        </w:rPr>
        <w:t xml:space="preserve">that set out what is </w:t>
      </w:r>
      <w:bookmarkStart w:id="8" w:name="_Hlk531791505"/>
      <w:r w:rsidR="006D350C" w:rsidRPr="004653E7">
        <w:rPr>
          <w:rFonts w:ascii="Arial" w:hAnsi="Arial" w:cs="Arial"/>
          <w:sz w:val="20"/>
          <w:szCs w:val="20"/>
        </w:rPr>
        <w:t xml:space="preserve">generally </w:t>
      </w:r>
      <w:bookmarkEnd w:id="8"/>
      <w:r w:rsidR="00303CA8" w:rsidRPr="004653E7">
        <w:rPr>
          <w:rFonts w:ascii="Arial" w:hAnsi="Arial" w:cs="Arial"/>
          <w:sz w:val="20"/>
          <w:szCs w:val="20"/>
        </w:rPr>
        <w:t xml:space="preserve">needed </w:t>
      </w:r>
      <w:r w:rsidR="002A24E3" w:rsidRPr="004653E7">
        <w:rPr>
          <w:rFonts w:ascii="Arial" w:hAnsi="Arial" w:cs="Arial"/>
          <w:sz w:val="20"/>
          <w:szCs w:val="20"/>
        </w:rPr>
        <w:t>t</w:t>
      </w:r>
      <w:r w:rsidR="0001396F" w:rsidRPr="004653E7">
        <w:rPr>
          <w:rFonts w:ascii="Arial" w:hAnsi="Arial" w:cs="Arial"/>
          <w:sz w:val="20"/>
          <w:szCs w:val="20"/>
        </w:rPr>
        <w:t xml:space="preserve">o meet the </w:t>
      </w:r>
      <w:r w:rsidRPr="004653E7">
        <w:rPr>
          <w:rFonts w:ascii="Arial" w:hAnsi="Arial" w:cs="Arial"/>
          <w:sz w:val="20"/>
          <w:szCs w:val="20"/>
        </w:rPr>
        <w:t>s</w:t>
      </w:r>
      <w:r w:rsidR="0001396F" w:rsidRPr="004653E7">
        <w:rPr>
          <w:rFonts w:ascii="Arial" w:hAnsi="Arial" w:cs="Arial"/>
          <w:sz w:val="20"/>
          <w:szCs w:val="20"/>
        </w:rPr>
        <w:t>tandard</w:t>
      </w:r>
      <w:r w:rsidR="006D350C" w:rsidRPr="004653E7">
        <w:rPr>
          <w:rFonts w:ascii="Arial" w:hAnsi="Arial" w:cs="Arial"/>
          <w:sz w:val="20"/>
          <w:szCs w:val="20"/>
        </w:rPr>
        <w:t>.</w:t>
      </w:r>
    </w:p>
    <w:p w14:paraId="1D9D13B6" w14:textId="77777777" w:rsidR="006D350C" w:rsidRPr="004653E7" w:rsidRDefault="006D350C" w:rsidP="002A24E3">
      <w:pPr>
        <w:rPr>
          <w:rFonts w:ascii="Arial" w:hAnsi="Arial" w:cs="Arial"/>
          <w:sz w:val="20"/>
          <w:szCs w:val="20"/>
        </w:rPr>
      </w:pPr>
    </w:p>
    <w:p w14:paraId="3B8FAEC1" w14:textId="7AE9AC77" w:rsidR="000D5B2B" w:rsidRPr="00FD63BF" w:rsidRDefault="006D350C" w:rsidP="002A24E3">
      <w:pPr>
        <w:rPr>
          <w:rFonts w:ascii="Arial" w:hAnsi="Arial" w:cs="Arial"/>
          <w:color w:val="000000"/>
          <w:sz w:val="20"/>
          <w:szCs w:val="20"/>
        </w:rPr>
      </w:pPr>
      <w:r w:rsidRPr="004653E7">
        <w:rPr>
          <w:rFonts w:ascii="Arial" w:hAnsi="Arial" w:cs="Arial"/>
          <w:color w:val="000000"/>
          <w:sz w:val="20"/>
          <w:szCs w:val="20"/>
        </w:rPr>
        <w:t xml:space="preserve">The Accreditation Committee </w:t>
      </w:r>
      <w:r w:rsidR="00303CA8" w:rsidRPr="004653E7">
        <w:rPr>
          <w:rFonts w:ascii="Arial" w:hAnsi="Arial" w:cs="Arial"/>
          <w:color w:val="000000"/>
          <w:sz w:val="20"/>
          <w:szCs w:val="20"/>
        </w:rPr>
        <w:t>considers</w:t>
      </w:r>
      <w:r w:rsidRPr="004653E7">
        <w:rPr>
          <w:rFonts w:ascii="Arial" w:hAnsi="Arial" w:cs="Arial"/>
          <w:color w:val="000000"/>
          <w:sz w:val="20"/>
          <w:szCs w:val="20"/>
        </w:rPr>
        <w:t xml:space="preserve"> whether the education provider and its </w:t>
      </w:r>
      <w:r w:rsidR="0000589D">
        <w:rPr>
          <w:rFonts w:ascii="Arial" w:hAnsi="Arial" w:cs="Arial"/>
          <w:color w:val="000000"/>
          <w:sz w:val="20"/>
          <w:szCs w:val="20"/>
        </w:rPr>
        <w:t xml:space="preserve">podiatry scheduled medicines education </w:t>
      </w:r>
      <w:r w:rsidRPr="004653E7">
        <w:rPr>
          <w:rFonts w:ascii="Arial" w:hAnsi="Arial" w:cs="Arial"/>
          <w:color w:val="000000"/>
          <w:sz w:val="20"/>
          <w:szCs w:val="20"/>
        </w:rPr>
        <w:t xml:space="preserve">have met each criterion. When the Accreditation Committee </w:t>
      </w:r>
      <w:r w:rsidR="00303CA8" w:rsidRPr="004653E7">
        <w:rPr>
          <w:rFonts w:ascii="Arial" w:hAnsi="Arial" w:cs="Arial"/>
          <w:color w:val="000000"/>
          <w:sz w:val="20"/>
          <w:szCs w:val="20"/>
        </w:rPr>
        <w:t>determines</w:t>
      </w:r>
      <w:r w:rsidRPr="004653E7">
        <w:rPr>
          <w:rFonts w:ascii="Arial" w:hAnsi="Arial" w:cs="Arial"/>
          <w:color w:val="000000"/>
          <w:sz w:val="20"/>
          <w:szCs w:val="20"/>
        </w:rPr>
        <w:t xml:space="preserve"> whether the evidence pre</w:t>
      </w:r>
      <w:r w:rsidR="00E64973" w:rsidRPr="004653E7">
        <w:rPr>
          <w:rFonts w:ascii="Arial" w:hAnsi="Arial" w:cs="Arial"/>
          <w:color w:val="000000"/>
          <w:sz w:val="20"/>
          <w:szCs w:val="20"/>
        </w:rPr>
        <w:t>sented by an education provider</w:t>
      </w:r>
      <w:r w:rsidRPr="004653E7">
        <w:rPr>
          <w:rFonts w:ascii="Arial" w:hAnsi="Arial" w:cs="Arial"/>
          <w:color w:val="000000"/>
          <w:sz w:val="20"/>
          <w:szCs w:val="20"/>
        </w:rPr>
        <w:t xml:space="preserve"> demonstrates that a </w:t>
      </w:r>
      <w:proofErr w:type="gramStart"/>
      <w:r w:rsidRPr="004653E7">
        <w:rPr>
          <w:rFonts w:ascii="Arial" w:hAnsi="Arial" w:cs="Arial"/>
          <w:color w:val="000000"/>
          <w:sz w:val="20"/>
          <w:szCs w:val="20"/>
        </w:rPr>
        <w:t xml:space="preserve">particular </w:t>
      </w:r>
      <w:r w:rsidR="003F3D2D" w:rsidRPr="004653E7">
        <w:rPr>
          <w:rFonts w:ascii="Arial" w:hAnsi="Arial" w:cs="Arial"/>
          <w:color w:val="000000"/>
          <w:sz w:val="20"/>
          <w:szCs w:val="20"/>
        </w:rPr>
        <w:t>s</w:t>
      </w:r>
      <w:r w:rsidRPr="004653E7">
        <w:rPr>
          <w:rFonts w:ascii="Arial" w:hAnsi="Arial" w:cs="Arial"/>
          <w:color w:val="000000"/>
          <w:sz w:val="20"/>
          <w:szCs w:val="20"/>
        </w:rPr>
        <w:t>tandard</w:t>
      </w:r>
      <w:proofErr w:type="gramEnd"/>
      <w:r w:rsidRPr="004653E7">
        <w:rPr>
          <w:rFonts w:ascii="Arial" w:hAnsi="Arial" w:cs="Arial"/>
          <w:color w:val="000000"/>
          <w:sz w:val="20"/>
          <w:szCs w:val="20"/>
        </w:rPr>
        <w:t xml:space="preserve"> is met, </w:t>
      </w:r>
      <w:r w:rsidR="005E706D" w:rsidRPr="004653E7">
        <w:rPr>
          <w:rFonts w:ascii="Arial" w:hAnsi="Arial" w:cs="Arial"/>
          <w:color w:val="000000"/>
          <w:sz w:val="20"/>
          <w:szCs w:val="20"/>
        </w:rPr>
        <w:t>it</w:t>
      </w:r>
      <w:r w:rsidR="00303CA8" w:rsidRPr="004653E7">
        <w:rPr>
          <w:rFonts w:ascii="Arial" w:hAnsi="Arial" w:cs="Arial"/>
          <w:color w:val="000000"/>
          <w:sz w:val="20"/>
          <w:szCs w:val="20"/>
        </w:rPr>
        <w:t xml:space="preserve"> takes</w:t>
      </w:r>
      <w:r w:rsidRPr="004653E7">
        <w:rPr>
          <w:rFonts w:ascii="Arial" w:hAnsi="Arial" w:cs="Arial"/>
          <w:color w:val="000000"/>
          <w:sz w:val="20"/>
          <w:szCs w:val="20"/>
        </w:rPr>
        <w:t xml:space="preserve"> a balanced view</w:t>
      </w:r>
      <w:r w:rsidR="005D0E2D" w:rsidRPr="004653E7">
        <w:rPr>
          <w:rFonts w:ascii="Arial" w:hAnsi="Arial" w:cs="Arial"/>
          <w:color w:val="000000"/>
          <w:sz w:val="20"/>
          <w:szCs w:val="20"/>
        </w:rPr>
        <w:t xml:space="preserve"> of the findings for </w:t>
      </w:r>
      <w:r w:rsidR="00B15F9C">
        <w:rPr>
          <w:rFonts w:ascii="Arial" w:hAnsi="Arial" w:cs="Arial"/>
          <w:color w:val="000000"/>
          <w:sz w:val="20"/>
          <w:szCs w:val="20"/>
        </w:rPr>
        <w:t xml:space="preserve">each criterion in the context of </w:t>
      </w:r>
      <w:r w:rsidR="005D0E2D" w:rsidRPr="004653E7">
        <w:rPr>
          <w:rFonts w:ascii="Arial" w:hAnsi="Arial" w:cs="Arial"/>
          <w:color w:val="000000"/>
          <w:sz w:val="20"/>
          <w:szCs w:val="20"/>
        </w:rPr>
        <w:t>the whole s</w:t>
      </w:r>
      <w:r w:rsidRPr="004653E7">
        <w:rPr>
          <w:rFonts w:ascii="Arial" w:hAnsi="Arial" w:cs="Arial"/>
          <w:color w:val="000000"/>
          <w:sz w:val="20"/>
          <w:szCs w:val="20"/>
        </w:rPr>
        <w:t>tandard</w:t>
      </w:r>
      <w:r w:rsidR="00B15F9C">
        <w:rPr>
          <w:rFonts w:ascii="Arial" w:hAnsi="Arial" w:cs="Arial"/>
          <w:color w:val="000000"/>
          <w:sz w:val="20"/>
          <w:szCs w:val="20"/>
        </w:rPr>
        <w:t xml:space="preserve"> and its intent</w:t>
      </w:r>
      <w:r w:rsidRPr="004653E7">
        <w:rPr>
          <w:rFonts w:ascii="Arial" w:hAnsi="Arial" w:cs="Arial"/>
          <w:color w:val="000000"/>
          <w:sz w:val="20"/>
          <w:szCs w:val="20"/>
        </w:rPr>
        <w:t>.</w:t>
      </w:r>
    </w:p>
    <w:p w14:paraId="7CE2D9DC" w14:textId="069B30C9" w:rsidR="002A24E3" w:rsidRPr="002838B3" w:rsidRDefault="002A24E3" w:rsidP="002838B3">
      <w:pPr>
        <w:pStyle w:val="Heading2"/>
        <w:spacing w:before="200" w:after="200"/>
        <w:rPr>
          <w:rFonts w:ascii="Arial" w:hAnsi="Arial"/>
          <w:i w:val="0"/>
          <w:color w:val="007DC3"/>
        </w:rPr>
      </w:pPr>
      <w:bookmarkStart w:id="9" w:name="_Toc55994912"/>
      <w:r w:rsidRPr="002838B3">
        <w:rPr>
          <w:rFonts w:ascii="Arial" w:hAnsi="Arial"/>
          <w:i w:val="0"/>
          <w:color w:val="007DC3"/>
        </w:rPr>
        <w:t xml:space="preserve">Guidance on the presentation of evidence for accreditation assessment and its evaluation by </w:t>
      </w:r>
      <w:r w:rsidR="00F807FE" w:rsidRPr="002838B3">
        <w:rPr>
          <w:rFonts w:ascii="Arial" w:hAnsi="Arial"/>
          <w:i w:val="0"/>
          <w:color w:val="007DC3"/>
        </w:rPr>
        <w:t xml:space="preserve">assessment teams and </w:t>
      </w:r>
      <w:r w:rsidRPr="002838B3">
        <w:rPr>
          <w:rFonts w:ascii="Arial" w:hAnsi="Arial"/>
          <w:i w:val="0"/>
          <w:color w:val="007DC3"/>
        </w:rPr>
        <w:t xml:space="preserve">the </w:t>
      </w:r>
      <w:r w:rsidR="00350A92" w:rsidRPr="002838B3">
        <w:rPr>
          <w:rFonts w:ascii="Arial" w:hAnsi="Arial"/>
          <w:i w:val="0"/>
          <w:color w:val="007DC3"/>
        </w:rPr>
        <w:t>Accreditation Committee</w:t>
      </w:r>
      <w:bookmarkEnd w:id="9"/>
    </w:p>
    <w:p w14:paraId="3BC0E390" w14:textId="0F0DD109" w:rsidR="00F807FE" w:rsidRDefault="002A24E3" w:rsidP="002A24E3">
      <w:pPr>
        <w:rPr>
          <w:rFonts w:ascii="Arial" w:hAnsi="Arial" w:cs="Arial"/>
          <w:sz w:val="20"/>
          <w:szCs w:val="20"/>
        </w:rPr>
      </w:pPr>
      <w:r w:rsidRPr="004653E7">
        <w:rPr>
          <w:rFonts w:ascii="Arial" w:hAnsi="Arial" w:cs="Arial"/>
          <w:sz w:val="20"/>
          <w:szCs w:val="20"/>
        </w:rPr>
        <w:t xml:space="preserve">The </w:t>
      </w:r>
      <w:r w:rsidR="00350A92" w:rsidRPr="004653E7">
        <w:rPr>
          <w:rFonts w:ascii="Arial" w:hAnsi="Arial" w:cs="Arial"/>
          <w:sz w:val="20"/>
          <w:szCs w:val="20"/>
        </w:rPr>
        <w:t>Accreditation Committee</w:t>
      </w:r>
      <w:r w:rsidRPr="004653E7">
        <w:rPr>
          <w:rFonts w:ascii="Arial" w:hAnsi="Arial" w:cs="Arial"/>
          <w:sz w:val="20"/>
          <w:szCs w:val="20"/>
        </w:rPr>
        <w:t xml:space="preserve"> relies on</w:t>
      </w:r>
      <w:r w:rsidR="00B15F9C">
        <w:rPr>
          <w:rFonts w:ascii="Arial" w:hAnsi="Arial" w:cs="Arial"/>
          <w:sz w:val="20"/>
          <w:szCs w:val="20"/>
        </w:rPr>
        <w:t xml:space="preserve"> assessment of</w:t>
      </w:r>
      <w:r w:rsidRPr="004653E7">
        <w:rPr>
          <w:rFonts w:ascii="Arial" w:hAnsi="Arial" w:cs="Arial"/>
          <w:sz w:val="20"/>
          <w:szCs w:val="20"/>
        </w:rPr>
        <w:t xml:space="preserve"> current documentary evidence submitted by the </w:t>
      </w:r>
      <w:r w:rsidR="007D1D19" w:rsidRPr="004653E7">
        <w:rPr>
          <w:rFonts w:ascii="Arial" w:hAnsi="Arial" w:cs="Arial"/>
          <w:sz w:val="20"/>
          <w:szCs w:val="20"/>
        </w:rPr>
        <w:t xml:space="preserve">education </w:t>
      </w:r>
      <w:r w:rsidRPr="004653E7">
        <w:rPr>
          <w:rFonts w:ascii="Arial" w:hAnsi="Arial" w:cs="Arial"/>
          <w:sz w:val="20"/>
          <w:szCs w:val="20"/>
        </w:rPr>
        <w:t xml:space="preserve">provider </w:t>
      </w:r>
      <w:r w:rsidR="00B15F9C">
        <w:rPr>
          <w:rFonts w:ascii="Arial" w:hAnsi="Arial" w:cs="Arial"/>
          <w:sz w:val="20"/>
          <w:szCs w:val="20"/>
        </w:rPr>
        <w:t xml:space="preserve">during the accreditation process </w:t>
      </w:r>
      <w:r w:rsidRPr="004653E7">
        <w:rPr>
          <w:rFonts w:ascii="Arial" w:hAnsi="Arial" w:cs="Arial"/>
          <w:sz w:val="20"/>
          <w:szCs w:val="20"/>
        </w:rPr>
        <w:t>and experiential evidence obtained by the assessment team through site visits and discussions with</w:t>
      </w:r>
      <w:r w:rsidR="00F807FE" w:rsidRPr="004653E7">
        <w:rPr>
          <w:rFonts w:ascii="Arial" w:hAnsi="Arial" w:cs="Arial"/>
          <w:sz w:val="20"/>
          <w:szCs w:val="20"/>
        </w:rPr>
        <w:t xml:space="preserve"> a range of:</w:t>
      </w:r>
    </w:p>
    <w:p w14:paraId="41730BB3" w14:textId="77777777" w:rsidR="000D5B2B" w:rsidRPr="004653E7" w:rsidRDefault="000D5B2B" w:rsidP="002A24E3">
      <w:pPr>
        <w:rPr>
          <w:rFonts w:ascii="Arial" w:hAnsi="Arial" w:cs="Arial"/>
          <w:sz w:val="20"/>
          <w:szCs w:val="20"/>
        </w:rPr>
      </w:pPr>
    </w:p>
    <w:p w14:paraId="71E6EA05" w14:textId="77777777" w:rsidR="00F807FE" w:rsidRPr="004653E7" w:rsidRDefault="002A24E3" w:rsidP="00EB17E2">
      <w:pPr>
        <w:pStyle w:val="ListParagraph"/>
        <w:numPr>
          <w:ilvl w:val="0"/>
          <w:numId w:val="41"/>
        </w:numPr>
        <w:rPr>
          <w:sz w:val="20"/>
          <w:szCs w:val="20"/>
        </w:rPr>
      </w:pPr>
      <w:r w:rsidRPr="004653E7">
        <w:rPr>
          <w:sz w:val="20"/>
          <w:szCs w:val="20"/>
        </w:rPr>
        <w:t>students</w:t>
      </w:r>
    </w:p>
    <w:p w14:paraId="42ACB26F" w14:textId="34662157" w:rsidR="00F807FE" w:rsidRDefault="002A24E3" w:rsidP="00EB17E2">
      <w:pPr>
        <w:pStyle w:val="ListParagraph"/>
        <w:numPr>
          <w:ilvl w:val="0"/>
          <w:numId w:val="41"/>
        </w:numPr>
        <w:rPr>
          <w:sz w:val="20"/>
          <w:szCs w:val="20"/>
        </w:rPr>
      </w:pPr>
      <w:r w:rsidRPr="004653E7">
        <w:rPr>
          <w:sz w:val="20"/>
          <w:szCs w:val="20"/>
        </w:rPr>
        <w:t>staff</w:t>
      </w:r>
      <w:r w:rsidR="008D756D" w:rsidRPr="004653E7">
        <w:rPr>
          <w:sz w:val="20"/>
          <w:szCs w:val="20"/>
        </w:rPr>
        <w:t xml:space="preserve"> at the education provider</w:t>
      </w:r>
    </w:p>
    <w:p w14:paraId="76462676" w14:textId="7C096F76" w:rsidR="00F807FE" w:rsidRPr="004653E7" w:rsidRDefault="002A24E3" w:rsidP="00EB17E2">
      <w:pPr>
        <w:pStyle w:val="ListParagraph"/>
        <w:numPr>
          <w:ilvl w:val="0"/>
          <w:numId w:val="41"/>
        </w:numPr>
        <w:rPr>
          <w:sz w:val="20"/>
          <w:szCs w:val="20"/>
        </w:rPr>
      </w:pPr>
      <w:r w:rsidRPr="004653E7">
        <w:rPr>
          <w:sz w:val="20"/>
          <w:szCs w:val="20"/>
        </w:rPr>
        <w:t>work</w:t>
      </w:r>
      <w:r w:rsidR="009B0FF6">
        <w:rPr>
          <w:sz w:val="20"/>
          <w:szCs w:val="20"/>
        </w:rPr>
        <w:t>-</w:t>
      </w:r>
      <w:r w:rsidRPr="004653E7">
        <w:rPr>
          <w:sz w:val="20"/>
          <w:szCs w:val="20"/>
        </w:rPr>
        <w:t xml:space="preserve">integrated learning </w:t>
      </w:r>
      <w:r w:rsidR="00F807FE" w:rsidRPr="004653E7">
        <w:rPr>
          <w:sz w:val="20"/>
          <w:szCs w:val="20"/>
        </w:rPr>
        <w:t xml:space="preserve">supervisors </w:t>
      </w:r>
      <w:r w:rsidRPr="004653E7">
        <w:rPr>
          <w:sz w:val="20"/>
          <w:szCs w:val="20"/>
        </w:rPr>
        <w:t xml:space="preserve">and </w:t>
      </w:r>
      <w:r w:rsidR="00F807FE" w:rsidRPr="004653E7">
        <w:rPr>
          <w:sz w:val="20"/>
          <w:szCs w:val="20"/>
        </w:rPr>
        <w:t>other staff at facilities and health services used for work-integrated learning</w:t>
      </w:r>
      <w:r w:rsidR="00BC4BA3">
        <w:rPr>
          <w:sz w:val="20"/>
          <w:szCs w:val="20"/>
        </w:rPr>
        <w:t>, both on campus and off campus</w:t>
      </w:r>
      <w:r w:rsidR="00B15F9C">
        <w:rPr>
          <w:sz w:val="20"/>
          <w:szCs w:val="20"/>
        </w:rPr>
        <w:t>, and</w:t>
      </w:r>
    </w:p>
    <w:p w14:paraId="01852D91" w14:textId="2A694912" w:rsidR="002A24E3" w:rsidRPr="00863470" w:rsidRDefault="0000589D" w:rsidP="00EB17E2">
      <w:pPr>
        <w:pStyle w:val="ListParagraph"/>
        <w:numPr>
          <w:ilvl w:val="0"/>
          <w:numId w:val="41"/>
        </w:numPr>
        <w:rPr>
          <w:sz w:val="20"/>
          <w:szCs w:val="20"/>
        </w:rPr>
      </w:pPr>
      <w:r>
        <w:rPr>
          <w:sz w:val="20"/>
          <w:szCs w:val="20"/>
        </w:rPr>
        <w:t>podiatrists who have completed the scheduled medicines education</w:t>
      </w:r>
      <w:r w:rsidR="00F807FE" w:rsidRPr="004653E7">
        <w:rPr>
          <w:sz w:val="20"/>
          <w:szCs w:val="20"/>
        </w:rPr>
        <w:t>,</w:t>
      </w:r>
      <w:r w:rsidR="002A24E3" w:rsidRPr="004653E7">
        <w:rPr>
          <w:sz w:val="20"/>
          <w:szCs w:val="20"/>
        </w:rPr>
        <w:t xml:space="preserve"> and </w:t>
      </w:r>
      <w:r w:rsidR="00B15F9C">
        <w:rPr>
          <w:sz w:val="20"/>
          <w:szCs w:val="20"/>
        </w:rPr>
        <w:t>their</w:t>
      </w:r>
      <w:r w:rsidR="003D6916">
        <w:rPr>
          <w:sz w:val="20"/>
          <w:szCs w:val="20"/>
        </w:rPr>
        <w:t xml:space="preserve"> </w:t>
      </w:r>
      <w:r w:rsidR="002A24E3" w:rsidRPr="00863470">
        <w:rPr>
          <w:sz w:val="20"/>
          <w:szCs w:val="20"/>
        </w:rPr>
        <w:t>employers</w:t>
      </w:r>
      <w:r>
        <w:rPr>
          <w:sz w:val="20"/>
          <w:szCs w:val="20"/>
        </w:rPr>
        <w:t>/peers</w:t>
      </w:r>
      <w:r w:rsidR="002A24E3" w:rsidRPr="00863470">
        <w:rPr>
          <w:sz w:val="20"/>
          <w:szCs w:val="20"/>
        </w:rPr>
        <w:t>.</w:t>
      </w:r>
    </w:p>
    <w:p w14:paraId="6D31CB0C" w14:textId="77777777" w:rsidR="007474F6" w:rsidRPr="004653E7" w:rsidRDefault="007474F6" w:rsidP="002A24E3">
      <w:pPr>
        <w:rPr>
          <w:rFonts w:ascii="Arial" w:hAnsi="Arial" w:cs="Arial"/>
          <w:sz w:val="20"/>
          <w:szCs w:val="20"/>
        </w:rPr>
      </w:pPr>
    </w:p>
    <w:p w14:paraId="02089133" w14:textId="77777777" w:rsidR="00A31B05" w:rsidRDefault="00D2381A" w:rsidP="000D5B2B">
      <w:pPr>
        <w:spacing w:after="200"/>
        <w:rPr>
          <w:rFonts w:ascii="Arial" w:hAnsi="Arial" w:cs="Arial"/>
          <w:sz w:val="20"/>
          <w:szCs w:val="20"/>
        </w:rPr>
      </w:pPr>
      <w:r>
        <w:rPr>
          <w:rFonts w:ascii="Arial" w:hAnsi="Arial" w:cs="Arial"/>
          <w:sz w:val="20"/>
          <w:szCs w:val="20"/>
        </w:rPr>
        <w:t>The Accreditation</w:t>
      </w:r>
      <w:r w:rsidR="00A31B05">
        <w:rPr>
          <w:rFonts w:ascii="Arial" w:hAnsi="Arial" w:cs="Arial"/>
          <w:sz w:val="20"/>
          <w:szCs w:val="20"/>
        </w:rPr>
        <w:t xml:space="preserve"> Committee establishes assessment teams to:</w:t>
      </w:r>
    </w:p>
    <w:p w14:paraId="74326697" w14:textId="3C4C7118" w:rsidR="00A31B05" w:rsidRDefault="00A31B05" w:rsidP="00EB17E2">
      <w:pPr>
        <w:pStyle w:val="ListParagraph"/>
        <w:numPr>
          <w:ilvl w:val="0"/>
          <w:numId w:val="45"/>
        </w:numPr>
        <w:spacing w:after="200"/>
        <w:rPr>
          <w:sz w:val="20"/>
          <w:szCs w:val="20"/>
        </w:rPr>
      </w:pPr>
      <w:r>
        <w:rPr>
          <w:sz w:val="20"/>
          <w:szCs w:val="20"/>
        </w:rPr>
        <w:t xml:space="preserve">evaluate information provided by an education provider about its </w:t>
      </w:r>
      <w:r w:rsidR="0000589D">
        <w:rPr>
          <w:sz w:val="20"/>
          <w:szCs w:val="20"/>
        </w:rPr>
        <w:t xml:space="preserve">podiatry scheduled medicines education </w:t>
      </w:r>
      <w:r>
        <w:rPr>
          <w:sz w:val="20"/>
          <w:szCs w:val="20"/>
        </w:rPr>
        <w:t>against the approved accreditation standards, and</w:t>
      </w:r>
    </w:p>
    <w:p w14:paraId="7BAD7B64" w14:textId="745EBF0F" w:rsidR="00A31B05" w:rsidRDefault="00A31B05" w:rsidP="00EB17E2">
      <w:pPr>
        <w:pStyle w:val="ListParagraph"/>
        <w:numPr>
          <w:ilvl w:val="0"/>
          <w:numId w:val="45"/>
        </w:numPr>
        <w:spacing w:after="200"/>
        <w:jc w:val="left"/>
        <w:rPr>
          <w:sz w:val="20"/>
          <w:szCs w:val="20"/>
        </w:rPr>
      </w:pPr>
      <w:r>
        <w:rPr>
          <w:sz w:val="20"/>
          <w:szCs w:val="20"/>
        </w:rPr>
        <w:t xml:space="preserve">work in partnership with </w:t>
      </w:r>
      <w:r w:rsidR="00D81B0D">
        <w:rPr>
          <w:sz w:val="20"/>
          <w:szCs w:val="20"/>
        </w:rPr>
        <w:t xml:space="preserve">Ahpra’s </w:t>
      </w:r>
      <w:r>
        <w:rPr>
          <w:sz w:val="20"/>
          <w:szCs w:val="20"/>
        </w:rPr>
        <w:t>Program Accreditation Team to provide the Accreditation Committee with a report of the assessment team’s evaluation findings.</w:t>
      </w:r>
    </w:p>
    <w:p w14:paraId="2A476E1E" w14:textId="5AD27F6F" w:rsidR="00D35DB1" w:rsidRDefault="00BE44A2" w:rsidP="00A31B05">
      <w:pPr>
        <w:spacing w:after="200"/>
        <w:rPr>
          <w:sz w:val="20"/>
          <w:szCs w:val="20"/>
        </w:rPr>
      </w:pPr>
      <w:r>
        <w:rPr>
          <w:rFonts w:ascii="Arial" w:hAnsi="Arial" w:cs="Arial"/>
          <w:sz w:val="20"/>
          <w:szCs w:val="20"/>
        </w:rPr>
        <w:t xml:space="preserve">The onus is on the education provider to present evidence that demonstrates how the </w:t>
      </w:r>
      <w:r w:rsidR="00FD2B92" w:rsidRPr="00FD2B92">
        <w:rPr>
          <w:rFonts w:ascii="Arial" w:hAnsi="Arial" w:cs="Arial"/>
          <w:sz w:val="20"/>
          <w:szCs w:val="20"/>
        </w:rPr>
        <w:t>podiatry scheduled medicines education</w:t>
      </w:r>
      <w:r w:rsidR="00FD2B92">
        <w:rPr>
          <w:rFonts w:ascii="Arial" w:hAnsi="Arial" w:cs="Arial"/>
          <w:sz w:val="20"/>
          <w:szCs w:val="20"/>
        </w:rPr>
        <w:t xml:space="preserve"> </w:t>
      </w:r>
      <w:r>
        <w:rPr>
          <w:rFonts w:ascii="Arial" w:hAnsi="Arial" w:cs="Arial"/>
          <w:sz w:val="20"/>
          <w:szCs w:val="20"/>
        </w:rPr>
        <w:t xml:space="preserve">meets each of the accreditation standards. </w:t>
      </w:r>
      <w:r w:rsidR="007255DF">
        <w:rPr>
          <w:rFonts w:ascii="Arial" w:hAnsi="Arial" w:cs="Arial"/>
          <w:sz w:val="20"/>
          <w:szCs w:val="20"/>
        </w:rPr>
        <w:t xml:space="preserve">The Accreditation Committee may decide to accredit the </w:t>
      </w:r>
      <w:r w:rsidR="00FD2B92" w:rsidRPr="00FD2B92">
        <w:rPr>
          <w:rFonts w:ascii="Arial" w:hAnsi="Arial" w:cs="Arial"/>
          <w:sz w:val="20"/>
          <w:szCs w:val="20"/>
        </w:rPr>
        <w:t>podiatry scheduled medicines education</w:t>
      </w:r>
      <w:r w:rsidR="007255DF">
        <w:rPr>
          <w:rFonts w:ascii="Arial" w:hAnsi="Arial" w:cs="Arial"/>
          <w:sz w:val="20"/>
          <w:szCs w:val="20"/>
        </w:rPr>
        <w:t xml:space="preserve">, with or without conditions. The Accreditation Committee may also decide to refuse to accredit the </w:t>
      </w:r>
      <w:r w:rsidR="00FD2B92" w:rsidRPr="00FD2B92">
        <w:rPr>
          <w:rFonts w:ascii="Arial" w:hAnsi="Arial" w:cs="Arial"/>
          <w:sz w:val="20"/>
          <w:szCs w:val="20"/>
        </w:rPr>
        <w:t>podiatry scheduled medicines education</w:t>
      </w:r>
      <w:r w:rsidR="007255DF">
        <w:rPr>
          <w:rFonts w:ascii="Arial" w:hAnsi="Arial" w:cs="Arial"/>
          <w:sz w:val="20"/>
          <w:szCs w:val="20"/>
        </w:rPr>
        <w:t xml:space="preserve">. </w:t>
      </w:r>
    </w:p>
    <w:p w14:paraId="11667939" w14:textId="77777777" w:rsidR="00BC4BA3" w:rsidRDefault="00BC4BA3" w:rsidP="00BB77E6">
      <w:pPr>
        <w:pStyle w:val="Default"/>
        <w:shd w:val="clear" w:color="auto" w:fill="DBE5F1" w:themeFill="accent1" w:themeFillTint="33"/>
        <w:rPr>
          <w:b/>
          <w:sz w:val="20"/>
          <w:szCs w:val="20"/>
        </w:rPr>
      </w:pPr>
      <w:r w:rsidRPr="007A0CEE">
        <w:rPr>
          <w:b/>
          <w:sz w:val="20"/>
          <w:szCs w:val="20"/>
        </w:rPr>
        <w:t xml:space="preserve">Guidance on presenting </w:t>
      </w:r>
      <w:r>
        <w:rPr>
          <w:b/>
          <w:sz w:val="20"/>
          <w:szCs w:val="20"/>
        </w:rPr>
        <w:t xml:space="preserve">an </w:t>
      </w:r>
      <w:r w:rsidRPr="007A0CEE">
        <w:rPr>
          <w:b/>
          <w:sz w:val="20"/>
          <w:szCs w:val="20"/>
        </w:rPr>
        <w:t>explanation and expected information</w:t>
      </w:r>
    </w:p>
    <w:p w14:paraId="234545C4" w14:textId="77777777" w:rsidR="00BC4BA3" w:rsidRPr="007A0CEE" w:rsidRDefault="00BC4BA3" w:rsidP="00BB77E6">
      <w:pPr>
        <w:pStyle w:val="Default"/>
        <w:shd w:val="clear" w:color="auto" w:fill="DBE5F1" w:themeFill="accent1" w:themeFillTint="33"/>
        <w:rPr>
          <w:b/>
          <w:sz w:val="20"/>
          <w:szCs w:val="20"/>
        </w:rPr>
      </w:pPr>
    </w:p>
    <w:p w14:paraId="339243AD" w14:textId="77777777" w:rsidR="00BC4BA3" w:rsidRDefault="00BC4BA3" w:rsidP="00BB77E6">
      <w:pPr>
        <w:shd w:val="clear" w:color="auto" w:fill="DBE5F1" w:themeFill="accent1" w:themeFillTint="33"/>
        <w:rPr>
          <w:rFonts w:ascii="Arial" w:hAnsi="Arial" w:cs="Arial"/>
          <w:sz w:val="20"/>
          <w:szCs w:val="20"/>
        </w:rPr>
      </w:pPr>
      <w:r w:rsidRPr="007A0CEE">
        <w:rPr>
          <w:rFonts w:ascii="Arial" w:hAnsi="Arial" w:cs="Arial"/>
          <w:sz w:val="20"/>
          <w:szCs w:val="20"/>
        </w:rPr>
        <w:t xml:space="preserve">The </w:t>
      </w:r>
      <w:r w:rsidRPr="007D1D19">
        <w:rPr>
          <w:rFonts w:ascii="Arial" w:hAnsi="Arial" w:cs="Arial"/>
          <w:sz w:val="20"/>
          <w:szCs w:val="20"/>
        </w:rPr>
        <w:t xml:space="preserve">Accreditation Committee expects the education provider to explain how they meet each standard and provide the relevant expected information. </w:t>
      </w:r>
    </w:p>
    <w:p w14:paraId="0D3B04AA" w14:textId="77777777" w:rsidR="00BC4BA3" w:rsidRDefault="00BC4BA3" w:rsidP="00BB77E6">
      <w:pPr>
        <w:shd w:val="clear" w:color="auto" w:fill="DBE5F1" w:themeFill="accent1" w:themeFillTint="33"/>
        <w:rPr>
          <w:rFonts w:ascii="Arial" w:hAnsi="Arial" w:cs="Arial"/>
          <w:sz w:val="20"/>
          <w:szCs w:val="20"/>
        </w:rPr>
      </w:pPr>
    </w:p>
    <w:p w14:paraId="2C2EA5CE" w14:textId="77777777" w:rsidR="00BC4BA3" w:rsidRDefault="00BC4BA3" w:rsidP="00BB77E6">
      <w:pPr>
        <w:shd w:val="clear" w:color="auto" w:fill="DBE5F1" w:themeFill="accent1" w:themeFillTint="33"/>
        <w:rPr>
          <w:rFonts w:ascii="Arial" w:hAnsi="Arial" w:cs="Arial"/>
          <w:sz w:val="20"/>
          <w:szCs w:val="20"/>
        </w:rPr>
      </w:pPr>
      <w:r w:rsidRPr="007D1D19">
        <w:rPr>
          <w:rFonts w:ascii="Arial" w:hAnsi="Arial" w:cs="Arial"/>
          <w:sz w:val="20"/>
          <w:szCs w:val="20"/>
        </w:rPr>
        <w:t>Education providers are expected to:</w:t>
      </w:r>
    </w:p>
    <w:p w14:paraId="149BA495" w14:textId="77777777" w:rsidR="00BC4BA3" w:rsidRPr="007D1D19" w:rsidRDefault="00BC4BA3" w:rsidP="00BB77E6">
      <w:pPr>
        <w:shd w:val="clear" w:color="auto" w:fill="DBE5F1" w:themeFill="accent1" w:themeFillTint="33"/>
        <w:rPr>
          <w:rFonts w:ascii="Arial" w:hAnsi="Arial" w:cs="Arial"/>
          <w:sz w:val="20"/>
          <w:szCs w:val="20"/>
        </w:rPr>
      </w:pPr>
    </w:p>
    <w:p w14:paraId="3205AC51" w14:textId="25EFDC41" w:rsidR="00BC4BA3" w:rsidRDefault="00BC4BA3" w:rsidP="00EB17E2">
      <w:pPr>
        <w:numPr>
          <w:ilvl w:val="0"/>
          <w:numId w:val="34"/>
        </w:numPr>
        <w:shd w:val="clear" w:color="auto" w:fill="DBE5F1" w:themeFill="accent1" w:themeFillTint="33"/>
        <w:rPr>
          <w:rFonts w:ascii="Arial" w:hAnsi="Arial" w:cs="Arial"/>
          <w:sz w:val="20"/>
          <w:szCs w:val="20"/>
        </w:rPr>
      </w:pPr>
      <w:r w:rsidRPr="007D1D19">
        <w:rPr>
          <w:rFonts w:ascii="Arial" w:hAnsi="Arial" w:cs="Arial"/>
          <w:sz w:val="20"/>
          <w:szCs w:val="20"/>
        </w:rPr>
        <w:t xml:space="preserve">make clear </w:t>
      </w:r>
      <w:r>
        <w:rPr>
          <w:rFonts w:ascii="Arial" w:hAnsi="Arial" w:cs="Arial"/>
          <w:sz w:val="20"/>
          <w:szCs w:val="20"/>
        </w:rPr>
        <w:t>in their</w:t>
      </w:r>
      <w:r w:rsidRPr="007D1D19">
        <w:rPr>
          <w:rFonts w:ascii="Arial" w:hAnsi="Arial" w:cs="Arial"/>
          <w:sz w:val="20"/>
          <w:szCs w:val="20"/>
        </w:rPr>
        <w:t xml:space="preserve"> explanation, the </w:t>
      </w:r>
      <w:r w:rsidR="00BE44A2">
        <w:rPr>
          <w:rFonts w:ascii="Arial" w:hAnsi="Arial" w:cs="Arial"/>
          <w:sz w:val="20"/>
          <w:szCs w:val="20"/>
        </w:rPr>
        <w:t>relevance</w:t>
      </w:r>
      <w:r w:rsidR="00BE44A2" w:rsidRPr="007D1D19">
        <w:rPr>
          <w:rFonts w:ascii="Arial" w:hAnsi="Arial" w:cs="Arial"/>
          <w:sz w:val="20"/>
          <w:szCs w:val="20"/>
        </w:rPr>
        <w:t xml:space="preserve"> </w:t>
      </w:r>
      <w:r w:rsidRPr="007D1D19">
        <w:rPr>
          <w:rFonts w:ascii="Arial" w:hAnsi="Arial" w:cs="Arial"/>
          <w:sz w:val="20"/>
          <w:szCs w:val="20"/>
        </w:rPr>
        <w:t xml:space="preserve">of including each piece of information </w:t>
      </w:r>
    </w:p>
    <w:p w14:paraId="1EB05E25" w14:textId="77777777" w:rsidR="00BC4BA3" w:rsidRPr="008D756D" w:rsidRDefault="00BC4BA3" w:rsidP="00EB17E2">
      <w:pPr>
        <w:numPr>
          <w:ilvl w:val="0"/>
          <w:numId w:val="34"/>
        </w:numPr>
        <w:shd w:val="clear" w:color="auto" w:fill="DBE5F1" w:themeFill="accent1" w:themeFillTint="33"/>
        <w:rPr>
          <w:rFonts w:ascii="Arial" w:hAnsi="Arial" w:cs="Arial"/>
          <w:sz w:val="20"/>
          <w:szCs w:val="20"/>
        </w:rPr>
      </w:pPr>
      <w:r w:rsidRPr="007D1D19">
        <w:rPr>
          <w:rFonts w:ascii="Arial" w:hAnsi="Arial" w:cs="Arial"/>
          <w:sz w:val="20"/>
          <w:szCs w:val="20"/>
        </w:rPr>
        <w:t>highlight where the relevant information can be found in the expected information documents i.e. provide the page number and paragraph number which are relevant</w:t>
      </w:r>
      <w:r>
        <w:rPr>
          <w:rFonts w:ascii="Arial" w:hAnsi="Arial" w:cs="Arial"/>
          <w:sz w:val="20"/>
          <w:szCs w:val="20"/>
        </w:rPr>
        <w:t>, and</w:t>
      </w:r>
    </w:p>
    <w:p w14:paraId="6F186630" w14:textId="77777777" w:rsidR="00BC4BA3" w:rsidRPr="000F3133" w:rsidRDefault="00BC4BA3" w:rsidP="00EB17E2">
      <w:pPr>
        <w:numPr>
          <w:ilvl w:val="0"/>
          <w:numId w:val="34"/>
        </w:numPr>
        <w:shd w:val="clear" w:color="auto" w:fill="DBE5F1" w:themeFill="accent1" w:themeFillTint="33"/>
        <w:rPr>
          <w:rFonts w:ascii="Arial" w:hAnsi="Arial" w:cs="Arial"/>
          <w:sz w:val="20"/>
          <w:szCs w:val="20"/>
        </w:rPr>
      </w:pPr>
      <w:r w:rsidRPr="007D1D19">
        <w:rPr>
          <w:rFonts w:ascii="Arial" w:hAnsi="Arial" w:cs="Arial"/>
          <w:sz w:val="20"/>
          <w:szCs w:val="20"/>
        </w:rPr>
        <w:lastRenderedPageBreak/>
        <w:t xml:space="preserve">reference the criterion </w:t>
      </w:r>
      <w:r w:rsidRPr="000F3133">
        <w:rPr>
          <w:rFonts w:ascii="Arial" w:hAnsi="Arial" w:cs="Arial"/>
          <w:sz w:val="20"/>
          <w:szCs w:val="20"/>
        </w:rPr>
        <w:t>(or criteria) to which each piece of expected information relates.</w:t>
      </w:r>
    </w:p>
    <w:p w14:paraId="16153AD9" w14:textId="77777777" w:rsidR="00BC4BA3" w:rsidRPr="000F3133" w:rsidRDefault="00BC4BA3" w:rsidP="00BB77E6">
      <w:pPr>
        <w:pStyle w:val="Default"/>
        <w:shd w:val="clear" w:color="auto" w:fill="DBE5F1" w:themeFill="accent1" w:themeFillTint="33"/>
        <w:rPr>
          <w:sz w:val="20"/>
          <w:szCs w:val="20"/>
        </w:rPr>
      </w:pPr>
    </w:p>
    <w:p w14:paraId="477F509A" w14:textId="00418224" w:rsidR="00BC4BA3" w:rsidRPr="000F3133" w:rsidRDefault="00BC4BA3" w:rsidP="00BB77E6">
      <w:pPr>
        <w:shd w:val="clear" w:color="auto" w:fill="DBE5F1" w:themeFill="accent1" w:themeFillTint="33"/>
        <w:rPr>
          <w:rFonts w:ascii="Arial" w:hAnsi="Arial" w:cs="Arial"/>
          <w:sz w:val="20"/>
          <w:szCs w:val="20"/>
        </w:rPr>
      </w:pPr>
      <w:r w:rsidRPr="000F3133">
        <w:rPr>
          <w:rFonts w:ascii="Arial" w:hAnsi="Arial" w:cs="Arial"/>
          <w:sz w:val="20"/>
          <w:szCs w:val="20"/>
        </w:rPr>
        <w:t xml:space="preserve">Some documents listed in the expected information may be applicable across multiple standards and criteria. For example, unit/subject profiles/outlines are expected to be provided for </w:t>
      </w:r>
      <w:r w:rsidRPr="009445ED">
        <w:rPr>
          <w:rFonts w:ascii="Arial" w:hAnsi="Arial" w:cs="Arial"/>
          <w:sz w:val="20"/>
          <w:szCs w:val="20"/>
        </w:rPr>
        <w:t>Criteria 1.1, 3.5, 3.6 and 5.1</w:t>
      </w:r>
      <w:r w:rsidRPr="000F3133">
        <w:rPr>
          <w:rFonts w:ascii="Arial" w:hAnsi="Arial" w:cs="Arial"/>
          <w:sz w:val="20"/>
          <w:szCs w:val="20"/>
        </w:rPr>
        <w:t xml:space="preserve">, but serve different purposes for each criterion, therefore the accompanying explanation would be different for each criterion. </w:t>
      </w:r>
    </w:p>
    <w:p w14:paraId="7A43FF81" w14:textId="77777777" w:rsidR="00BC4BA3" w:rsidRPr="000F3133" w:rsidRDefault="00BC4BA3" w:rsidP="00BB77E6">
      <w:pPr>
        <w:pStyle w:val="Default"/>
        <w:shd w:val="clear" w:color="auto" w:fill="DBE5F1" w:themeFill="accent1" w:themeFillTint="33"/>
        <w:rPr>
          <w:sz w:val="20"/>
          <w:szCs w:val="20"/>
        </w:rPr>
      </w:pPr>
    </w:p>
    <w:p w14:paraId="1DADF6B8" w14:textId="77777777" w:rsidR="00BC4BA3" w:rsidRPr="000F3133" w:rsidRDefault="00BC4BA3" w:rsidP="00BB77E6">
      <w:pPr>
        <w:pStyle w:val="Default"/>
        <w:shd w:val="clear" w:color="auto" w:fill="DBE5F1" w:themeFill="accent1" w:themeFillTint="33"/>
        <w:rPr>
          <w:b/>
          <w:color w:val="2E74B5"/>
          <w:sz w:val="20"/>
        </w:rPr>
      </w:pPr>
      <w:r w:rsidRPr="000F3133">
        <w:rPr>
          <w:b/>
          <w:color w:val="2E74B5"/>
          <w:sz w:val="20"/>
        </w:rPr>
        <w:t>Providing a staffing profile</w:t>
      </w:r>
    </w:p>
    <w:p w14:paraId="35DEB840" w14:textId="77777777" w:rsidR="00BC4BA3" w:rsidRPr="000F3133" w:rsidRDefault="00BC4BA3" w:rsidP="00BB77E6">
      <w:pPr>
        <w:pStyle w:val="Default"/>
        <w:shd w:val="clear" w:color="auto" w:fill="DBE5F1" w:themeFill="accent1" w:themeFillTint="33"/>
        <w:rPr>
          <w:color w:val="2E74B5"/>
          <w:sz w:val="20"/>
        </w:rPr>
      </w:pPr>
    </w:p>
    <w:p w14:paraId="3C4F4D10" w14:textId="43D77097" w:rsidR="00BC4BA3" w:rsidRPr="000F3133" w:rsidRDefault="00BC4BA3" w:rsidP="00BB77E6">
      <w:pPr>
        <w:pStyle w:val="Default"/>
        <w:shd w:val="clear" w:color="auto" w:fill="DBE5F1" w:themeFill="accent1" w:themeFillTint="33"/>
        <w:rPr>
          <w:rFonts w:eastAsia="Times New Roman"/>
          <w:color w:val="auto"/>
          <w:sz w:val="20"/>
          <w:szCs w:val="20"/>
        </w:rPr>
      </w:pPr>
      <w:r w:rsidRPr="000F3133">
        <w:rPr>
          <w:rFonts w:eastAsia="Times New Roman"/>
          <w:color w:val="auto"/>
          <w:sz w:val="20"/>
          <w:szCs w:val="20"/>
        </w:rPr>
        <w:t xml:space="preserve">The Accreditation Committee expects the education provider to provide a staffing profile for </w:t>
      </w:r>
      <w:r w:rsidRPr="009445ED">
        <w:rPr>
          <w:rFonts w:eastAsia="Times New Roman"/>
          <w:color w:val="auto"/>
          <w:sz w:val="20"/>
          <w:szCs w:val="20"/>
        </w:rPr>
        <w:t xml:space="preserve">Criteria </w:t>
      </w:r>
      <w:r w:rsidR="009445ED">
        <w:rPr>
          <w:rFonts w:eastAsia="Times New Roman"/>
          <w:color w:val="auto"/>
          <w:sz w:val="20"/>
          <w:szCs w:val="20"/>
        </w:rPr>
        <w:t>2.11</w:t>
      </w:r>
      <w:r w:rsidR="002E33AC">
        <w:rPr>
          <w:rFonts w:eastAsia="Times New Roman"/>
          <w:color w:val="auto"/>
          <w:sz w:val="20"/>
          <w:szCs w:val="20"/>
        </w:rPr>
        <w:t>, 3.11</w:t>
      </w:r>
      <w:r w:rsidR="000F3133" w:rsidRPr="009445ED">
        <w:rPr>
          <w:rFonts w:eastAsia="Times New Roman"/>
          <w:color w:val="auto"/>
          <w:sz w:val="20"/>
          <w:szCs w:val="20"/>
        </w:rPr>
        <w:t xml:space="preserve"> </w:t>
      </w:r>
      <w:r w:rsidRPr="009445ED">
        <w:rPr>
          <w:rFonts w:eastAsia="Times New Roman"/>
          <w:color w:val="auto"/>
          <w:sz w:val="20"/>
          <w:szCs w:val="20"/>
        </w:rPr>
        <w:t>and 5.4</w:t>
      </w:r>
      <w:r w:rsidRPr="000F3133">
        <w:rPr>
          <w:rFonts w:eastAsia="Times New Roman"/>
          <w:color w:val="auto"/>
          <w:sz w:val="20"/>
          <w:szCs w:val="20"/>
        </w:rPr>
        <w:t>. The purpose of the staffing profile differs for each standard. The Accreditation Committee recognises that there may be duplication of information requested across these criteria, and therefore would accept submission of one staffing profile that covers all the relevant information across the criteria mentioned above.</w:t>
      </w:r>
    </w:p>
    <w:p w14:paraId="494C222C" w14:textId="77777777" w:rsidR="00BC4BA3" w:rsidRPr="000F3133" w:rsidRDefault="00BC4BA3" w:rsidP="00BB77E6">
      <w:pPr>
        <w:pStyle w:val="Default"/>
        <w:shd w:val="clear" w:color="auto" w:fill="DBE5F1" w:themeFill="accent1" w:themeFillTint="33"/>
        <w:rPr>
          <w:rFonts w:eastAsia="Times New Roman"/>
          <w:color w:val="auto"/>
          <w:sz w:val="20"/>
          <w:szCs w:val="20"/>
        </w:rPr>
      </w:pPr>
    </w:p>
    <w:p w14:paraId="16443364" w14:textId="77777777" w:rsidR="00BC4BA3" w:rsidRPr="000F3133" w:rsidRDefault="00BC4BA3" w:rsidP="00BB77E6">
      <w:pPr>
        <w:shd w:val="clear" w:color="auto" w:fill="DBE5F1" w:themeFill="accent1" w:themeFillTint="33"/>
        <w:rPr>
          <w:rFonts w:ascii="Arial" w:hAnsi="Arial" w:cs="Arial"/>
          <w:sz w:val="20"/>
          <w:szCs w:val="20"/>
        </w:rPr>
      </w:pPr>
      <w:r w:rsidRPr="000F3133">
        <w:rPr>
          <w:rFonts w:ascii="Arial" w:hAnsi="Arial" w:cs="Arial"/>
          <w:sz w:val="20"/>
          <w:szCs w:val="20"/>
        </w:rPr>
        <w:t xml:space="preserve">A template for the staffing profile is available to education providers for completion. Use of the template is optional and the information can be set out in a different format, </w:t>
      </w:r>
      <w:proofErr w:type="gramStart"/>
      <w:r w:rsidRPr="000F3133">
        <w:rPr>
          <w:rFonts w:ascii="Arial" w:hAnsi="Arial" w:cs="Arial"/>
          <w:sz w:val="20"/>
          <w:szCs w:val="20"/>
        </w:rPr>
        <w:t>as long as</w:t>
      </w:r>
      <w:proofErr w:type="gramEnd"/>
      <w:r w:rsidRPr="000F3133">
        <w:rPr>
          <w:rFonts w:ascii="Arial" w:hAnsi="Arial" w:cs="Arial"/>
          <w:sz w:val="20"/>
          <w:szCs w:val="20"/>
        </w:rPr>
        <w:t xml:space="preserve"> it includes the details identified in the expected information for relevant criteria.</w:t>
      </w:r>
    </w:p>
    <w:p w14:paraId="7505105F" w14:textId="77777777" w:rsidR="00BC4BA3" w:rsidRPr="000F3133" w:rsidRDefault="00BC4BA3" w:rsidP="00BB77E6">
      <w:pPr>
        <w:shd w:val="clear" w:color="auto" w:fill="DBE5F1" w:themeFill="accent1" w:themeFillTint="33"/>
        <w:rPr>
          <w:rFonts w:ascii="Arial" w:hAnsi="Arial" w:cs="Arial"/>
          <w:sz w:val="20"/>
          <w:szCs w:val="20"/>
        </w:rPr>
      </w:pPr>
    </w:p>
    <w:p w14:paraId="15B35417" w14:textId="51744843" w:rsidR="00BC4BA3" w:rsidRPr="000F3133" w:rsidRDefault="00BC4BA3" w:rsidP="00BB77E6">
      <w:pPr>
        <w:pStyle w:val="Default"/>
        <w:shd w:val="clear" w:color="auto" w:fill="DBE5F1" w:themeFill="accent1" w:themeFillTint="33"/>
        <w:rPr>
          <w:b/>
          <w:color w:val="2E74B5"/>
          <w:sz w:val="20"/>
        </w:rPr>
      </w:pPr>
      <w:r w:rsidRPr="000F3133">
        <w:rPr>
          <w:b/>
          <w:color w:val="2E74B5"/>
          <w:sz w:val="20"/>
        </w:rPr>
        <w:t>Providing examples of assessments</w:t>
      </w:r>
    </w:p>
    <w:p w14:paraId="1BADA20B" w14:textId="77777777" w:rsidR="00BC4BA3" w:rsidRPr="000F3133" w:rsidRDefault="00BC4BA3" w:rsidP="00BB77E6">
      <w:pPr>
        <w:pStyle w:val="Default"/>
        <w:shd w:val="clear" w:color="auto" w:fill="DBE5F1" w:themeFill="accent1" w:themeFillTint="33"/>
        <w:rPr>
          <w:color w:val="2E74B5"/>
          <w:sz w:val="20"/>
        </w:rPr>
      </w:pPr>
    </w:p>
    <w:p w14:paraId="6F2E2F80" w14:textId="30854E0D" w:rsidR="00BC4BA3" w:rsidRPr="00202918" w:rsidRDefault="00BC4BA3" w:rsidP="00BB77E6">
      <w:pPr>
        <w:pStyle w:val="Default"/>
        <w:shd w:val="clear" w:color="auto" w:fill="DBE5F1" w:themeFill="accent1" w:themeFillTint="33"/>
        <w:rPr>
          <w:color w:val="2E74B5"/>
          <w:sz w:val="20"/>
        </w:rPr>
      </w:pPr>
      <w:r w:rsidRPr="000F3133">
        <w:rPr>
          <w:sz w:val="20"/>
          <w:szCs w:val="20"/>
        </w:rPr>
        <w:t xml:space="preserve">The </w:t>
      </w:r>
      <w:r w:rsidRPr="009445ED">
        <w:rPr>
          <w:sz w:val="20"/>
          <w:szCs w:val="20"/>
        </w:rPr>
        <w:t xml:space="preserve">Accreditation Committee expects the education provider to provide examples of assessments for Criteria 1.1, 1.3, </w:t>
      </w:r>
      <w:r w:rsidR="009445ED" w:rsidRPr="009445ED">
        <w:rPr>
          <w:sz w:val="20"/>
          <w:szCs w:val="20"/>
        </w:rPr>
        <w:t xml:space="preserve">3.8 </w:t>
      </w:r>
      <w:r w:rsidRPr="009445ED">
        <w:rPr>
          <w:sz w:val="20"/>
          <w:szCs w:val="20"/>
        </w:rPr>
        <w:t>and 5.</w:t>
      </w:r>
      <w:r w:rsidR="009445ED" w:rsidRPr="009445ED">
        <w:rPr>
          <w:sz w:val="20"/>
          <w:szCs w:val="20"/>
        </w:rPr>
        <w:t>3</w:t>
      </w:r>
      <w:r w:rsidRPr="009445ED">
        <w:rPr>
          <w:sz w:val="20"/>
          <w:szCs w:val="20"/>
        </w:rPr>
        <w:t xml:space="preserve">. The examples are expected to include </w:t>
      </w:r>
      <w:r w:rsidR="006F2D2E" w:rsidRPr="009445ED">
        <w:rPr>
          <w:sz w:val="20"/>
          <w:szCs w:val="20"/>
        </w:rPr>
        <w:t>a range of</w:t>
      </w:r>
      <w:r w:rsidRPr="009445ED">
        <w:rPr>
          <w:sz w:val="20"/>
          <w:szCs w:val="20"/>
        </w:rPr>
        <w:t xml:space="preserve"> different assessment tools </w:t>
      </w:r>
      <w:r w:rsidRPr="005A4271">
        <w:rPr>
          <w:sz w:val="20"/>
          <w:szCs w:val="20"/>
        </w:rPr>
        <w:t xml:space="preserve">or modalities. For each tool or modality, it is expected that </w:t>
      </w:r>
      <w:r w:rsidR="00E900E3" w:rsidRPr="005A4271">
        <w:rPr>
          <w:sz w:val="20"/>
          <w:szCs w:val="20"/>
        </w:rPr>
        <w:t>a range of</w:t>
      </w:r>
      <w:r w:rsidRPr="005A4271">
        <w:rPr>
          <w:sz w:val="20"/>
          <w:szCs w:val="20"/>
        </w:rPr>
        <w:t xml:space="preserve"> de-identified examples from students across the range</w:t>
      </w:r>
      <w:r w:rsidRPr="000F3133">
        <w:rPr>
          <w:sz w:val="20"/>
          <w:szCs w:val="20"/>
        </w:rPr>
        <w:t xml:space="preserve"> of performance are provided. Where possible this will include an example of a satisfactory or pass, and an example of unsatisfactory or </w:t>
      </w:r>
      <w:r w:rsidR="00BE44A2" w:rsidRPr="000F3133">
        <w:rPr>
          <w:sz w:val="20"/>
          <w:szCs w:val="20"/>
        </w:rPr>
        <w:t>where the benchmark is</w:t>
      </w:r>
      <w:r w:rsidR="00BE44A2">
        <w:rPr>
          <w:sz w:val="20"/>
          <w:szCs w:val="20"/>
        </w:rPr>
        <w:t xml:space="preserve"> not yet met</w:t>
      </w:r>
      <w:r w:rsidRPr="00202918">
        <w:rPr>
          <w:rFonts w:eastAsia="Times New Roman"/>
          <w:color w:val="auto"/>
          <w:sz w:val="20"/>
          <w:szCs w:val="20"/>
        </w:rPr>
        <w:t xml:space="preserve">. </w:t>
      </w:r>
    </w:p>
    <w:p w14:paraId="59E1217B" w14:textId="77777777" w:rsidR="00BC4BA3" w:rsidRDefault="00BC4BA3" w:rsidP="00BB77E6">
      <w:pPr>
        <w:pStyle w:val="Default"/>
        <w:shd w:val="clear" w:color="auto" w:fill="DBE5F1" w:themeFill="accent1" w:themeFillTint="33"/>
        <w:rPr>
          <w:color w:val="2E74B5"/>
          <w:sz w:val="20"/>
        </w:rPr>
      </w:pPr>
    </w:p>
    <w:p w14:paraId="2CCE5FC0" w14:textId="77777777" w:rsidR="00BC4BA3" w:rsidRPr="00BB77E6" w:rsidRDefault="00BC4BA3" w:rsidP="00BB77E6">
      <w:pPr>
        <w:pStyle w:val="Default"/>
        <w:shd w:val="clear" w:color="auto" w:fill="DBE5F1" w:themeFill="accent1" w:themeFillTint="33"/>
        <w:rPr>
          <w:b/>
          <w:color w:val="2E74B5"/>
          <w:sz w:val="20"/>
        </w:rPr>
      </w:pPr>
      <w:r w:rsidRPr="00BB77E6">
        <w:rPr>
          <w:b/>
          <w:color w:val="2E74B5"/>
          <w:sz w:val="20"/>
        </w:rPr>
        <w:t>Implementation of formal mechanisms</w:t>
      </w:r>
    </w:p>
    <w:p w14:paraId="043C0A17" w14:textId="77777777" w:rsidR="00BC4BA3" w:rsidRPr="00D438E2" w:rsidRDefault="00BC4BA3" w:rsidP="00BB77E6">
      <w:pPr>
        <w:pStyle w:val="Default"/>
        <w:shd w:val="clear" w:color="auto" w:fill="DBE5F1" w:themeFill="accent1" w:themeFillTint="33"/>
        <w:rPr>
          <w:color w:val="2E74B5"/>
          <w:sz w:val="20"/>
        </w:rPr>
      </w:pPr>
      <w:r w:rsidRPr="00D438E2">
        <w:rPr>
          <w:color w:val="2E74B5"/>
          <w:sz w:val="20"/>
        </w:rPr>
        <w:t xml:space="preserve"> </w:t>
      </w:r>
    </w:p>
    <w:p w14:paraId="270C15F6" w14:textId="718A38A1" w:rsidR="00BC4BA3" w:rsidRDefault="00BC4BA3" w:rsidP="00FD63BF">
      <w:pPr>
        <w:pStyle w:val="Default"/>
        <w:shd w:val="clear" w:color="auto" w:fill="DBE5F1" w:themeFill="accent1" w:themeFillTint="33"/>
        <w:rPr>
          <w:sz w:val="20"/>
          <w:szCs w:val="20"/>
        </w:rPr>
      </w:pPr>
      <w:r w:rsidRPr="00257041">
        <w:rPr>
          <w:sz w:val="20"/>
          <w:szCs w:val="20"/>
        </w:rPr>
        <w:t xml:space="preserve">The </w:t>
      </w:r>
      <w:r w:rsidRPr="00D438E2">
        <w:rPr>
          <w:sz w:val="20"/>
          <w:szCs w:val="20"/>
        </w:rPr>
        <w:t>Accreditation Committee</w:t>
      </w:r>
      <w:r w:rsidRPr="00966DC4">
        <w:rPr>
          <w:sz w:val="20"/>
          <w:szCs w:val="20"/>
        </w:rPr>
        <w:t xml:space="preserve"> recognises that it is likely that TEQSA has assessed the </w:t>
      </w:r>
      <w:r w:rsidRPr="00D438E2">
        <w:rPr>
          <w:sz w:val="20"/>
          <w:szCs w:val="20"/>
        </w:rPr>
        <w:t>education provider’s</w:t>
      </w:r>
      <w:r w:rsidRPr="00966DC4">
        <w:rPr>
          <w:sz w:val="20"/>
          <w:szCs w:val="20"/>
        </w:rPr>
        <w:t xml:space="preserve"> policy and procedure portfolio. The </w:t>
      </w:r>
      <w:r w:rsidRPr="00D438E2">
        <w:rPr>
          <w:sz w:val="20"/>
          <w:szCs w:val="20"/>
        </w:rPr>
        <w:t xml:space="preserve">Accreditation </w:t>
      </w:r>
      <w:r w:rsidRPr="00202918">
        <w:rPr>
          <w:sz w:val="20"/>
          <w:szCs w:val="20"/>
        </w:rPr>
        <w:t>Committee requires evidence</w:t>
      </w:r>
      <w:r w:rsidRPr="00966DC4">
        <w:rPr>
          <w:sz w:val="20"/>
          <w:szCs w:val="20"/>
        </w:rPr>
        <w:t xml:space="preserve"> of the implementation of formal mechanisms at the </w:t>
      </w:r>
      <w:r w:rsidR="001457C2">
        <w:rPr>
          <w:sz w:val="20"/>
          <w:szCs w:val="20"/>
        </w:rPr>
        <w:t>unit/subject</w:t>
      </w:r>
      <w:r w:rsidR="001457C2" w:rsidRPr="00966DC4">
        <w:rPr>
          <w:sz w:val="20"/>
          <w:szCs w:val="20"/>
        </w:rPr>
        <w:t xml:space="preserve"> </w:t>
      </w:r>
      <w:r w:rsidRPr="00966DC4">
        <w:rPr>
          <w:sz w:val="20"/>
          <w:szCs w:val="20"/>
        </w:rPr>
        <w:t xml:space="preserve">level </w:t>
      </w:r>
      <w:r w:rsidR="00E903FE">
        <w:rPr>
          <w:sz w:val="20"/>
          <w:szCs w:val="20"/>
        </w:rPr>
        <w:t>(</w:t>
      </w:r>
      <w:r w:rsidRPr="00966DC4">
        <w:rPr>
          <w:sz w:val="20"/>
          <w:szCs w:val="20"/>
        </w:rPr>
        <w:t>i.e. the outputs</w:t>
      </w:r>
      <w:r>
        <w:rPr>
          <w:sz w:val="20"/>
          <w:szCs w:val="20"/>
        </w:rPr>
        <w:t xml:space="preserve"> and/or </w:t>
      </w:r>
      <w:r w:rsidRPr="00966DC4">
        <w:rPr>
          <w:sz w:val="20"/>
          <w:szCs w:val="20"/>
        </w:rPr>
        <w:t>outcomes</w:t>
      </w:r>
      <w:r w:rsidR="00E903FE">
        <w:rPr>
          <w:sz w:val="20"/>
          <w:szCs w:val="20"/>
        </w:rPr>
        <w:t>)</w:t>
      </w:r>
      <w:r w:rsidRPr="00966DC4">
        <w:rPr>
          <w:sz w:val="20"/>
          <w:szCs w:val="20"/>
        </w:rPr>
        <w:t xml:space="preserve">, not just a description of the process, or copies of policy and procedure documents </w:t>
      </w:r>
      <w:r w:rsidR="00E903FE">
        <w:rPr>
          <w:sz w:val="20"/>
          <w:szCs w:val="20"/>
        </w:rPr>
        <w:t>(</w:t>
      </w:r>
      <w:r w:rsidRPr="00966DC4">
        <w:rPr>
          <w:sz w:val="20"/>
          <w:szCs w:val="20"/>
        </w:rPr>
        <w:t xml:space="preserve">i.e. </w:t>
      </w:r>
      <w:r w:rsidR="00E903FE">
        <w:rPr>
          <w:sz w:val="20"/>
          <w:szCs w:val="20"/>
        </w:rPr>
        <w:t xml:space="preserve">not just </w:t>
      </w:r>
      <w:r w:rsidRPr="00966DC4">
        <w:rPr>
          <w:sz w:val="20"/>
          <w:szCs w:val="20"/>
        </w:rPr>
        <w:t>the inputs</w:t>
      </w:r>
      <w:r w:rsidR="00E903FE">
        <w:rPr>
          <w:sz w:val="20"/>
          <w:szCs w:val="20"/>
        </w:rPr>
        <w:t>)</w:t>
      </w:r>
      <w:r w:rsidRPr="00966DC4">
        <w:rPr>
          <w:sz w:val="20"/>
          <w:szCs w:val="20"/>
        </w:rPr>
        <w:t>.</w:t>
      </w:r>
      <w:r w:rsidRPr="004A3F01">
        <w:rPr>
          <w:sz w:val="20"/>
          <w:szCs w:val="20"/>
        </w:rPr>
        <w:t xml:space="preserve"> </w:t>
      </w:r>
    </w:p>
    <w:p w14:paraId="31FC249B" w14:textId="3380EE95" w:rsidR="002A24E3" w:rsidRPr="002838B3" w:rsidRDefault="002A24E3" w:rsidP="002838B3">
      <w:pPr>
        <w:pStyle w:val="Heading2"/>
        <w:spacing w:before="200" w:after="200"/>
        <w:rPr>
          <w:rFonts w:ascii="Arial" w:hAnsi="Arial"/>
          <w:i w:val="0"/>
          <w:color w:val="007DC3"/>
        </w:rPr>
      </w:pPr>
      <w:bookmarkStart w:id="10" w:name="_Toc55994913"/>
      <w:r w:rsidRPr="002838B3">
        <w:rPr>
          <w:rFonts w:ascii="Arial" w:hAnsi="Arial"/>
          <w:i w:val="0"/>
          <w:color w:val="007DC3"/>
        </w:rPr>
        <w:t xml:space="preserve">Monitoring accredited </w:t>
      </w:r>
      <w:r w:rsidR="008C1B85" w:rsidRPr="002838B3">
        <w:rPr>
          <w:rFonts w:ascii="Arial" w:hAnsi="Arial"/>
          <w:i w:val="0"/>
          <w:color w:val="007DC3"/>
        </w:rPr>
        <w:t>podiatry scheduled medicines education</w:t>
      </w:r>
      <w:bookmarkEnd w:id="10"/>
    </w:p>
    <w:p w14:paraId="11EAE15A" w14:textId="77777777" w:rsidR="002838B3" w:rsidRPr="004653E7" w:rsidRDefault="002838B3" w:rsidP="002838B3">
      <w:pPr>
        <w:spacing w:after="200"/>
        <w:rPr>
          <w:rFonts w:ascii="Arial" w:hAnsi="Arial" w:cs="Arial"/>
          <w:sz w:val="20"/>
          <w:szCs w:val="20"/>
        </w:rPr>
      </w:pPr>
      <w:r w:rsidRPr="004653E7">
        <w:rPr>
          <w:rFonts w:ascii="Arial" w:hAnsi="Arial" w:cs="Arial"/>
          <w:sz w:val="20"/>
          <w:szCs w:val="20"/>
        </w:rPr>
        <w:t xml:space="preserve">After the Accreditation Committee accredits a </w:t>
      </w:r>
      <w:r>
        <w:rPr>
          <w:rFonts w:ascii="Arial" w:hAnsi="Arial" w:cs="Arial"/>
          <w:sz w:val="20"/>
          <w:szCs w:val="20"/>
        </w:rPr>
        <w:t>podiatric therapeutics program</w:t>
      </w:r>
      <w:r w:rsidRPr="004653E7">
        <w:rPr>
          <w:rFonts w:ascii="Arial" w:hAnsi="Arial" w:cs="Arial"/>
          <w:sz w:val="20"/>
          <w:szCs w:val="20"/>
        </w:rPr>
        <w:t xml:space="preserve">, the Committee has a legal responsibility under Section 50 of the National Law to monitor whether the </w:t>
      </w:r>
      <w:r>
        <w:rPr>
          <w:rFonts w:ascii="Arial" w:hAnsi="Arial" w:cs="Arial"/>
          <w:sz w:val="20"/>
          <w:szCs w:val="20"/>
        </w:rPr>
        <w:t>podiatric therapeutics</w:t>
      </w:r>
      <w:r w:rsidRPr="004653E7">
        <w:rPr>
          <w:rFonts w:ascii="Arial" w:hAnsi="Arial" w:cs="Arial"/>
          <w:sz w:val="20"/>
          <w:szCs w:val="20"/>
        </w:rPr>
        <w:t xml:space="preserve"> </w:t>
      </w:r>
      <w:r>
        <w:rPr>
          <w:rFonts w:ascii="Arial" w:hAnsi="Arial" w:cs="Arial"/>
          <w:sz w:val="20"/>
          <w:szCs w:val="20"/>
        </w:rPr>
        <w:t xml:space="preserve">program </w:t>
      </w:r>
      <w:r w:rsidRPr="004653E7">
        <w:rPr>
          <w:rFonts w:ascii="Arial" w:hAnsi="Arial" w:cs="Arial"/>
          <w:sz w:val="20"/>
          <w:szCs w:val="20"/>
        </w:rPr>
        <w:t xml:space="preserve">continue to meet the accreditation standards. </w:t>
      </w:r>
    </w:p>
    <w:p w14:paraId="07B66F06" w14:textId="5EAB6BCD" w:rsidR="002838B3" w:rsidRDefault="002838B3" w:rsidP="002A24E3">
      <w:pPr>
        <w:rPr>
          <w:rFonts w:ascii="Arial" w:hAnsi="Arial" w:cs="Arial"/>
          <w:sz w:val="20"/>
          <w:szCs w:val="20"/>
        </w:rPr>
      </w:pPr>
      <w:r w:rsidRPr="004653E7">
        <w:rPr>
          <w:rFonts w:ascii="Arial" w:hAnsi="Arial" w:cs="Arial"/>
          <w:sz w:val="20"/>
          <w:szCs w:val="20"/>
        </w:rPr>
        <w:t xml:space="preserve">During monitoring, the Accreditation Committee relies primarily on </w:t>
      </w:r>
      <w:r>
        <w:rPr>
          <w:rFonts w:ascii="Arial" w:hAnsi="Arial" w:cs="Arial"/>
          <w:sz w:val="20"/>
          <w:szCs w:val="20"/>
        </w:rPr>
        <w:t xml:space="preserve">assessment of </w:t>
      </w:r>
      <w:r w:rsidRPr="004653E7">
        <w:rPr>
          <w:rFonts w:ascii="Arial" w:hAnsi="Arial" w:cs="Arial"/>
          <w:sz w:val="20"/>
          <w:szCs w:val="20"/>
        </w:rPr>
        <w:t xml:space="preserve">documentary evidence submitted by the education provider. If the Accreditation Committee is not reasonably satisfied the accredited </w:t>
      </w:r>
      <w:r>
        <w:rPr>
          <w:rFonts w:ascii="Arial" w:hAnsi="Arial" w:cs="Arial"/>
          <w:sz w:val="20"/>
          <w:szCs w:val="20"/>
        </w:rPr>
        <w:t>podiatric therapeutics</w:t>
      </w:r>
      <w:r w:rsidRPr="004653E7">
        <w:rPr>
          <w:rFonts w:ascii="Arial" w:hAnsi="Arial" w:cs="Arial"/>
          <w:sz w:val="20"/>
          <w:szCs w:val="20"/>
        </w:rPr>
        <w:t xml:space="preserve"> </w:t>
      </w:r>
      <w:r>
        <w:rPr>
          <w:rFonts w:ascii="Arial" w:hAnsi="Arial" w:cs="Arial"/>
          <w:sz w:val="20"/>
          <w:szCs w:val="20"/>
        </w:rPr>
        <w:t xml:space="preserve">program </w:t>
      </w:r>
      <w:r w:rsidRPr="004653E7">
        <w:rPr>
          <w:rFonts w:ascii="Arial" w:hAnsi="Arial" w:cs="Arial"/>
          <w:sz w:val="20"/>
          <w:szCs w:val="20"/>
        </w:rPr>
        <w:t xml:space="preserve">continues to meet </w:t>
      </w:r>
      <w:r>
        <w:rPr>
          <w:rFonts w:ascii="Arial" w:hAnsi="Arial" w:cs="Arial"/>
          <w:sz w:val="20"/>
          <w:szCs w:val="20"/>
        </w:rPr>
        <w:t xml:space="preserve">the </w:t>
      </w:r>
      <w:r w:rsidRPr="004653E7">
        <w:rPr>
          <w:rFonts w:ascii="Arial" w:hAnsi="Arial" w:cs="Arial"/>
          <w:sz w:val="20"/>
          <w:szCs w:val="20"/>
        </w:rPr>
        <w:t>accreditation standards, it may seek further evidence through discussions with the education provider and/or through a site visit.</w:t>
      </w:r>
    </w:p>
    <w:p w14:paraId="51CCF107" w14:textId="77777777" w:rsidR="002A24E3" w:rsidRPr="004653E7" w:rsidRDefault="002A24E3" w:rsidP="002838B3">
      <w:pPr>
        <w:pStyle w:val="Heading2"/>
        <w:spacing w:before="200" w:after="200"/>
        <w:rPr>
          <w:rFonts w:ascii="Arial" w:eastAsia="Cambria" w:hAnsi="Arial" w:cs="Arial"/>
          <w:b w:val="0"/>
          <w:color w:val="007DC3"/>
          <w:sz w:val="20"/>
          <w:szCs w:val="20"/>
        </w:rPr>
      </w:pPr>
      <w:bookmarkStart w:id="11" w:name="_Toc55994914"/>
      <w:r w:rsidRPr="002838B3">
        <w:rPr>
          <w:rFonts w:ascii="Arial" w:hAnsi="Arial"/>
          <w:i w:val="0"/>
          <w:color w:val="007DC3"/>
        </w:rPr>
        <w:t>Feedback and further information</w:t>
      </w:r>
      <w:bookmarkEnd w:id="11"/>
    </w:p>
    <w:p w14:paraId="55F16A79" w14:textId="77777777" w:rsidR="00AE7428" w:rsidRPr="004653E7" w:rsidRDefault="002A24E3" w:rsidP="002A24E3">
      <w:pPr>
        <w:rPr>
          <w:rFonts w:ascii="Arial" w:hAnsi="Arial" w:cs="Arial"/>
          <w:sz w:val="20"/>
          <w:szCs w:val="20"/>
        </w:rPr>
      </w:pPr>
      <w:r w:rsidRPr="004653E7">
        <w:rPr>
          <w:rFonts w:ascii="Arial" w:hAnsi="Arial" w:cs="Arial"/>
          <w:sz w:val="20"/>
          <w:szCs w:val="20"/>
        </w:rPr>
        <w:t xml:space="preserve">The </w:t>
      </w:r>
      <w:r w:rsidR="00350A92" w:rsidRPr="004653E7">
        <w:rPr>
          <w:rFonts w:ascii="Arial" w:hAnsi="Arial" w:cs="Arial"/>
          <w:sz w:val="20"/>
          <w:szCs w:val="20"/>
        </w:rPr>
        <w:t>Accreditation Committee</w:t>
      </w:r>
      <w:r w:rsidRPr="004653E7">
        <w:rPr>
          <w:rFonts w:ascii="Arial" w:hAnsi="Arial" w:cs="Arial"/>
          <w:sz w:val="20"/>
          <w:szCs w:val="20"/>
        </w:rPr>
        <w:t xml:space="preserve"> invite</w:t>
      </w:r>
      <w:r w:rsidR="0054393D" w:rsidRPr="004653E7">
        <w:rPr>
          <w:rFonts w:ascii="Arial" w:hAnsi="Arial" w:cs="Arial"/>
          <w:sz w:val="20"/>
          <w:szCs w:val="20"/>
        </w:rPr>
        <w:t>s</w:t>
      </w:r>
      <w:r w:rsidRPr="004653E7">
        <w:rPr>
          <w:rFonts w:ascii="Arial" w:hAnsi="Arial" w:cs="Arial"/>
          <w:sz w:val="20"/>
          <w:szCs w:val="20"/>
        </w:rPr>
        <w:t xml:space="preserve"> education providers, accreditation assessors and other users to provide feedback on the expected information and </w:t>
      </w:r>
      <w:r w:rsidR="004C07E4" w:rsidRPr="004653E7">
        <w:rPr>
          <w:rFonts w:ascii="Arial" w:hAnsi="Arial" w:cs="Arial"/>
          <w:sz w:val="20"/>
          <w:szCs w:val="20"/>
        </w:rPr>
        <w:t>explanatory notes</w:t>
      </w:r>
      <w:r w:rsidRPr="004653E7">
        <w:rPr>
          <w:rFonts w:ascii="Arial" w:hAnsi="Arial" w:cs="Arial"/>
          <w:sz w:val="20"/>
          <w:szCs w:val="20"/>
        </w:rPr>
        <w:t xml:space="preserve"> within this document. </w:t>
      </w:r>
    </w:p>
    <w:p w14:paraId="298E76AE" w14:textId="77777777" w:rsidR="00AE7428" w:rsidRPr="004653E7" w:rsidRDefault="00AE7428" w:rsidP="002A24E3">
      <w:pPr>
        <w:rPr>
          <w:rFonts w:ascii="Arial" w:hAnsi="Arial" w:cs="Arial"/>
          <w:sz w:val="20"/>
          <w:szCs w:val="20"/>
        </w:rPr>
      </w:pPr>
    </w:p>
    <w:p w14:paraId="596BB911" w14:textId="4BE4F432" w:rsidR="002A24E3" w:rsidRPr="004653E7" w:rsidRDefault="00AE7428" w:rsidP="002A24E3">
      <w:pPr>
        <w:rPr>
          <w:rFonts w:ascii="Arial" w:hAnsi="Arial" w:cs="Arial"/>
          <w:sz w:val="20"/>
          <w:szCs w:val="20"/>
        </w:rPr>
      </w:pPr>
      <w:r w:rsidRPr="004653E7">
        <w:rPr>
          <w:rFonts w:ascii="Arial" w:hAnsi="Arial" w:cs="Arial"/>
          <w:sz w:val="20"/>
          <w:szCs w:val="20"/>
        </w:rPr>
        <w:t>Please e</w:t>
      </w:r>
      <w:r w:rsidR="002A24E3" w:rsidRPr="004653E7">
        <w:rPr>
          <w:rFonts w:ascii="Arial" w:hAnsi="Arial" w:cs="Arial"/>
          <w:sz w:val="20"/>
          <w:szCs w:val="20"/>
        </w:rPr>
        <w:t>mail your comments and suggestions to</w:t>
      </w:r>
      <w:r w:rsidR="00F14AB7">
        <w:rPr>
          <w:rFonts w:ascii="Arial" w:hAnsi="Arial" w:cs="Arial"/>
          <w:sz w:val="20"/>
          <w:szCs w:val="20"/>
        </w:rPr>
        <w:t xml:space="preserve"> the </w:t>
      </w:r>
      <w:r w:rsidR="00FA40D1">
        <w:rPr>
          <w:rFonts w:ascii="Arial" w:hAnsi="Arial" w:cs="Arial"/>
          <w:sz w:val="20"/>
          <w:szCs w:val="20"/>
        </w:rPr>
        <w:t xml:space="preserve">Program </w:t>
      </w:r>
      <w:r w:rsidR="0093009E">
        <w:rPr>
          <w:rFonts w:ascii="Arial" w:hAnsi="Arial" w:cs="Arial"/>
          <w:sz w:val="20"/>
          <w:szCs w:val="20"/>
        </w:rPr>
        <w:t xml:space="preserve">Accreditation </w:t>
      </w:r>
      <w:r w:rsidR="00FA40D1">
        <w:rPr>
          <w:rFonts w:ascii="Arial" w:hAnsi="Arial" w:cs="Arial"/>
          <w:sz w:val="20"/>
          <w:szCs w:val="20"/>
        </w:rPr>
        <w:t>Team</w:t>
      </w:r>
      <w:r w:rsidR="00F14AB7">
        <w:rPr>
          <w:rFonts w:ascii="Arial" w:hAnsi="Arial" w:cs="Arial"/>
          <w:sz w:val="20"/>
          <w:szCs w:val="20"/>
        </w:rPr>
        <w:t xml:space="preserve"> at</w:t>
      </w:r>
      <w:r w:rsidR="002A24E3" w:rsidRPr="004653E7">
        <w:rPr>
          <w:rFonts w:ascii="Arial" w:hAnsi="Arial" w:cs="Arial"/>
          <w:sz w:val="20"/>
          <w:szCs w:val="20"/>
        </w:rPr>
        <w:t xml:space="preserve"> </w:t>
      </w:r>
      <w:hyperlink r:id="rId9" w:history="1">
        <w:r w:rsidR="00204B8E" w:rsidRPr="00204B8E">
          <w:rPr>
            <w:rStyle w:val="Hyperlink"/>
            <w:rFonts w:ascii="Arial" w:hAnsi="Arial" w:cs="Arial"/>
            <w:sz w:val="20"/>
            <w:szCs w:val="20"/>
          </w:rPr>
          <w:t>program.accreditation@ahpra.gov.au</w:t>
        </w:r>
      </w:hyperlink>
      <w:r w:rsidR="002E5606" w:rsidRPr="004653E7">
        <w:rPr>
          <w:rFonts w:ascii="Arial" w:hAnsi="Arial" w:cs="Arial"/>
          <w:sz w:val="20"/>
          <w:szCs w:val="20"/>
        </w:rPr>
        <w:t>.</w:t>
      </w:r>
      <w:r w:rsidR="002A24E3" w:rsidRPr="004653E7">
        <w:rPr>
          <w:rFonts w:ascii="Arial" w:hAnsi="Arial" w:cs="Arial"/>
          <w:sz w:val="20"/>
          <w:szCs w:val="20"/>
        </w:rPr>
        <w:t xml:space="preserve"> The </w:t>
      </w:r>
      <w:r w:rsidR="00350A92" w:rsidRPr="004653E7">
        <w:rPr>
          <w:rFonts w:ascii="Arial" w:hAnsi="Arial" w:cs="Arial"/>
          <w:sz w:val="20"/>
          <w:szCs w:val="20"/>
        </w:rPr>
        <w:t>Accreditation Committee</w:t>
      </w:r>
      <w:r w:rsidR="002A24E3" w:rsidRPr="004653E7">
        <w:rPr>
          <w:rFonts w:ascii="Arial" w:hAnsi="Arial" w:cs="Arial"/>
          <w:sz w:val="20"/>
          <w:szCs w:val="20"/>
        </w:rPr>
        <w:t xml:space="preserve"> will review all</w:t>
      </w:r>
      <w:r w:rsidR="00502D4D" w:rsidRPr="004653E7">
        <w:rPr>
          <w:rFonts w:ascii="Arial" w:hAnsi="Arial" w:cs="Arial"/>
          <w:sz w:val="20"/>
          <w:szCs w:val="20"/>
        </w:rPr>
        <w:t xml:space="preserve"> </w:t>
      </w:r>
      <w:r w:rsidR="002A24E3" w:rsidRPr="004653E7">
        <w:rPr>
          <w:rFonts w:ascii="Arial" w:hAnsi="Arial" w:cs="Arial"/>
          <w:sz w:val="20"/>
          <w:szCs w:val="20"/>
        </w:rPr>
        <w:t>feedback, which will inform</w:t>
      </w:r>
      <w:r w:rsidR="00303CA8" w:rsidRPr="004653E7">
        <w:rPr>
          <w:rFonts w:ascii="Arial" w:hAnsi="Arial" w:cs="Arial"/>
          <w:sz w:val="20"/>
          <w:szCs w:val="20"/>
        </w:rPr>
        <w:t xml:space="preserve"> any future</w:t>
      </w:r>
      <w:r w:rsidR="00E64973" w:rsidRPr="004653E7">
        <w:rPr>
          <w:rFonts w:ascii="Arial" w:hAnsi="Arial" w:cs="Arial"/>
          <w:sz w:val="20"/>
          <w:szCs w:val="20"/>
        </w:rPr>
        <w:t xml:space="preserve"> refinements to t</w:t>
      </w:r>
      <w:r w:rsidR="002A24E3" w:rsidRPr="004653E7">
        <w:rPr>
          <w:rFonts w:ascii="Arial" w:hAnsi="Arial" w:cs="Arial"/>
          <w:sz w:val="20"/>
          <w:szCs w:val="20"/>
        </w:rPr>
        <w:t>his document.</w:t>
      </w:r>
    </w:p>
    <w:p w14:paraId="14A7A270" w14:textId="77777777" w:rsidR="00E64973" w:rsidRPr="004653E7" w:rsidRDefault="00E64973" w:rsidP="002A24E3">
      <w:pPr>
        <w:rPr>
          <w:rFonts w:ascii="Arial" w:hAnsi="Arial" w:cs="Arial"/>
          <w:sz w:val="20"/>
          <w:szCs w:val="20"/>
        </w:rPr>
      </w:pPr>
    </w:p>
    <w:p w14:paraId="7E0F4D51" w14:textId="77777777" w:rsidR="0003619D" w:rsidRPr="004653E7" w:rsidRDefault="002A24E3" w:rsidP="0003619D">
      <w:pPr>
        <w:spacing w:after="200" w:line="276" w:lineRule="auto"/>
        <w:rPr>
          <w:rFonts w:ascii="Arial" w:hAnsi="Arial" w:cs="Arial"/>
          <w:sz w:val="20"/>
          <w:szCs w:val="20"/>
        </w:rPr>
      </w:pPr>
      <w:r w:rsidRPr="004653E7">
        <w:rPr>
          <w:rFonts w:ascii="Arial" w:hAnsi="Arial" w:cs="Arial"/>
          <w:sz w:val="20"/>
          <w:szCs w:val="20"/>
        </w:rPr>
        <w:t>For further information</w:t>
      </w:r>
      <w:r w:rsidR="00AE7428" w:rsidRPr="004653E7">
        <w:rPr>
          <w:rFonts w:ascii="Arial" w:hAnsi="Arial" w:cs="Arial"/>
          <w:sz w:val="20"/>
          <w:szCs w:val="20"/>
        </w:rPr>
        <w:t xml:space="preserve"> please</w:t>
      </w:r>
      <w:r w:rsidRPr="004653E7">
        <w:rPr>
          <w:rFonts w:ascii="Arial" w:hAnsi="Arial" w:cs="Arial"/>
          <w:sz w:val="20"/>
          <w:szCs w:val="20"/>
        </w:rPr>
        <w:t xml:space="preserve"> contact:</w:t>
      </w:r>
    </w:p>
    <w:p w14:paraId="1C84659D" w14:textId="02AFF74F" w:rsidR="003D0243" w:rsidRPr="004653E7" w:rsidRDefault="006F2D2E" w:rsidP="0003619D">
      <w:pPr>
        <w:spacing w:after="200" w:line="276" w:lineRule="auto"/>
        <w:rPr>
          <w:rStyle w:val="Hyperlink"/>
          <w:rFonts w:ascii="Arial" w:eastAsia="Cambria" w:hAnsi="Arial" w:cs="Arial"/>
          <w:sz w:val="20"/>
          <w:szCs w:val="20"/>
        </w:rPr>
      </w:pPr>
      <w:r>
        <w:rPr>
          <w:rFonts w:ascii="Arial" w:hAnsi="Arial" w:cs="Arial"/>
          <w:sz w:val="20"/>
          <w:szCs w:val="20"/>
        </w:rPr>
        <w:lastRenderedPageBreak/>
        <w:t xml:space="preserve">Manager, </w:t>
      </w:r>
      <w:r w:rsidR="001833F6">
        <w:rPr>
          <w:rFonts w:ascii="Arial" w:hAnsi="Arial" w:cs="Arial"/>
          <w:sz w:val="20"/>
          <w:szCs w:val="20"/>
        </w:rPr>
        <w:t>Program Accreditation</w:t>
      </w:r>
      <w:r w:rsidR="002A24E3" w:rsidRPr="004653E7">
        <w:rPr>
          <w:rFonts w:ascii="Arial" w:hAnsi="Arial" w:cs="Arial"/>
          <w:sz w:val="20"/>
          <w:szCs w:val="20"/>
        </w:rPr>
        <w:t xml:space="preserve"> </w:t>
      </w:r>
      <w:r w:rsidR="002A24E3" w:rsidRPr="004653E7">
        <w:rPr>
          <w:rFonts w:ascii="Arial" w:hAnsi="Arial" w:cs="Arial"/>
          <w:sz w:val="20"/>
          <w:szCs w:val="20"/>
        </w:rPr>
        <w:br/>
      </w:r>
      <w:r w:rsidR="000A75BA">
        <w:rPr>
          <w:rFonts w:ascii="Arial" w:hAnsi="Arial" w:cs="Arial"/>
          <w:sz w:val="20"/>
          <w:szCs w:val="20"/>
        </w:rPr>
        <w:t>Ahpra</w:t>
      </w:r>
      <w:r w:rsidR="002A24E3" w:rsidRPr="004653E7">
        <w:rPr>
          <w:rFonts w:ascii="Arial" w:hAnsi="Arial" w:cs="Arial"/>
          <w:sz w:val="20"/>
          <w:szCs w:val="20"/>
        </w:rPr>
        <w:br/>
        <w:t>GPO Box 9958</w:t>
      </w:r>
      <w:r w:rsidR="002A24E3" w:rsidRPr="004653E7">
        <w:rPr>
          <w:rFonts w:ascii="Arial" w:hAnsi="Arial" w:cs="Arial"/>
          <w:sz w:val="20"/>
          <w:szCs w:val="20"/>
        </w:rPr>
        <w:br/>
        <w:t>Melbourne</w:t>
      </w:r>
      <w:r w:rsidR="002A24E3" w:rsidRPr="004653E7">
        <w:rPr>
          <w:rFonts w:ascii="Arial" w:hAnsi="Arial" w:cs="Arial"/>
          <w:sz w:val="20"/>
          <w:szCs w:val="20"/>
        </w:rPr>
        <w:br/>
        <w:t>VIC 3001</w:t>
      </w:r>
      <w:r w:rsidR="002A24E3" w:rsidRPr="004653E7">
        <w:rPr>
          <w:rFonts w:ascii="Arial" w:hAnsi="Arial" w:cs="Arial"/>
          <w:sz w:val="20"/>
          <w:szCs w:val="20"/>
        </w:rPr>
        <w:br/>
      </w:r>
      <w:r w:rsidR="00303CA8" w:rsidRPr="004653E7">
        <w:rPr>
          <w:rFonts w:ascii="Arial" w:hAnsi="Arial" w:cs="Arial"/>
          <w:sz w:val="20"/>
          <w:szCs w:val="20"/>
        </w:rPr>
        <w:t>Email:</w:t>
      </w:r>
      <w:r w:rsidR="002654BB" w:rsidRPr="004653E7">
        <w:rPr>
          <w:rFonts w:ascii="Arial" w:hAnsi="Arial" w:cs="Arial"/>
          <w:sz w:val="20"/>
          <w:szCs w:val="20"/>
        </w:rPr>
        <w:t xml:space="preserve"> </w:t>
      </w:r>
      <w:hyperlink r:id="rId10" w:history="1">
        <w:r w:rsidR="001833F6" w:rsidRPr="001833F6">
          <w:rPr>
            <w:rStyle w:val="Hyperlink"/>
            <w:rFonts w:ascii="Arial" w:hAnsi="Arial" w:cs="Arial"/>
            <w:sz w:val="20"/>
            <w:szCs w:val="20"/>
          </w:rPr>
          <w:t>program.accreditation@ahpra.gov.au</w:t>
        </w:r>
      </w:hyperlink>
      <w:r w:rsidR="002A2E18" w:rsidRPr="004653E7">
        <w:rPr>
          <w:rFonts w:ascii="Arial" w:hAnsi="Arial" w:cs="Arial"/>
          <w:sz w:val="20"/>
          <w:szCs w:val="20"/>
        </w:rPr>
        <w:t xml:space="preserve"> </w:t>
      </w:r>
      <w:r w:rsidR="00303CA8" w:rsidRPr="004653E7">
        <w:rPr>
          <w:rFonts w:ascii="Arial" w:hAnsi="Arial" w:cs="Arial"/>
          <w:sz w:val="20"/>
          <w:szCs w:val="20"/>
        </w:rPr>
        <w:t xml:space="preserve"> </w:t>
      </w:r>
      <w:hyperlink r:id="rId11" w:history="1"/>
      <w:r w:rsidR="002A24E3" w:rsidRPr="004653E7">
        <w:rPr>
          <w:rFonts w:ascii="Arial" w:hAnsi="Arial" w:cs="Arial"/>
          <w:sz w:val="20"/>
          <w:szCs w:val="20"/>
        </w:rPr>
        <w:br/>
      </w:r>
      <w:r w:rsidR="00303CA8" w:rsidRPr="004653E7">
        <w:rPr>
          <w:rFonts w:ascii="Arial" w:hAnsi="Arial" w:cs="Arial"/>
          <w:sz w:val="20"/>
          <w:szCs w:val="20"/>
        </w:rPr>
        <w:t>Website:</w:t>
      </w:r>
      <w:r w:rsidR="00303CA8" w:rsidRPr="004653E7">
        <w:t xml:space="preserve"> </w:t>
      </w:r>
      <w:hyperlink r:id="rId12" w:history="1">
        <w:r w:rsidR="001833F6" w:rsidRPr="001833F6">
          <w:rPr>
            <w:rStyle w:val="Hyperlink"/>
            <w:rFonts w:ascii="Arial" w:eastAsia="Cambria" w:hAnsi="Arial" w:cs="Arial"/>
            <w:sz w:val="20"/>
            <w:szCs w:val="20"/>
          </w:rPr>
          <w:t>www.podiatry</w:t>
        </w:r>
        <w:r w:rsidR="001833F6" w:rsidRPr="00742D3A">
          <w:rPr>
            <w:rStyle w:val="Hyperlink"/>
            <w:rFonts w:ascii="Arial" w:eastAsia="Cambria" w:hAnsi="Arial" w:cs="Arial"/>
            <w:sz w:val="20"/>
            <w:szCs w:val="20"/>
          </w:rPr>
          <w:t>board.gov.au/Accreditation</w:t>
        </w:r>
      </w:hyperlink>
      <w:r w:rsidR="00303CA8" w:rsidRPr="004653E7" w:rsidDel="00303CA8">
        <w:rPr>
          <w:rStyle w:val="Hyperlink"/>
          <w:rFonts w:ascii="Arial" w:eastAsia="Cambria" w:hAnsi="Arial" w:cs="Arial"/>
          <w:sz w:val="20"/>
          <w:szCs w:val="20"/>
        </w:rPr>
        <w:t xml:space="preserve"> </w:t>
      </w:r>
    </w:p>
    <w:p w14:paraId="0ADBCE96" w14:textId="34D93B73" w:rsidR="00475851" w:rsidRDefault="00D119FA">
      <w:pPr>
        <w:spacing w:after="200" w:line="276" w:lineRule="auto"/>
      </w:pPr>
      <w:r w:rsidRPr="004653E7">
        <w:rPr>
          <w:rFonts w:ascii="Arial" w:eastAsia="Cambria" w:hAnsi="Arial" w:cs="Arial"/>
          <w:b/>
          <w:noProof/>
          <w:color w:val="FF0000"/>
          <w:sz w:val="20"/>
          <w:szCs w:val="20"/>
          <w:u w:val="single"/>
        </w:rPr>
        <mc:AlternateContent>
          <mc:Choice Requires="wps">
            <w:drawing>
              <wp:anchor distT="0" distB="0" distL="114300" distR="114300" simplePos="0" relativeHeight="251666432" behindDoc="0" locked="0" layoutInCell="1" allowOverlap="1" wp14:anchorId="3F0A8D7D" wp14:editId="35749006">
                <wp:simplePos x="0" y="0"/>
                <wp:positionH relativeFrom="margin">
                  <wp:posOffset>-230459</wp:posOffset>
                </wp:positionH>
                <wp:positionV relativeFrom="paragraph">
                  <wp:posOffset>255301</wp:posOffset>
                </wp:positionV>
                <wp:extent cx="5865495" cy="1137424"/>
                <wp:effectExtent l="0" t="0" r="190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5495" cy="1137424"/>
                        </a:xfrm>
                        <a:prstGeom prst="rect">
                          <a:avLst/>
                        </a:prstGeom>
                        <a:solidFill>
                          <a:schemeClr val="accent1">
                            <a:lumMod val="20000"/>
                            <a:lumOff val="80000"/>
                          </a:schemeClr>
                        </a:solidFill>
                        <a:ln>
                          <a:noFill/>
                        </a:ln>
                      </wps:spPr>
                      <wps:txbx>
                        <w:txbxContent>
                          <w:p w14:paraId="6868C46E" w14:textId="77777777" w:rsidR="000C1817" w:rsidRPr="00866076" w:rsidRDefault="000C1817" w:rsidP="00AE7428">
                            <w:pPr>
                              <w:rPr>
                                <w:rFonts w:ascii="Arial" w:eastAsia="Cambria" w:hAnsi="Arial" w:cs="Arial"/>
                                <w:b/>
                                <w:sz w:val="20"/>
                                <w:szCs w:val="20"/>
                              </w:rPr>
                            </w:pPr>
                            <w:r w:rsidRPr="00866076">
                              <w:rPr>
                                <w:rFonts w:ascii="Arial" w:eastAsia="Cambria" w:hAnsi="Arial" w:cs="Arial"/>
                                <w:b/>
                                <w:sz w:val="20"/>
                                <w:szCs w:val="20"/>
                              </w:rPr>
                              <w:t>Review of accreditation standards</w:t>
                            </w:r>
                          </w:p>
                          <w:p w14:paraId="1644A800" w14:textId="77777777" w:rsidR="000C1817" w:rsidRPr="00866076" w:rsidRDefault="000C1817" w:rsidP="00AE7428">
                            <w:pPr>
                              <w:rPr>
                                <w:rFonts w:ascii="Arial" w:eastAsia="Cambria" w:hAnsi="Arial" w:cs="Arial"/>
                                <w:b/>
                                <w:color w:val="007DC3"/>
                                <w:sz w:val="20"/>
                                <w:szCs w:val="20"/>
                              </w:rPr>
                            </w:pPr>
                          </w:p>
                          <w:p w14:paraId="62EDBB06" w14:textId="3DEE1F88" w:rsidR="000C1817" w:rsidRPr="00866076" w:rsidRDefault="000C1817" w:rsidP="00AE7428">
                            <w:pPr>
                              <w:rPr>
                                <w:rFonts w:ascii="Arial" w:hAnsi="Arial" w:cs="Arial"/>
                                <w:sz w:val="20"/>
                                <w:szCs w:val="20"/>
                              </w:rPr>
                            </w:pPr>
                            <w:r w:rsidRPr="00866076">
                              <w:rPr>
                                <w:rFonts w:ascii="Arial" w:hAnsi="Arial" w:cs="Arial"/>
                                <w:sz w:val="20"/>
                                <w:szCs w:val="20"/>
                              </w:rPr>
                              <w:t>The accreditation standards will be reviewed</w:t>
                            </w:r>
                            <w:r>
                              <w:rPr>
                                <w:rFonts w:ascii="Arial" w:hAnsi="Arial" w:cs="Arial"/>
                                <w:sz w:val="20"/>
                                <w:szCs w:val="20"/>
                              </w:rPr>
                              <w:t xml:space="preserve"> from time to time as required. </w:t>
                            </w:r>
                            <w:r w:rsidRPr="00866076">
                              <w:rPr>
                                <w:rFonts w:ascii="Arial" w:hAnsi="Arial" w:cs="Arial"/>
                                <w:sz w:val="20"/>
                                <w:szCs w:val="20"/>
                              </w:rPr>
                              <w:t>This will generally occur at least every five years.</w:t>
                            </w:r>
                          </w:p>
                          <w:p w14:paraId="552CC9C4" w14:textId="77777777" w:rsidR="000C1817" w:rsidRPr="00866076" w:rsidRDefault="000C1817" w:rsidP="00AE7428">
                            <w:pPr>
                              <w:rPr>
                                <w:rFonts w:ascii="Arial" w:hAnsi="Arial" w:cs="Arial"/>
                                <w:sz w:val="20"/>
                                <w:szCs w:val="20"/>
                              </w:rPr>
                            </w:pPr>
                          </w:p>
                          <w:p w14:paraId="7F536715" w14:textId="7D039B81" w:rsidR="000C1817" w:rsidRPr="00D42A4B" w:rsidRDefault="000C1817" w:rsidP="00AE7428">
                            <w:pPr>
                              <w:rPr>
                                <w:rFonts w:ascii="Arial" w:hAnsi="Arial" w:cs="Arial"/>
                                <w:i/>
                                <w:sz w:val="20"/>
                                <w:szCs w:val="20"/>
                              </w:rPr>
                            </w:pPr>
                            <w:r w:rsidRPr="00866076">
                              <w:rPr>
                                <w:rFonts w:ascii="Arial" w:hAnsi="Arial" w:cs="Arial"/>
                                <w:b/>
                                <w:sz w:val="20"/>
                                <w:szCs w:val="20"/>
                              </w:rPr>
                              <w:t>Date of effect:</w:t>
                            </w:r>
                            <w:r w:rsidRPr="00866076">
                              <w:rPr>
                                <w:rFonts w:ascii="Arial" w:hAnsi="Arial" w:cs="Arial"/>
                                <w:sz w:val="20"/>
                                <w:szCs w:val="20"/>
                              </w:rPr>
                              <w:t xml:space="preserve"> </w:t>
                            </w:r>
                            <w:r>
                              <w:rPr>
                                <w:rFonts w:ascii="Arial" w:hAnsi="Arial" w:cs="Arial"/>
                                <w:sz w:val="20"/>
                                <w:szCs w:val="20"/>
                              </w:rPr>
                              <w:t xml:space="preserve">TBC 2021. </w:t>
                            </w:r>
                          </w:p>
                          <w:p w14:paraId="3942F63C" w14:textId="77777777" w:rsidR="000C1817" w:rsidRDefault="000C1817" w:rsidP="00AE7428">
                            <w:pPr>
                              <w:pStyle w:val="Defaul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0A8D7D" id="_x0000_t202" coordsize="21600,21600" o:spt="202" path="m,l,21600r21600,l21600,xe">
                <v:stroke joinstyle="miter"/>
                <v:path gradientshapeok="t" o:connecttype="rect"/>
              </v:shapetype>
              <v:shape id="Text Box 2" o:spid="_x0000_s1026" type="#_x0000_t202" style="position:absolute;margin-left:-18.15pt;margin-top:20.1pt;width:461.85pt;height:89.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" fillcolor="#dbe5f1 [660]" stroked="f">
                <v:textbox>
                  <w:txbxContent>
                    <w:p w14:paraId="6868C46E" w14:textId="77777777" w:rsidR="000C1817" w:rsidRPr="00866076" w:rsidRDefault="000C1817" w:rsidP="00AE7428">
                      <w:pPr>
                        <w:rPr>
                          <w:rFonts w:ascii="Arial" w:eastAsia="Cambria" w:hAnsi="Arial" w:cs="Arial"/>
                          <w:b/>
                          <w:sz w:val="20"/>
                          <w:szCs w:val="20"/>
                        </w:rPr>
                      </w:pPr>
                      <w:r w:rsidRPr="00866076">
                        <w:rPr>
                          <w:rFonts w:ascii="Arial" w:eastAsia="Cambria" w:hAnsi="Arial" w:cs="Arial"/>
                          <w:b/>
                          <w:sz w:val="20"/>
                          <w:szCs w:val="20"/>
                        </w:rPr>
                        <w:t>Review of accreditation standards</w:t>
                      </w:r>
                    </w:p>
                    <w:p w14:paraId="1644A800" w14:textId="77777777" w:rsidR="000C1817" w:rsidRPr="00866076" w:rsidRDefault="000C1817" w:rsidP="00AE7428">
                      <w:pPr>
                        <w:rPr>
                          <w:rFonts w:ascii="Arial" w:eastAsia="Cambria" w:hAnsi="Arial" w:cs="Arial"/>
                          <w:b/>
                          <w:color w:val="007DC3"/>
                          <w:sz w:val="20"/>
                          <w:szCs w:val="20"/>
                        </w:rPr>
                      </w:pPr>
                    </w:p>
                    <w:p w14:paraId="62EDBB06" w14:textId="3DEE1F88" w:rsidR="000C1817" w:rsidRPr="00866076" w:rsidRDefault="000C1817" w:rsidP="00AE7428">
                      <w:pPr>
                        <w:rPr>
                          <w:rFonts w:ascii="Arial" w:hAnsi="Arial" w:cs="Arial"/>
                          <w:sz w:val="20"/>
                          <w:szCs w:val="20"/>
                        </w:rPr>
                      </w:pPr>
                      <w:r w:rsidRPr="00866076">
                        <w:rPr>
                          <w:rFonts w:ascii="Arial" w:hAnsi="Arial" w:cs="Arial"/>
                          <w:sz w:val="20"/>
                          <w:szCs w:val="20"/>
                        </w:rPr>
                        <w:t>The accreditation standards will be reviewed</w:t>
                      </w:r>
                      <w:r>
                        <w:rPr>
                          <w:rFonts w:ascii="Arial" w:hAnsi="Arial" w:cs="Arial"/>
                          <w:sz w:val="20"/>
                          <w:szCs w:val="20"/>
                        </w:rPr>
                        <w:t xml:space="preserve"> from time to time as required. </w:t>
                      </w:r>
                      <w:r w:rsidRPr="00866076">
                        <w:rPr>
                          <w:rFonts w:ascii="Arial" w:hAnsi="Arial" w:cs="Arial"/>
                          <w:sz w:val="20"/>
                          <w:szCs w:val="20"/>
                        </w:rPr>
                        <w:t>This will generally occur at least every five years.</w:t>
                      </w:r>
                    </w:p>
                    <w:p w14:paraId="552CC9C4" w14:textId="77777777" w:rsidR="000C1817" w:rsidRPr="00866076" w:rsidRDefault="000C1817" w:rsidP="00AE7428">
                      <w:pPr>
                        <w:rPr>
                          <w:rFonts w:ascii="Arial" w:hAnsi="Arial" w:cs="Arial"/>
                          <w:sz w:val="20"/>
                          <w:szCs w:val="20"/>
                        </w:rPr>
                      </w:pPr>
                    </w:p>
                    <w:p w14:paraId="7F536715" w14:textId="7D039B81" w:rsidR="000C1817" w:rsidRPr="00D42A4B" w:rsidRDefault="000C1817" w:rsidP="00AE7428">
                      <w:pPr>
                        <w:rPr>
                          <w:rFonts w:ascii="Arial" w:hAnsi="Arial" w:cs="Arial"/>
                          <w:i/>
                          <w:sz w:val="20"/>
                          <w:szCs w:val="20"/>
                        </w:rPr>
                      </w:pPr>
                      <w:r w:rsidRPr="00866076">
                        <w:rPr>
                          <w:rFonts w:ascii="Arial" w:hAnsi="Arial" w:cs="Arial"/>
                          <w:b/>
                          <w:sz w:val="20"/>
                          <w:szCs w:val="20"/>
                        </w:rPr>
                        <w:t>Date of effect:</w:t>
                      </w:r>
                      <w:r w:rsidRPr="00866076">
                        <w:rPr>
                          <w:rFonts w:ascii="Arial" w:hAnsi="Arial" w:cs="Arial"/>
                          <w:sz w:val="20"/>
                          <w:szCs w:val="20"/>
                        </w:rPr>
                        <w:t xml:space="preserve"> </w:t>
                      </w:r>
                      <w:r>
                        <w:rPr>
                          <w:rFonts w:ascii="Arial" w:hAnsi="Arial" w:cs="Arial"/>
                          <w:sz w:val="20"/>
                          <w:szCs w:val="20"/>
                        </w:rPr>
                        <w:t xml:space="preserve">TBC 2021. </w:t>
                      </w:r>
                    </w:p>
                    <w:p w14:paraId="3942F63C" w14:textId="77777777" w:rsidR="000C1817" w:rsidRDefault="000C1817" w:rsidP="00AE7428">
                      <w:pPr>
                        <w:pStyle w:val="Default"/>
                      </w:pPr>
                    </w:p>
                  </w:txbxContent>
                </v:textbox>
                <w10:wrap anchorx="margin"/>
              </v:shape>
            </w:pict>
          </mc:Fallback>
        </mc:AlternateContent>
      </w:r>
      <w:bookmarkStart w:id="12" w:name="_Hlk535238979"/>
    </w:p>
    <w:p w14:paraId="5AA6B656" w14:textId="5EE9DA2F" w:rsidR="00475851" w:rsidRDefault="00475851">
      <w:pPr>
        <w:spacing w:after="200" w:line="276" w:lineRule="auto"/>
        <w:rPr>
          <w:rFonts w:ascii="Arial" w:eastAsia="Cambria" w:hAnsi="Arial" w:cs="Arial"/>
          <w:color w:val="5F6062"/>
          <w:sz w:val="28"/>
          <w:szCs w:val="28"/>
        </w:rPr>
      </w:pPr>
    </w:p>
    <w:p w14:paraId="72A14771" w14:textId="330D2E4F" w:rsidR="002A24E3" w:rsidRPr="004653E7" w:rsidRDefault="002A24E3" w:rsidP="002A24E3">
      <w:pPr>
        <w:pStyle w:val="TOCHeading"/>
      </w:pPr>
      <w:r w:rsidRPr="004653E7">
        <w:t xml:space="preserve">2. The </w:t>
      </w:r>
      <w:r w:rsidR="00350A92" w:rsidRPr="004653E7">
        <w:t>accreditation standards</w:t>
      </w:r>
      <w:r w:rsidRPr="004653E7">
        <w:t>, criteria, expected information and explanatory notes</w:t>
      </w:r>
    </w:p>
    <w:p w14:paraId="303EBAEE" w14:textId="77777777" w:rsidR="002A24E3" w:rsidRPr="004653E7" w:rsidRDefault="002A24E3" w:rsidP="002A24E3">
      <w:pPr>
        <w:rPr>
          <w:rFonts w:ascii="Arial" w:eastAsia="Cambria" w:hAnsi="Arial" w:cs="Arial"/>
          <w:b/>
          <w:color w:val="007DC3"/>
          <w:sz w:val="20"/>
          <w:szCs w:val="20"/>
        </w:rPr>
      </w:pPr>
    </w:p>
    <w:p w14:paraId="7196001E" w14:textId="6D8A2235" w:rsidR="002A24E3" w:rsidRPr="004653E7" w:rsidRDefault="005F5523" w:rsidP="002A24E3">
      <w:pPr>
        <w:rPr>
          <w:rFonts w:ascii="Arial" w:eastAsia="Cambria" w:hAnsi="Arial" w:cs="Arial"/>
          <w:b/>
          <w:color w:val="007DC3"/>
        </w:rPr>
      </w:pPr>
      <w:r>
        <w:rPr>
          <w:rFonts w:ascii="Arial" w:eastAsia="Cambria" w:hAnsi="Arial" w:cs="Arial"/>
          <w:b/>
          <w:color w:val="007DC3"/>
        </w:rPr>
        <w:t xml:space="preserve"> </w:t>
      </w:r>
    </w:p>
    <w:p w14:paraId="58DE6565" w14:textId="3A7619D1" w:rsidR="00FA40D1" w:rsidRDefault="00FA40D1">
      <w:pPr>
        <w:spacing w:after="200" w:line="276" w:lineRule="auto"/>
        <w:rPr>
          <w:rFonts w:ascii="Arial" w:eastAsia="Cambria" w:hAnsi="Arial" w:cs="Arial"/>
          <w:b/>
          <w:color w:val="007DC3"/>
        </w:rPr>
      </w:pPr>
      <w:r>
        <w:rPr>
          <w:rFonts w:ascii="Arial" w:eastAsia="Cambria" w:hAnsi="Arial" w:cs="Arial"/>
          <w:b/>
          <w:color w:val="007DC3"/>
        </w:rPr>
        <w:br w:type="page"/>
      </w:r>
    </w:p>
    <w:p w14:paraId="5FC94153" w14:textId="77777777" w:rsidR="00D119FA" w:rsidRPr="004653E7" w:rsidRDefault="00D119FA" w:rsidP="002A24E3">
      <w:pPr>
        <w:rPr>
          <w:rFonts w:ascii="Arial" w:eastAsia="Cambria" w:hAnsi="Arial" w:cs="Arial"/>
          <w:b/>
          <w:color w:val="007DC3"/>
        </w:rPr>
      </w:pPr>
    </w:p>
    <w:p w14:paraId="3637A965" w14:textId="77777777" w:rsidR="002838B3" w:rsidRPr="00635D57" w:rsidRDefault="002838B3" w:rsidP="002838B3">
      <w:pPr>
        <w:pStyle w:val="AHPRADocumentsubheading"/>
      </w:pPr>
      <w:bookmarkStart w:id="13" w:name="_Toc55990938"/>
      <w:bookmarkStart w:id="14" w:name="_Toc55994915"/>
      <w:r w:rsidRPr="004653E7">
        <w:t>2. The accreditation standards, criteria, expected information and explanatory notes</w:t>
      </w:r>
      <w:bookmarkEnd w:id="13"/>
      <w:bookmarkEnd w:id="14"/>
    </w:p>
    <w:p w14:paraId="329AEF79" w14:textId="63433065" w:rsidR="00BF06A6" w:rsidRDefault="00BF06A6" w:rsidP="002838B3">
      <w:pPr>
        <w:pStyle w:val="Heading2"/>
        <w:spacing w:before="200" w:after="200"/>
        <w:rPr>
          <w:rFonts w:ascii="Arial" w:eastAsia="Cambria" w:hAnsi="Arial" w:cs="Arial"/>
          <w:b w:val="0"/>
          <w:color w:val="007DC3"/>
        </w:rPr>
      </w:pPr>
      <w:bookmarkStart w:id="15" w:name="_Toc55994916"/>
      <w:r w:rsidRPr="002838B3">
        <w:rPr>
          <w:rFonts w:ascii="Arial" w:hAnsi="Arial"/>
          <w:i w:val="0"/>
          <w:color w:val="007DC3"/>
        </w:rPr>
        <w:t>Standard 1: Assuring safe practice</w:t>
      </w:r>
      <w:bookmarkEnd w:id="15"/>
    </w:p>
    <w:p w14:paraId="762B78D7" w14:textId="669E99C7" w:rsidR="002A24E3" w:rsidRPr="004653E7" w:rsidRDefault="00634109" w:rsidP="00484EAD">
      <w:pPr>
        <w:pStyle w:val="AHPRAbodybold"/>
        <w:rPr>
          <w:color w:val="007DC3"/>
          <w:sz w:val="22"/>
          <w:szCs w:val="22"/>
        </w:rPr>
      </w:pPr>
      <w:r>
        <w:rPr>
          <w:sz w:val="22"/>
          <w:szCs w:val="22"/>
          <w:lang w:eastAsia="en-AU"/>
        </w:rPr>
        <w:t xml:space="preserve">Standard statement: </w:t>
      </w:r>
      <w:r w:rsidR="00484EAD" w:rsidRPr="004653E7">
        <w:rPr>
          <w:sz w:val="22"/>
          <w:szCs w:val="22"/>
          <w:lang w:eastAsia="en-AU"/>
        </w:rPr>
        <w:t xml:space="preserve">Assuring safe practice is paramount in </w:t>
      </w:r>
      <w:r w:rsidR="00AF43D5">
        <w:rPr>
          <w:sz w:val="22"/>
          <w:szCs w:val="22"/>
          <w:lang w:eastAsia="en-AU"/>
        </w:rPr>
        <w:t>program</w:t>
      </w:r>
      <w:r w:rsidR="001457C2" w:rsidRPr="004653E7">
        <w:rPr>
          <w:sz w:val="22"/>
          <w:szCs w:val="22"/>
          <w:lang w:eastAsia="en-AU"/>
        </w:rPr>
        <w:t xml:space="preserve"> </w:t>
      </w:r>
      <w:r w:rsidR="00484EAD" w:rsidRPr="004653E7">
        <w:rPr>
          <w:sz w:val="22"/>
          <w:szCs w:val="22"/>
          <w:lang w:eastAsia="en-AU"/>
        </w:rPr>
        <w:t>design, implementation and monitoring.</w:t>
      </w:r>
      <w:bookmarkEnd w:id="12"/>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402"/>
        <w:gridCol w:w="5528"/>
      </w:tblGrid>
      <w:tr w:rsidR="00484EAD" w:rsidRPr="004653E7" w14:paraId="43662A35" w14:textId="77777777" w:rsidTr="002A44C2">
        <w:trPr>
          <w:trHeight w:val="404"/>
          <w:tblHeader/>
        </w:trPr>
        <w:tc>
          <w:tcPr>
            <w:tcW w:w="4111" w:type="dxa"/>
            <w:gridSpan w:val="2"/>
            <w:shd w:val="clear" w:color="auto" w:fill="DBE5F1" w:themeFill="accent1" w:themeFillTint="33"/>
            <w:vAlign w:val="center"/>
          </w:tcPr>
          <w:p w14:paraId="7CC7D6D3" w14:textId="77777777" w:rsidR="00484EAD" w:rsidRPr="004653E7" w:rsidRDefault="00484EAD" w:rsidP="00F23E41">
            <w:pPr>
              <w:spacing w:before="120" w:after="120"/>
              <w:rPr>
                <w:rFonts w:ascii="Arial" w:hAnsi="Arial" w:cs="Arial"/>
                <w:b/>
                <w:bCs/>
                <w:color w:val="000000"/>
                <w:sz w:val="20"/>
                <w:szCs w:val="20"/>
                <w:lang w:eastAsia="en-AU"/>
              </w:rPr>
            </w:pPr>
            <w:r w:rsidRPr="004653E7">
              <w:rPr>
                <w:rFonts w:ascii="Arial" w:hAnsi="Arial" w:cs="Arial"/>
                <w:b/>
                <w:bCs/>
                <w:color w:val="000000"/>
                <w:sz w:val="20"/>
                <w:szCs w:val="20"/>
                <w:lang w:eastAsia="en-AU"/>
              </w:rPr>
              <w:t>Criteria</w:t>
            </w:r>
          </w:p>
        </w:tc>
        <w:tc>
          <w:tcPr>
            <w:tcW w:w="5528" w:type="dxa"/>
            <w:shd w:val="clear" w:color="auto" w:fill="DBE5F1" w:themeFill="accent1" w:themeFillTint="33"/>
          </w:tcPr>
          <w:p w14:paraId="19894D46" w14:textId="77777777" w:rsidR="00484EAD" w:rsidRPr="004653E7" w:rsidRDefault="00484EAD" w:rsidP="00F23E41">
            <w:pPr>
              <w:spacing w:before="120" w:after="120"/>
              <w:rPr>
                <w:rFonts w:ascii="Arial" w:hAnsi="Arial" w:cs="Arial"/>
                <w:b/>
                <w:bCs/>
                <w:color w:val="000000"/>
                <w:sz w:val="20"/>
                <w:szCs w:val="20"/>
                <w:lang w:eastAsia="en-AU"/>
              </w:rPr>
            </w:pPr>
            <w:r w:rsidRPr="004653E7">
              <w:rPr>
                <w:rFonts w:ascii="Arial" w:hAnsi="Arial" w:cs="Arial"/>
                <w:b/>
                <w:bCs/>
                <w:color w:val="000000"/>
                <w:sz w:val="20"/>
                <w:szCs w:val="20"/>
                <w:lang w:eastAsia="en-AU"/>
              </w:rPr>
              <w:t xml:space="preserve">Expected information for inclusion with accreditation application/monitoring response </w:t>
            </w:r>
          </w:p>
        </w:tc>
      </w:tr>
      <w:tr w:rsidR="00484EAD" w:rsidRPr="004653E7" w14:paraId="54B78064" w14:textId="77777777" w:rsidTr="00484EAD">
        <w:trPr>
          <w:trHeight w:val="551"/>
        </w:trPr>
        <w:tc>
          <w:tcPr>
            <w:tcW w:w="709" w:type="dxa"/>
            <w:shd w:val="clear" w:color="auto" w:fill="auto"/>
          </w:tcPr>
          <w:p w14:paraId="416DFA70" w14:textId="77777777" w:rsidR="00484EAD" w:rsidRPr="004653E7" w:rsidRDefault="00484EAD" w:rsidP="00624DC5">
            <w:pPr>
              <w:rPr>
                <w:rFonts w:ascii="Arial" w:hAnsi="Arial" w:cs="Arial"/>
                <w:sz w:val="20"/>
                <w:szCs w:val="20"/>
                <w:lang w:eastAsia="en-AU"/>
              </w:rPr>
            </w:pPr>
            <w:r w:rsidRPr="004653E7">
              <w:rPr>
                <w:rFonts w:ascii="Arial" w:hAnsi="Arial" w:cs="Arial"/>
                <w:sz w:val="20"/>
                <w:szCs w:val="20"/>
                <w:lang w:eastAsia="en-AU"/>
              </w:rPr>
              <w:t>1.1</w:t>
            </w:r>
          </w:p>
        </w:tc>
        <w:tc>
          <w:tcPr>
            <w:tcW w:w="3402" w:type="dxa"/>
            <w:shd w:val="clear" w:color="auto" w:fill="auto"/>
          </w:tcPr>
          <w:p w14:paraId="332D6398" w14:textId="76D30019" w:rsidR="00484EAD" w:rsidRPr="004653E7" w:rsidRDefault="00484EAD" w:rsidP="00624DC5">
            <w:pPr>
              <w:rPr>
                <w:rFonts w:ascii="Arial" w:hAnsi="Arial" w:cs="Arial"/>
                <w:sz w:val="20"/>
                <w:szCs w:val="20"/>
                <w:lang w:eastAsia="en-AU"/>
              </w:rPr>
            </w:pPr>
            <w:r w:rsidRPr="004653E7">
              <w:rPr>
                <w:rFonts w:ascii="Arial" w:hAnsi="Arial" w:cs="Arial"/>
                <w:sz w:val="20"/>
                <w:szCs w:val="20"/>
                <w:lang w:eastAsia="en-AU"/>
              </w:rPr>
              <w:t xml:space="preserve">Safe practice is identified in the learning outcomes of the </w:t>
            </w:r>
            <w:r w:rsidR="0087441F">
              <w:rPr>
                <w:rFonts w:ascii="Arial" w:hAnsi="Arial" w:cs="Arial"/>
                <w:sz w:val="20"/>
                <w:szCs w:val="20"/>
                <w:lang w:eastAsia="en-AU"/>
              </w:rPr>
              <w:t>program</w:t>
            </w:r>
            <w:r w:rsidR="00C52773" w:rsidRPr="004653E7">
              <w:rPr>
                <w:rFonts w:ascii="Arial" w:hAnsi="Arial" w:cs="Arial"/>
                <w:sz w:val="20"/>
                <w:szCs w:val="20"/>
                <w:lang w:eastAsia="en-AU"/>
              </w:rPr>
              <w:t>, including any work-integrated learning elements.</w:t>
            </w:r>
          </w:p>
        </w:tc>
        <w:tc>
          <w:tcPr>
            <w:tcW w:w="5528" w:type="dxa"/>
          </w:tcPr>
          <w:p w14:paraId="6F528DF1" w14:textId="4E619488" w:rsidR="00484EAD" w:rsidRPr="004653E7" w:rsidRDefault="001457C2" w:rsidP="00EB17E2">
            <w:pPr>
              <w:pStyle w:val="ListParagraph"/>
              <w:numPr>
                <w:ilvl w:val="0"/>
                <w:numId w:val="27"/>
              </w:numPr>
              <w:jc w:val="left"/>
              <w:rPr>
                <w:sz w:val="20"/>
                <w:szCs w:val="20"/>
              </w:rPr>
            </w:pPr>
            <w:r>
              <w:rPr>
                <w:sz w:val="20"/>
                <w:szCs w:val="20"/>
              </w:rPr>
              <w:t>U</w:t>
            </w:r>
            <w:r w:rsidR="00484EAD" w:rsidRPr="004653E7">
              <w:rPr>
                <w:sz w:val="20"/>
                <w:szCs w:val="20"/>
              </w:rPr>
              <w:t xml:space="preserve">nit/subject profiles/outlines that </w:t>
            </w:r>
            <w:r w:rsidR="003D0243">
              <w:rPr>
                <w:sz w:val="20"/>
                <w:szCs w:val="20"/>
              </w:rPr>
              <w:t>show</w:t>
            </w:r>
            <w:r w:rsidR="003D0243" w:rsidRPr="004653E7">
              <w:rPr>
                <w:sz w:val="20"/>
                <w:szCs w:val="20"/>
              </w:rPr>
              <w:t xml:space="preserve"> </w:t>
            </w:r>
            <w:r w:rsidR="00484EAD" w:rsidRPr="004653E7">
              <w:rPr>
                <w:sz w:val="20"/>
                <w:szCs w:val="20"/>
              </w:rPr>
              <w:t>protection of the public and safe practice</w:t>
            </w:r>
            <w:r w:rsidR="00411057">
              <w:rPr>
                <w:sz w:val="20"/>
                <w:szCs w:val="20"/>
              </w:rPr>
              <w:t>, including culturally safe practice,</w:t>
            </w:r>
            <w:r w:rsidR="00484EAD" w:rsidRPr="004653E7">
              <w:rPr>
                <w:sz w:val="20"/>
                <w:szCs w:val="20"/>
              </w:rPr>
              <w:t xml:space="preserve"> are addressed in the curriculum.</w:t>
            </w:r>
          </w:p>
          <w:p w14:paraId="4D1C3A94" w14:textId="559510CC" w:rsidR="002654BB" w:rsidRDefault="002E5C28" w:rsidP="00EB17E2">
            <w:pPr>
              <w:pStyle w:val="ListParagraph"/>
              <w:numPr>
                <w:ilvl w:val="0"/>
                <w:numId w:val="27"/>
              </w:numPr>
              <w:jc w:val="left"/>
              <w:rPr>
                <w:sz w:val="20"/>
                <w:szCs w:val="20"/>
              </w:rPr>
            </w:pPr>
            <w:r>
              <w:rPr>
                <w:sz w:val="20"/>
                <w:szCs w:val="20"/>
              </w:rPr>
              <w:t>A range of</w:t>
            </w:r>
            <w:r w:rsidRPr="004653E7">
              <w:rPr>
                <w:sz w:val="20"/>
                <w:szCs w:val="20"/>
              </w:rPr>
              <w:t xml:space="preserve"> different</w:t>
            </w:r>
            <w:r w:rsidR="002654BB" w:rsidRPr="004653E7">
              <w:rPr>
                <w:sz w:val="20"/>
                <w:szCs w:val="20"/>
              </w:rPr>
              <w:t xml:space="preserve"> assessment tools or modalities which show that safe practice</w:t>
            </w:r>
            <w:r w:rsidR="00411057">
              <w:rPr>
                <w:sz w:val="20"/>
                <w:szCs w:val="20"/>
              </w:rPr>
              <w:t>, including culturally safe practice,</w:t>
            </w:r>
            <w:r w:rsidR="002654BB" w:rsidRPr="004653E7">
              <w:rPr>
                <w:sz w:val="20"/>
                <w:szCs w:val="20"/>
              </w:rPr>
              <w:t xml:space="preserve"> is being taught and assessed </w:t>
            </w:r>
            <w:r w:rsidR="009F5966">
              <w:rPr>
                <w:sz w:val="20"/>
                <w:szCs w:val="20"/>
              </w:rPr>
              <w:t>across the curriculum</w:t>
            </w:r>
            <w:r w:rsidR="002654BB" w:rsidRPr="004653E7">
              <w:rPr>
                <w:sz w:val="20"/>
                <w:szCs w:val="20"/>
              </w:rPr>
              <w:t xml:space="preserve">. For each tool or modality, </w:t>
            </w:r>
            <w:r w:rsidR="00761300">
              <w:rPr>
                <w:sz w:val="20"/>
                <w:szCs w:val="20"/>
              </w:rPr>
              <w:t>provide</w:t>
            </w:r>
            <w:r w:rsidR="00761300" w:rsidRPr="004653E7">
              <w:rPr>
                <w:sz w:val="20"/>
                <w:szCs w:val="20"/>
              </w:rPr>
              <w:t xml:space="preserve"> </w:t>
            </w:r>
            <w:r w:rsidR="00857C74">
              <w:rPr>
                <w:sz w:val="20"/>
                <w:szCs w:val="20"/>
              </w:rPr>
              <w:t xml:space="preserve">a range of </w:t>
            </w:r>
            <w:r w:rsidR="002654BB" w:rsidRPr="004653E7">
              <w:rPr>
                <w:sz w:val="20"/>
                <w:szCs w:val="20"/>
              </w:rPr>
              <w:t xml:space="preserve">de-identified examples </w:t>
            </w:r>
            <w:r w:rsidR="00472722">
              <w:rPr>
                <w:sz w:val="20"/>
                <w:szCs w:val="20"/>
              </w:rPr>
              <w:t>of student assessment</w:t>
            </w:r>
            <w:r w:rsidR="002654BB" w:rsidRPr="004653E7">
              <w:rPr>
                <w:sz w:val="20"/>
                <w:szCs w:val="20"/>
              </w:rPr>
              <w:t xml:space="preserve">. Where possible </w:t>
            </w:r>
            <w:r w:rsidR="00761300">
              <w:rPr>
                <w:sz w:val="20"/>
                <w:szCs w:val="20"/>
              </w:rPr>
              <w:t>provide</w:t>
            </w:r>
            <w:r w:rsidR="00761300" w:rsidRPr="004653E7">
              <w:rPr>
                <w:sz w:val="20"/>
                <w:szCs w:val="20"/>
              </w:rPr>
              <w:t xml:space="preserve"> </w:t>
            </w:r>
            <w:r w:rsidR="002654BB" w:rsidRPr="004653E7">
              <w:rPr>
                <w:sz w:val="20"/>
                <w:szCs w:val="20"/>
              </w:rPr>
              <w:t xml:space="preserve">an example of a satisfactory or pass, and an example of unsatisfactory or </w:t>
            </w:r>
            <w:r w:rsidR="00BE44A2">
              <w:rPr>
                <w:sz w:val="20"/>
                <w:szCs w:val="20"/>
              </w:rPr>
              <w:t>where the benchmark is not yet met</w:t>
            </w:r>
            <w:r w:rsidR="002654BB" w:rsidRPr="004653E7">
              <w:rPr>
                <w:sz w:val="20"/>
                <w:szCs w:val="20"/>
              </w:rPr>
              <w:t>.</w:t>
            </w:r>
          </w:p>
          <w:p w14:paraId="4F002C7C" w14:textId="17B7B193" w:rsidR="001854AC" w:rsidRPr="00226280" w:rsidRDefault="00484EAD" w:rsidP="00EB17E2">
            <w:pPr>
              <w:pStyle w:val="ListParagraph"/>
              <w:numPr>
                <w:ilvl w:val="0"/>
                <w:numId w:val="27"/>
              </w:numPr>
              <w:jc w:val="left"/>
              <w:rPr>
                <w:sz w:val="20"/>
                <w:szCs w:val="20"/>
              </w:rPr>
            </w:pPr>
            <w:r w:rsidRPr="004653E7">
              <w:rPr>
                <w:sz w:val="20"/>
                <w:szCs w:val="20"/>
              </w:rPr>
              <w:t xml:space="preserve">Examples of implementation of formal mechanisms </w:t>
            </w:r>
            <w:r w:rsidR="00941902" w:rsidRPr="004653E7">
              <w:rPr>
                <w:sz w:val="20"/>
                <w:szCs w:val="20"/>
              </w:rPr>
              <w:t xml:space="preserve">used to </w:t>
            </w:r>
            <w:r w:rsidRPr="004653E7">
              <w:rPr>
                <w:sz w:val="20"/>
                <w:szCs w:val="20"/>
              </w:rPr>
              <w:t xml:space="preserve">identify, report on and remedy issues </w:t>
            </w:r>
            <w:r w:rsidR="006277EC">
              <w:rPr>
                <w:sz w:val="20"/>
                <w:szCs w:val="20"/>
              </w:rPr>
              <w:t xml:space="preserve">impacting on safe practice in </w:t>
            </w:r>
            <w:r w:rsidR="00AF43D5">
              <w:rPr>
                <w:sz w:val="20"/>
                <w:szCs w:val="20"/>
              </w:rPr>
              <w:t>program</w:t>
            </w:r>
            <w:r w:rsidR="001457C2">
              <w:rPr>
                <w:sz w:val="20"/>
                <w:szCs w:val="20"/>
              </w:rPr>
              <w:t xml:space="preserve"> </w:t>
            </w:r>
            <w:r w:rsidR="006277EC">
              <w:rPr>
                <w:sz w:val="20"/>
                <w:szCs w:val="20"/>
              </w:rPr>
              <w:t xml:space="preserve">design, implementation and monitoring. </w:t>
            </w:r>
          </w:p>
        </w:tc>
      </w:tr>
      <w:tr w:rsidR="00484EAD" w:rsidRPr="004653E7" w14:paraId="71979F4E" w14:textId="77777777" w:rsidTr="00484EAD">
        <w:trPr>
          <w:trHeight w:val="333"/>
        </w:trPr>
        <w:tc>
          <w:tcPr>
            <w:tcW w:w="709" w:type="dxa"/>
            <w:shd w:val="clear" w:color="auto" w:fill="auto"/>
          </w:tcPr>
          <w:p w14:paraId="1EC55306" w14:textId="5F7E226D" w:rsidR="00484EAD" w:rsidRPr="004653E7" w:rsidRDefault="00484EAD" w:rsidP="00624DC5">
            <w:pPr>
              <w:rPr>
                <w:rFonts w:ascii="Arial" w:hAnsi="Arial" w:cs="Arial"/>
                <w:sz w:val="20"/>
                <w:szCs w:val="20"/>
                <w:lang w:eastAsia="en-AU"/>
              </w:rPr>
            </w:pPr>
            <w:r w:rsidRPr="004653E7">
              <w:rPr>
                <w:rFonts w:ascii="Arial" w:hAnsi="Arial" w:cs="Arial"/>
                <w:sz w:val="20"/>
                <w:szCs w:val="20"/>
                <w:lang w:eastAsia="en-AU"/>
              </w:rPr>
              <w:t>1.2</w:t>
            </w:r>
          </w:p>
        </w:tc>
        <w:tc>
          <w:tcPr>
            <w:tcW w:w="3402" w:type="dxa"/>
            <w:shd w:val="clear" w:color="auto" w:fill="auto"/>
          </w:tcPr>
          <w:p w14:paraId="130EC6BA" w14:textId="6D73F032" w:rsidR="00484EAD" w:rsidRPr="004653E7" w:rsidRDefault="004C07E4" w:rsidP="00383FC9">
            <w:pPr>
              <w:rPr>
                <w:rFonts w:ascii="Arial" w:hAnsi="Arial" w:cs="Arial"/>
                <w:sz w:val="20"/>
                <w:szCs w:val="20"/>
                <w:lang w:eastAsia="en-AU"/>
              </w:rPr>
            </w:pPr>
            <w:r w:rsidRPr="004653E7">
              <w:rPr>
                <w:rFonts w:ascii="Arial" w:hAnsi="Arial" w:cs="Arial"/>
                <w:sz w:val="20"/>
                <w:szCs w:val="20"/>
                <w:lang w:eastAsia="en-AU"/>
              </w:rPr>
              <w:t>F</w:t>
            </w:r>
            <w:r w:rsidR="00484EAD" w:rsidRPr="004653E7">
              <w:rPr>
                <w:rFonts w:ascii="Arial" w:hAnsi="Arial" w:cs="Arial"/>
                <w:sz w:val="20"/>
                <w:szCs w:val="20"/>
                <w:lang w:eastAsia="en-AU"/>
              </w:rPr>
              <w:t xml:space="preserve">ormal mechanisms </w:t>
            </w:r>
            <w:r w:rsidRPr="004653E7">
              <w:rPr>
                <w:rFonts w:ascii="Arial" w:hAnsi="Arial" w:cs="Arial"/>
                <w:sz w:val="20"/>
                <w:szCs w:val="20"/>
                <w:lang w:eastAsia="en-AU"/>
              </w:rPr>
              <w:t xml:space="preserve">exist </w:t>
            </w:r>
            <w:r w:rsidR="00484EAD" w:rsidRPr="004653E7">
              <w:rPr>
                <w:rFonts w:ascii="Arial" w:hAnsi="Arial" w:cs="Arial"/>
                <w:sz w:val="20"/>
                <w:szCs w:val="20"/>
                <w:lang w:eastAsia="en-AU"/>
              </w:rPr>
              <w:t xml:space="preserve">to ensure students </w:t>
            </w:r>
            <w:proofErr w:type="gramStart"/>
            <w:r w:rsidR="002046B7">
              <w:rPr>
                <w:rFonts w:ascii="Arial" w:hAnsi="Arial" w:cs="Arial"/>
                <w:sz w:val="20"/>
                <w:szCs w:val="20"/>
                <w:lang w:eastAsia="en-AU"/>
              </w:rPr>
              <w:t>are</w:t>
            </w:r>
            <w:r w:rsidR="002046B7" w:rsidRPr="004653E7">
              <w:rPr>
                <w:rFonts w:ascii="Arial" w:hAnsi="Arial" w:cs="Arial"/>
                <w:sz w:val="20"/>
                <w:szCs w:val="20"/>
                <w:lang w:eastAsia="en-AU"/>
              </w:rPr>
              <w:t xml:space="preserve"> </w:t>
            </w:r>
            <w:r w:rsidR="002E5C28">
              <w:rPr>
                <w:rFonts w:ascii="Arial" w:hAnsi="Arial" w:cs="Arial"/>
                <w:sz w:val="20"/>
                <w:szCs w:val="20"/>
                <w:lang w:eastAsia="en-AU"/>
              </w:rPr>
              <w:t xml:space="preserve">mentally and physically able to </w:t>
            </w:r>
            <w:r w:rsidR="00484EAD" w:rsidRPr="004653E7">
              <w:rPr>
                <w:rFonts w:ascii="Arial" w:hAnsi="Arial" w:cs="Arial"/>
                <w:sz w:val="20"/>
                <w:szCs w:val="20"/>
                <w:lang w:eastAsia="en-AU"/>
              </w:rPr>
              <w:t>practise safely at all times</w:t>
            </w:r>
            <w:proofErr w:type="gramEnd"/>
            <w:r w:rsidR="00484EAD" w:rsidRPr="004653E7">
              <w:rPr>
                <w:rFonts w:ascii="Arial" w:hAnsi="Arial" w:cs="Arial"/>
                <w:sz w:val="20"/>
                <w:szCs w:val="20"/>
                <w:lang w:eastAsia="en-AU"/>
              </w:rPr>
              <w:t xml:space="preserve">. </w:t>
            </w:r>
          </w:p>
        </w:tc>
        <w:tc>
          <w:tcPr>
            <w:tcW w:w="5528" w:type="dxa"/>
          </w:tcPr>
          <w:p w14:paraId="38EA943A" w14:textId="13D2AB13" w:rsidR="00484EAD" w:rsidRPr="004653E7" w:rsidRDefault="00484EAD" w:rsidP="00EB17E2">
            <w:pPr>
              <w:pStyle w:val="ListParagraph"/>
              <w:numPr>
                <w:ilvl w:val="0"/>
                <w:numId w:val="22"/>
              </w:numPr>
              <w:jc w:val="left"/>
              <w:rPr>
                <w:sz w:val="20"/>
                <w:szCs w:val="20"/>
              </w:rPr>
            </w:pPr>
            <w:r w:rsidRPr="004653E7">
              <w:rPr>
                <w:sz w:val="20"/>
                <w:szCs w:val="20"/>
              </w:rPr>
              <w:t xml:space="preserve">Examples of implementation of formal mechanisms </w:t>
            </w:r>
            <w:r w:rsidR="004C07E4" w:rsidRPr="004653E7">
              <w:rPr>
                <w:sz w:val="20"/>
                <w:szCs w:val="20"/>
              </w:rPr>
              <w:t>used to</w:t>
            </w:r>
            <w:r w:rsidRPr="004653E7">
              <w:rPr>
                <w:sz w:val="20"/>
                <w:szCs w:val="20"/>
              </w:rPr>
              <w:t xml:space="preserve"> monitor whether students are fit to practise safely throughout the duration of the </w:t>
            </w:r>
            <w:r w:rsidR="00AF43D5">
              <w:rPr>
                <w:sz w:val="20"/>
                <w:szCs w:val="20"/>
              </w:rPr>
              <w:t>program</w:t>
            </w:r>
            <w:r w:rsidR="00752850" w:rsidRPr="004653E7">
              <w:rPr>
                <w:sz w:val="20"/>
                <w:szCs w:val="20"/>
              </w:rPr>
              <w:t xml:space="preserve"> </w:t>
            </w:r>
            <w:r w:rsidR="0007786D" w:rsidRPr="004653E7">
              <w:rPr>
                <w:sz w:val="20"/>
                <w:szCs w:val="20"/>
              </w:rPr>
              <w:t>and</w:t>
            </w:r>
            <w:r w:rsidRPr="004653E7">
              <w:rPr>
                <w:sz w:val="20"/>
                <w:szCs w:val="20"/>
              </w:rPr>
              <w:t xml:space="preserve"> manage situations where safety issues are identified.</w:t>
            </w:r>
          </w:p>
          <w:p w14:paraId="1A4559ED" w14:textId="13F9A397" w:rsidR="00484EAD" w:rsidRPr="004653E7" w:rsidRDefault="00E900E3" w:rsidP="00EB17E2">
            <w:pPr>
              <w:pStyle w:val="ListParagraph"/>
              <w:numPr>
                <w:ilvl w:val="0"/>
                <w:numId w:val="22"/>
              </w:numPr>
              <w:jc w:val="left"/>
              <w:rPr>
                <w:sz w:val="20"/>
                <w:szCs w:val="20"/>
              </w:rPr>
            </w:pPr>
            <w:r w:rsidRPr="00E900E3">
              <w:rPr>
                <w:sz w:val="20"/>
                <w:szCs w:val="20"/>
              </w:rPr>
              <w:t>A range of</w:t>
            </w:r>
            <w:r w:rsidR="00484EAD" w:rsidRPr="00E900E3">
              <w:rPr>
                <w:sz w:val="20"/>
                <w:szCs w:val="20"/>
              </w:rPr>
              <w:t xml:space="preserve"> de-identified examples of implementation of formal mechanisms </w:t>
            </w:r>
            <w:r w:rsidR="00581C28" w:rsidRPr="00E900E3">
              <w:rPr>
                <w:sz w:val="20"/>
                <w:szCs w:val="20"/>
              </w:rPr>
              <w:t xml:space="preserve">used </w:t>
            </w:r>
            <w:r w:rsidR="00484EAD" w:rsidRPr="00E900E3">
              <w:rPr>
                <w:sz w:val="20"/>
                <w:szCs w:val="20"/>
              </w:rPr>
              <w:t>to ensure students are safe to engage in practice before work-integrated learning</w:t>
            </w:r>
            <w:r w:rsidR="003D0243" w:rsidRPr="00E900E3">
              <w:rPr>
                <w:sz w:val="20"/>
                <w:szCs w:val="20"/>
              </w:rPr>
              <w:t>.</w:t>
            </w:r>
            <w:r w:rsidR="00941902" w:rsidRPr="00E900E3">
              <w:rPr>
                <w:sz w:val="20"/>
                <w:szCs w:val="20"/>
              </w:rPr>
              <w:t xml:space="preserve"> This</w:t>
            </w:r>
            <w:r w:rsidR="00484EAD" w:rsidRPr="00E900E3">
              <w:rPr>
                <w:sz w:val="20"/>
                <w:szCs w:val="20"/>
              </w:rPr>
              <w:t xml:space="preserve"> includ</w:t>
            </w:r>
            <w:r w:rsidR="00941902" w:rsidRPr="00E900E3">
              <w:rPr>
                <w:sz w:val="20"/>
                <w:szCs w:val="20"/>
              </w:rPr>
              <w:t>es</w:t>
            </w:r>
            <w:r w:rsidR="00484EAD" w:rsidRPr="00E900E3">
              <w:rPr>
                <w:sz w:val="20"/>
                <w:szCs w:val="20"/>
              </w:rPr>
              <w:t xml:space="preserve"> </w:t>
            </w:r>
            <w:r w:rsidR="00C740DC">
              <w:rPr>
                <w:sz w:val="20"/>
                <w:szCs w:val="20"/>
              </w:rPr>
              <w:t xml:space="preserve">examples of </w:t>
            </w:r>
            <w:r w:rsidR="00484EAD" w:rsidRPr="00E900E3">
              <w:rPr>
                <w:sz w:val="20"/>
                <w:szCs w:val="20"/>
              </w:rPr>
              <w:t>confidential</w:t>
            </w:r>
            <w:r w:rsidR="00484EAD" w:rsidRPr="004653E7">
              <w:rPr>
                <w:sz w:val="20"/>
                <w:szCs w:val="20"/>
              </w:rPr>
              <w:t xml:space="preserve"> disclosure of issues by students, vaccinations and, where mandated, completion of police checks and </w:t>
            </w:r>
            <w:r w:rsidR="00D041A9">
              <w:rPr>
                <w:sz w:val="20"/>
                <w:szCs w:val="20"/>
              </w:rPr>
              <w:t xml:space="preserve">child </w:t>
            </w:r>
            <w:r w:rsidR="00EB4510">
              <w:rPr>
                <w:sz w:val="20"/>
                <w:szCs w:val="20"/>
              </w:rPr>
              <w:t>and vulnerable person safety</w:t>
            </w:r>
            <w:r w:rsidR="00D041A9">
              <w:rPr>
                <w:sz w:val="20"/>
                <w:szCs w:val="20"/>
              </w:rPr>
              <w:t xml:space="preserve"> screening</w:t>
            </w:r>
            <w:r w:rsidR="00484EAD" w:rsidRPr="004653E7">
              <w:rPr>
                <w:sz w:val="20"/>
                <w:szCs w:val="20"/>
              </w:rPr>
              <w:t xml:space="preserve"> checks.</w:t>
            </w:r>
          </w:p>
        </w:tc>
      </w:tr>
      <w:tr w:rsidR="00484EAD" w:rsidRPr="004653E7" w14:paraId="64AC63C7" w14:textId="77777777" w:rsidTr="00484EAD">
        <w:trPr>
          <w:trHeight w:val="552"/>
        </w:trPr>
        <w:tc>
          <w:tcPr>
            <w:tcW w:w="709" w:type="dxa"/>
            <w:shd w:val="clear" w:color="auto" w:fill="auto"/>
          </w:tcPr>
          <w:p w14:paraId="60C754BE" w14:textId="360260BF" w:rsidR="00484EAD" w:rsidRPr="004653E7" w:rsidRDefault="00484EAD" w:rsidP="00624DC5">
            <w:pPr>
              <w:rPr>
                <w:rFonts w:ascii="Arial" w:hAnsi="Arial" w:cs="Arial"/>
                <w:sz w:val="20"/>
                <w:szCs w:val="20"/>
                <w:lang w:eastAsia="en-AU"/>
              </w:rPr>
            </w:pPr>
            <w:r w:rsidRPr="004653E7">
              <w:rPr>
                <w:rFonts w:ascii="Arial" w:hAnsi="Arial" w:cs="Arial"/>
                <w:sz w:val="20"/>
                <w:szCs w:val="20"/>
                <w:lang w:eastAsia="en-AU"/>
              </w:rPr>
              <w:t>1.3</w:t>
            </w:r>
          </w:p>
        </w:tc>
        <w:tc>
          <w:tcPr>
            <w:tcW w:w="3402" w:type="dxa"/>
            <w:shd w:val="clear" w:color="auto" w:fill="auto"/>
          </w:tcPr>
          <w:p w14:paraId="5A0ADBF5" w14:textId="5704156D" w:rsidR="00484EAD" w:rsidRPr="004653E7" w:rsidRDefault="00484EAD" w:rsidP="00624DC5">
            <w:pPr>
              <w:rPr>
                <w:rFonts w:ascii="Arial" w:hAnsi="Arial" w:cs="Arial"/>
                <w:sz w:val="20"/>
                <w:szCs w:val="20"/>
                <w:lang w:eastAsia="en-AU"/>
              </w:rPr>
            </w:pPr>
            <w:r w:rsidRPr="004653E7">
              <w:rPr>
                <w:rFonts w:ascii="Arial" w:hAnsi="Arial" w:cs="Arial"/>
                <w:sz w:val="20"/>
                <w:szCs w:val="20"/>
                <w:lang w:eastAsia="en-AU"/>
              </w:rPr>
              <w:t xml:space="preserve">Students </w:t>
            </w:r>
            <w:r w:rsidR="004C07E4" w:rsidRPr="004653E7">
              <w:rPr>
                <w:rFonts w:ascii="Arial" w:hAnsi="Arial" w:cs="Arial"/>
                <w:sz w:val="20"/>
                <w:szCs w:val="20"/>
                <w:lang w:eastAsia="en-AU"/>
              </w:rPr>
              <w:t>are required</w:t>
            </w:r>
            <w:r w:rsidRPr="004653E7">
              <w:rPr>
                <w:rFonts w:ascii="Arial" w:hAnsi="Arial" w:cs="Arial"/>
                <w:sz w:val="20"/>
                <w:szCs w:val="20"/>
                <w:lang w:eastAsia="en-AU"/>
              </w:rPr>
              <w:t xml:space="preserve"> to achieve relevant capabilities before each period of work-integrated learning.</w:t>
            </w:r>
          </w:p>
        </w:tc>
        <w:tc>
          <w:tcPr>
            <w:tcW w:w="5528" w:type="dxa"/>
          </w:tcPr>
          <w:p w14:paraId="6DA52529" w14:textId="19A5C4A8" w:rsidR="00484EAD" w:rsidRPr="004653E7" w:rsidRDefault="00484EAD" w:rsidP="00EB17E2">
            <w:pPr>
              <w:pStyle w:val="ListParagraph"/>
              <w:numPr>
                <w:ilvl w:val="0"/>
                <w:numId w:val="23"/>
              </w:numPr>
              <w:jc w:val="left"/>
              <w:rPr>
                <w:sz w:val="20"/>
                <w:szCs w:val="20"/>
              </w:rPr>
            </w:pPr>
            <w:r w:rsidRPr="004653E7">
              <w:rPr>
                <w:sz w:val="20"/>
                <w:szCs w:val="20"/>
              </w:rPr>
              <w:t xml:space="preserve">Documents </w:t>
            </w:r>
            <w:r w:rsidR="00472722">
              <w:rPr>
                <w:sz w:val="20"/>
                <w:szCs w:val="20"/>
              </w:rPr>
              <w:t>identifying</w:t>
            </w:r>
            <w:r w:rsidR="00472722" w:rsidRPr="004653E7">
              <w:rPr>
                <w:sz w:val="20"/>
                <w:szCs w:val="20"/>
              </w:rPr>
              <w:t xml:space="preserve"> </w:t>
            </w:r>
            <w:r w:rsidRPr="004653E7">
              <w:rPr>
                <w:sz w:val="20"/>
                <w:szCs w:val="20"/>
              </w:rPr>
              <w:t xml:space="preserve">the relevant learning outcomes to be achieved before each period of work-integrated learning </w:t>
            </w:r>
            <w:r w:rsidR="00BE44A2">
              <w:rPr>
                <w:sz w:val="20"/>
                <w:szCs w:val="20"/>
              </w:rPr>
              <w:t xml:space="preserve">and </w:t>
            </w:r>
            <w:r w:rsidR="00472722">
              <w:rPr>
                <w:sz w:val="20"/>
                <w:szCs w:val="20"/>
              </w:rPr>
              <w:t xml:space="preserve">how these </w:t>
            </w:r>
            <w:r w:rsidR="00BE44A2">
              <w:rPr>
                <w:sz w:val="20"/>
                <w:szCs w:val="20"/>
              </w:rPr>
              <w:t xml:space="preserve">are actioned (for example, are they embedded in </w:t>
            </w:r>
            <w:r w:rsidR="00752850">
              <w:rPr>
                <w:sz w:val="20"/>
                <w:szCs w:val="20"/>
              </w:rPr>
              <w:t>the unit/subject</w:t>
            </w:r>
            <w:r w:rsidR="00BE44A2">
              <w:rPr>
                <w:sz w:val="20"/>
                <w:szCs w:val="20"/>
              </w:rPr>
              <w:t xml:space="preserve">, a pre-requisite </w:t>
            </w:r>
            <w:r w:rsidR="005A4271">
              <w:rPr>
                <w:sz w:val="20"/>
                <w:szCs w:val="20"/>
              </w:rPr>
              <w:t xml:space="preserve">for the unit/subject </w:t>
            </w:r>
            <w:r w:rsidR="00BE44A2">
              <w:rPr>
                <w:sz w:val="20"/>
                <w:szCs w:val="20"/>
              </w:rPr>
              <w:t xml:space="preserve">or mapped against </w:t>
            </w:r>
            <w:r w:rsidR="00752850">
              <w:rPr>
                <w:sz w:val="20"/>
                <w:szCs w:val="20"/>
              </w:rPr>
              <w:t>units/subjects</w:t>
            </w:r>
            <w:r w:rsidR="00BE44A2">
              <w:rPr>
                <w:sz w:val="20"/>
                <w:szCs w:val="20"/>
              </w:rPr>
              <w:t>)</w:t>
            </w:r>
            <w:r w:rsidRPr="004653E7">
              <w:rPr>
                <w:sz w:val="20"/>
                <w:szCs w:val="20"/>
              </w:rPr>
              <w:t>.</w:t>
            </w:r>
            <w:r w:rsidR="0007786D">
              <w:rPr>
                <w:sz w:val="20"/>
                <w:szCs w:val="20"/>
              </w:rPr>
              <w:t xml:space="preserve"> </w:t>
            </w:r>
          </w:p>
          <w:p w14:paraId="588994EB" w14:textId="77777777" w:rsidR="00CE67D8" w:rsidRDefault="00435513" w:rsidP="00EB17E2">
            <w:pPr>
              <w:pStyle w:val="ListParagraph"/>
              <w:numPr>
                <w:ilvl w:val="0"/>
                <w:numId w:val="22"/>
              </w:numPr>
              <w:jc w:val="left"/>
              <w:rPr>
                <w:sz w:val="20"/>
                <w:szCs w:val="20"/>
              </w:rPr>
            </w:pPr>
            <w:r>
              <w:rPr>
                <w:sz w:val="20"/>
                <w:szCs w:val="20"/>
              </w:rPr>
              <w:t>A range of</w:t>
            </w:r>
            <w:r w:rsidR="002654BB" w:rsidRPr="004653E7">
              <w:rPr>
                <w:sz w:val="20"/>
                <w:szCs w:val="20"/>
              </w:rPr>
              <w:t xml:space="preserve"> assessment tools or modalities which show assessment of relevant learning outcomes. For each tool or modality, </w:t>
            </w:r>
            <w:r w:rsidR="00761300">
              <w:rPr>
                <w:sz w:val="20"/>
                <w:szCs w:val="20"/>
              </w:rPr>
              <w:t>provide</w:t>
            </w:r>
            <w:r w:rsidR="00761300" w:rsidRPr="004653E7">
              <w:rPr>
                <w:sz w:val="20"/>
                <w:szCs w:val="20"/>
              </w:rPr>
              <w:t xml:space="preserve"> </w:t>
            </w:r>
            <w:r w:rsidR="00857C74">
              <w:rPr>
                <w:sz w:val="20"/>
                <w:szCs w:val="20"/>
              </w:rPr>
              <w:t xml:space="preserve">a range of </w:t>
            </w:r>
            <w:r w:rsidR="002654BB" w:rsidRPr="004653E7">
              <w:rPr>
                <w:sz w:val="20"/>
                <w:szCs w:val="20"/>
              </w:rPr>
              <w:t xml:space="preserve">de-identified examples from students across the range of performance. </w:t>
            </w:r>
          </w:p>
          <w:p w14:paraId="738F89F5" w14:textId="5E8968E2" w:rsidR="00484EAD" w:rsidRPr="004653E7" w:rsidRDefault="00311670" w:rsidP="00EB17E2">
            <w:pPr>
              <w:pStyle w:val="ListParagraph"/>
              <w:numPr>
                <w:ilvl w:val="0"/>
                <w:numId w:val="22"/>
              </w:numPr>
              <w:jc w:val="left"/>
              <w:rPr>
                <w:sz w:val="20"/>
                <w:szCs w:val="20"/>
              </w:rPr>
            </w:pPr>
            <w:r>
              <w:rPr>
                <w:sz w:val="20"/>
                <w:szCs w:val="20"/>
              </w:rPr>
              <w:t xml:space="preserve">Where possible, </w:t>
            </w:r>
            <w:r w:rsidR="001854AC">
              <w:rPr>
                <w:sz w:val="20"/>
                <w:szCs w:val="20"/>
              </w:rPr>
              <w:t>provide</w:t>
            </w:r>
            <w:r>
              <w:rPr>
                <w:sz w:val="20"/>
                <w:szCs w:val="20"/>
              </w:rPr>
              <w:t xml:space="preserve"> a</w:t>
            </w:r>
            <w:r w:rsidR="009F5966">
              <w:rPr>
                <w:sz w:val="20"/>
                <w:szCs w:val="20"/>
              </w:rPr>
              <w:t xml:space="preserve"> de-identified</w:t>
            </w:r>
            <w:r>
              <w:rPr>
                <w:sz w:val="20"/>
                <w:szCs w:val="20"/>
              </w:rPr>
              <w:t xml:space="preserve"> example of where a student is refused work-integrated learning because they have not attained relevant capabilities.</w:t>
            </w:r>
          </w:p>
        </w:tc>
      </w:tr>
      <w:tr w:rsidR="00484EAD" w:rsidRPr="004653E7" w14:paraId="62B916F3" w14:textId="77777777" w:rsidTr="00484EAD">
        <w:trPr>
          <w:trHeight w:val="192"/>
        </w:trPr>
        <w:tc>
          <w:tcPr>
            <w:tcW w:w="709" w:type="dxa"/>
            <w:shd w:val="clear" w:color="auto" w:fill="auto"/>
          </w:tcPr>
          <w:p w14:paraId="447CB929" w14:textId="22E66F0C" w:rsidR="00484EAD" w:rsidRPr="004653E7" w:rsidRDefault="00484EAD" w:rsidP="00624DC5">
            <w:pPr>
              <w:rPr>
                <w:rFonts w:ascii="Arial" w:hAnsi="Arial" w:cs="Arial"/>
                <w:sz w:val="20"/>
                <w:szCs w:val="20"/>
                <w:lang w:eastAsia="en-AU"/>
              </w:rPr>
            </w:pPr>
            <w:r w:rsidRPr="004653E7">
              <w:rPr>
                <w:rFonts w:ascii="Arial" w:hAnsi="Arial" w:cs="Arial"/>
                <w:sz w:val="20"/>
                <w:szCs w:val="20"/>
                <w:lang w:eastAsia="en-AU"/>
              </w:rPr>
              <w:t>1.4</w:t>
            </w:r>
          </w:p>
        </w:tc>
        <w:tc>
          <w:tcPr>
            <w:tcW w:w="3402" w:type="dxa"/>
            <w:shd w:val="clear" w:color="auto" w:fill="auto"/>
          </w:tcPr>
          <w:p w14:paraId="7FD83AFF" w14:textId="5D0B4C5C" w:rsidR="00EA3A76" w:rsidRPr="004653E7" w:rsidRDefault="00484EAD" w:rsidP="004C0677">
            <w:pPr>
              <w:rPr>
                <w:rFonts w:ascii="Arial" w:hAnsi="Arial" w:cs="Arial"/>
                <w:sz w:val="20"/>
                <w:szCs w:val="20"/>
                <w:lang w:eastAsia="en-AU"/>
              </w:rPr>
            </w:pPr>
            <w:r w:rsidRPr="004653E7">
              <w:rPr>
                <w:rFonts w:ascii="Arial" w:hAnsi="Arial" w:cs="Arial"/>
                <w:sz w:val="20"/>
                <w:szCs w:val="20"/>
                <w:lang w:eastAsia="en-AU"/>
              </w:rPr>
              <w:t xml:space="preserve">Health practitioners who supervise students during work-integrated learning hold </w:t>
            </w:r>
            <w:r w:rsidR="002A305D">
              <w:rPr>
                <w:rFonts w:ascii="Arial" w:hAnsi="Arial" w:cs="Arial"/>
                <w:sz w:val="20"/>
                <w:szCs w:val="20"/>
                <w:lang w:eastAsia="en-AU"/>
              </w:rPr>
              <w:t xml:space="preserve">relevant, appropriate </w:t>
            </w:r>
            <w:r w:rsidR="002A305D">
              <w:rPr>
                <w:rFonts w:ascii="Arial" w:hAnsi="Arial" w:cs="Arial"/>
                <w:sz w:val="20"/>
                <w:szCs w:val="20"/>
                <w:lang w:eastAsia="en-AU"/>
              </w:rPr>
              <w:lastRenderedPageBreak/>
              <w:t xml:space="preserve">and </w:t>
            </w:r>
            <w:r w:rsidRPr="004653E7">
              <w:rPr>
                <w:rFonts w:ascii="Arial" w:hAnsi="Arial" w:cs="Arial"/>
                <w:sz w:val="20"/>
                <w:szCs w:val="20"/>
                <w:lang w:eastAsia="en-AU"/>
              </w:rPr>
              <w:t>current registration in Australia for the clinical elements they supervise</w:t>
            </w:r>
            <w:r w:rsidR="009A7E52">
              <w:rPr>
                <w:rFonts w:ascii="Arial" w:hAnsi="Arial" w:cs="Arial"/>
                <w:sz w:val="20"/>
                <w:szCs w:val="20"/>
                <w:lang w:eastAsia="en-AU"/>
              </w:rPr>
              <w:t>, or equivalent registration in their country, where relevant</w:t>
            </w:r>
            <w:r w:rsidRPr="004653E7">
              <w:rPr>
                <w:rFonts w:ascii="Arial" w:hAnsi="Arial" w:cs="Arial"/>
                <w:sz w:val="20"/>
                <w:szCs w:val="20"/>
                <w:lang w:eastAsia="en-AU"/>
              </w:rPr>
              <w:t>.</w:t>
            </w:r>
          </w:p>
        </w:tc>
        <w:tc>
          <w:tcPr>
            <w:tcW w:w="5528" w:type="dxa"/>
          </w:tcPr>
          <w:p w14:paraId="255C586D" w14:textId="157D49C1" w:rsidR="00EA3A76" w:rsidRPr="00D1622A" w:rsidRDefault="00484EAD" w:rsidP="00EB17E2">
            <w:pPr>
              <w:pStyle w:val="ListParagraph"/>
              <w:numPr>
                <w:ilvl w:val="0"/>
                <w:numId w:val="21"/>
              </w:numPr>
              <w:jc w:val="left"/>
              <w:rPr>
                <w:sz w:val="20"/>
                <w:szCs w:val="20"/>
              </w:rPr>
            </w:pPr>
            <w:r w:rsidRPr="004653E7">
              <w:rPr>
                <w:sz w:val="20"/>
                <w:szCs w:val="20"/>
              </w:rPr>
              <w:lastRenderedPageBreak/>
              <w:t xml:space="preserve">Examples of implementation of formal arrangements with </w:t>
            </w:r>
            <w:r w:rsidR="005E6756" w:rsidRPr="004653E7">
              <w:rPr>
                <w:sz w:val="20"/>
                <w:szCs w:val="20"/>
              </w:rPr>
              <w:t>facilities and health services</w:t>
            </w:r>
            <w:r w:rsidR="00D954DC">
              <w:rPr>
                <w:sz w:val="20"/>
                <w:szCs w:val="20"/>
              </w:rPr>
              <w:t xml:space="preserve"> (including those operated by universities)</w:t>
            </w:r>
            <w:r w:rsidR="005E6756" w:rsidRPr="004653E7">
              <w:rPr>
                <w:sz w:val="20"/>
                <w:szCs w:val="20"/>
              </w:rPr>
              <w:t xml:space="preserve"> used for work-integrated </w:t>
            </w:r>
            <w:r w:rsidR="005E6756" w:rsidRPr="004653E7">
              <w:rPr>
                <w:sz w:val="20"/>
                <w:szCs w:val="20"/>
              </w:rPr>
              <w:lastRenderedPageBreak/>
              <w:t>learning</w:t>
            </w:r>
            <w:r w:rsidRPr="004653E7">
              <w:rPr>
                <w:sz w:val="20"/>
                <w:szCs w:val="20"/>
              </w:rPr>
              <w:t xml:space="preserve"> (for example, </w:t>
            </w:r>
            <w:r w:rsidR="005A4271">
              <w:rPr>
                <w:sz w:val="20"/>
                <w:szCs w:val="20"/>
              </w:rPr>
              <w:t xml:space="preserve">a </w:t>
            </w:r>
            <w:r w:rsidR="005A4271" w:rsidRPr="004653E7">
              <w:rPr>
                <w:sz w:val="20"/>
                <w:szCs w:val="20"/>
              </w:rPr>
              <w:t xml:space="preserve">formal contract and/or other written communication securing </w:t>
            </w:r>
            <w:r w:rsidR="005A4271">
              <w:rPr>
                <w:sz w:val="20"/>
                <w:szCs w:val="20"/>
              </w:rPr>
              <w:t xml:space="preserve">the </w:t>
            </w:r>
            <w:r w:rsidR="005A4271" w:rsidRPr="004653E7">
              <w:rPr>
                <w:sz w:val="20"/>
                <w:szCs w:val="20"/>
              </w:rPr>
              <w:t>work-integrated learning</w:t>
            </w:r>
            <w:r w:rsidR="005A4271">
              <w:rPr>
                <w:sz w:val="20"/>
                <w:szCs w:val="20"/>
              </w:rPr>
              <w:t xml:space="preserve"> arrangements</w:t>
            </w:r>
            <w:r w:rsidRPr="004653E7">
              <w:rPr>
                <w:sz w:val="20"/>
                <w:szCs w:val="20"/>
              </w:rPr>
              <w:t>) that ensure practitioners supervising students hold current registration</w:t>
            </w:r>
            <w:r w:rsidR="005E566E">
              <w:rPr>
                <w:sz w:val="20"/>
                <w:szCs w:val="20"/>
              </w:rPr>
              <w:t xml:space="preserve"> and endorsement for scheduled medicines</w:t>
            </w:r>
            <w:r w:rsidRPr="004653E7">
              <w:rPr>
                <w:sz w:val="20"/>
                <w:szCs w:val="20"/>
              </w:rPr>
              <w:t>.</w:t>
            </w:r>
          </w:p>
        </w:tc>
      </w:tr>
      <w:tr w:rsidR="00484EAD" w:rsidRPr="004653E7" w14:paraId="31F21DEE" w14:textId="77777777" w:rsidTr="00484EAD">
        <w:trPr>
          <w:trHeight w:val="568"/>
        </w:trPr>
        <w:tc>
          <w:tcPr>
            <w:tcW w:w="709" w:type="dxa"/>
            <w:shd w:val="clear" w:color="auto" w:fill="auto"/>
          </w:tcPr>
          <w:p w14:paraId="71B261CF" w14:textId="5E34B189" w:rsidR="00484EAD" w:rsidRPr="004653E7" w:rsidRDefault="00484EAD" w:rsidP="00624DC5">
            <w:pPr>
              <w:rPr>
                <w:rFonts w:ascii="Arial" w:hAnsi="Arial" w:cs="Arial"/>
                <w:sz w:val="20"/>
                <w:szCs w:val="20"/>
                <w:lang w:eastAsia="en-AU"/>
              </w:rPr>
            </w:pPr>
            <w:r w:rsidRPr="004653E7">
              <w:rPr>
                <w:rFonts w:ascii="Arial" w:hAnsi="Arial" w:cs="Arial"/>
                <w:sz w:val="20"/>
                <w:szCs w:val="20"/>
                <w:lang w:eastAsia="en-AU"/>
              </w:rPr>
              <w:lastRenderedPageBreak/>
              <w:t>1.5</w:t>
            </w:r>
          </w:p>
        </w:tc>
        <w:tc>
          <w:tcPr>
            <w:tcW w:w="3402" w:type="dxa"/>
            <w:shd w:val="clear" w:color="auto" w:fill="auto"/>
          </w:tcPr>
          <w:p w14:paraId="635F33DD" w14:textId="7FF4DA8B" w:rsidR="00484EAD" w:rsidRPr="004653E7" w:rsidRDefault="00484EAD" w:rsidP="00624DC5">
            <w:pPr>
              <w:rPr>
                <w:rFonts w:ascii="Arial" w:hAnsi="Arial" w:cs="Arial"/>
                <w:sz w:val="20"/>
                <w:szCs w:val="20"/>
                <w:lang w:eastAsia="en-AU"/>
              </w:rPr>
            </w:pPr>
            <w:r w:rsidRPr="004653E7">
              <w:rPr>
                <w:rFonts w:ascii="Arial" w:hAnsi="Arial" w:cs="Arial"/>
                <w:sz w:val="20"/>
                <w:szCs w:val="20"/>
                <w:lang w:eastAsia="en-AU"/>
              </w:rPr>
              <w:t xml:space="preserve">Facilities and health services used for work-integrated learning maintain </w:t>
            </w:r>
            <w:r w:rsidR="00581908">
              <w:rPr>
                <w:rFonts w:ascii="Arial" w:hAnsi="Arial" w:cs="Arial"/>
                <w:sz w:val="20"/>
                <w:szCs w:val="20"/>
                <w:lang w:eastAsia="en-AU"/>
              </w:rPr>
              <w:t xml:space="preserve">workplace safety standards, including </w:t>
            </w:r>
            <w:r w:rsidR="000529C5">
              <w:rPr>
                <w:rFonts w:ascii="Arial" w:hAnsi="Arial" w:cs="Arial"/>
                <w:sz w:val="20"/>
                <w:szCs w:val="20"/>
                <w:lang w:eastAsia="en-AU"/>
              </w:rPr>
              <w:t xml:space="preserve">any </w:t>
            </w:r>
            <w:r w:rsidRPr="004653E7">
              <w:rPr>
                <w:rFonts w:ascii="Arial" w:hAnsi="Arial" w:cs="Arial"/>
                <w:sz w:val="20"/>
                <w:szCs w:val="20"/>
                <w:lang w:eastAsia="en-AU"/>
              </w:rPr>
              <w:t>accreditation</w:t>
            </w:r>
            <w:r w:rsidR="00D149C3">
              <w:rPr>
                <w:rFonts w:ascii="Arial" w:hAnsi="Arial" w:cs="Arial"/>
                <w:sz w:val="20"/>
                <w:szCs w:val="20"/>
                <w:lang w:eastAsia="en-AU"/>
              </w:rPr>
              <w:t>,</w:t>
            </w:r>
            <w:r w:rsidRPr="004653E7">
              <w:rPr>
                <w:rFonts w:ascii="Arial" w:hAnsi="Arial" w:cs="Arial"/>
                <w:sz w:val="20"/>
                <w:szCs w:val="20"/>
                <w:lang w:eastAsia="en-AU"/>
              </w:rPr>
              <w:t xml:space="preserve"> licenc</w:t>
            </w:r>
            <w:r w:rsidR="00D149C3">
              <w:rPr>
                <w:rFonts w:ascii="Arial" w:hAnsi="Arial" w:cs="Arial"/>
                <w:sz w:val="20"/>
                <w:szCs w:val="20"/>
                <w:lang w:eastAsia="en-AU"/>
              </w:rPr>
              <w:t>ing and/or registration require</w:t>
            </w:r>
            <w:r w:rsidR="000529C5">
              <w:rPr>
                <w:rFonts w:ascii="Arial" w:hAnsi="Arial" w:cs="Arial"/>
                <w:sz w:val="20"/>
                <w:szCs w:val="20"/>
                <w:lang w:eastAsia="en-AU"/>
              </w:rPr>
              <w:t>d</w:t>
            </w:r>
            <w:r w:rsidR="00D149C3">
              <w:rPr>
                <w:rFonts w:ascii="Arial" w:hAnsi="Arial" w:cs="Arial"/>
                <w:sz w:val="20"/>
                <w:szCs w:val="20"/>
                <w:lang w:eastAsia="en-AU"/>
              </w:rPr>
              <w:t xml:space="preserve"> in </w:t>
            </w:r>
            <w:r w:rsidR="000529C5">
              <w:rPr>
                <w:rFonts w:ascii="Arial" w:hAnsi="Arial" w:cs="Arial"/>
                <w:sz w:val="20"/>
                <w:szCs w:val="20"/>
                <w:lang w:eastAsia="en-AU"/>
              </w:rPr>
              <w:t>the relevant</w:t>
            </w:r>
            <w:r w:rsidR="00D149C3">
              <w:rPr>
                <w:rFonts w:ascii="Arial" w:hAnsi="Arial" w:cs="Arial"/>
                <w:sz w:val="20"/>
                <w:szCs w:val="20"/>
                <w:lang w:eastAsia="en-AU"/>
              </w:rPr>
              <w:t xml:space="preserve"> </w:t>
            </w:r>
            <w:r w:rsidR="000529C5">
              <w:rPr>
                <w:rFonts w:ascii="Arial" w:hAnsi="Arial" w:cs="Arial"/>
                <w:sz w:val="20"/>
                <w:szCs w:val="20"/>
                <w:lang w:eastAsia="en-AU"/>
              </w:rPr>
              <w:t>s</w:t>
            </w:r>
            <w:r w:rsidR="00D149C3">
              <w:rPr>
                <w:rFonts w:ascii="Arial" w:hAnsi="Arial" w:cs="Arial"/>
                <w:sz w:val="20"/>
                <w:szCs w:val="20"/>
                <w:lang w:eastAsia="en-AU"/>
              </w:rPr>
              <w:t xml:space="preserve">tate or </w:t>
            </w:r>
            <w:r w:rsidR="000529C5">
              <w:rPr>
                <w:rFonts w:ascii="Arial" w:hAnsi="Arial" w:cs="Arial"/>
                <w:sz w:val="20"/>
                <w:szCs w:val="20"/>
                <w:lang w:eastAsia="en-AU"/>
              </w:rPr>
              <w:t>t</w:t>
            </w:r>
            <w:r w:rsidR="00D149C3">
              <w:rPr>
                <w:rFonts w:ascii="Arial" w:hAnsi="Arial" w:cs="Arial"/>
                <w:sz w:val="20"/>
                <w:szCs w:val="20"/>
                <w:lang w:eastAsia="en-AU"/>
              </w:rPr>
              <w:t>erritory</w:t>
            </w:r>
            <w:r w:rsidR="007B30A1" w:rsidRPr="004653E7">
              <w:rPr>
                <w:rFonts w:ascii="Arial" w:hAnsi="Arial" w:cs="Arial"/>
                <w:sz w:val="20"/>
                <w:szCs w:val="20"/>
                <w:lang w:eastAsia="en-AU"/>
              </w:rPr>
              <w:t>.</w:t>
            </w:r>
            <w:r w:rsidRPr="004653E7">
              <w:rPr>
                <w:rFonts w:ascii="Arial" w:hAnsi="Arial" w:cs="Arial"/>
                <w:sz w:val="20"/>
                <w:szCs w:val="20"/>
                <w:lang w:eastAsia="en-AU"/>
              </w:rPr>
              <w:t xml:space="preserve"> </w:t>
            </w:r>
          </w:p>
          <w:p w14:paraId="56559441" w14:textId="6F71075F" w:rsidR="00484EAD" w:rsidRPr="004653E7" w:rsidRDefault="00484EAD" w:rsidP="00624DC5">
            <w:pPr>
              <w:rPr>
                <w:rFonts w:ascii="Arial" w:hAnsi="Arial" w:cs="Arial"/>
                <w:sz w:val="20"/>
                <w:szCs w:val="20"/>
                <w:lang w:eastAsia="en-AU"/>
              </w:rPr>
            </w:pPr>
          </w:p>
          <w:p w14:paraId="2C255BD4" w14:textId="77777777" w:rsidR="00484EAD" w:rsidRPr="004653E7" w:rsidRDefault="00484EAD" w:rsidP="00624DC5">
            <w:pPr>
              <w:rPr>
                <w:rFonts w:ascii="Arial" w:hAnsi="Arial" w:cs="Arial"/>
                <w:sz w:val="20"/>
                <w:szCs w:val="20"/>
                <w:lang w:eastAsia="en-AU"/>
              </w:rPr>
            </w:pPr>
          </w:p>
        </w:tc>
        <w:tc>
          <w:tcPr>
            <w:tcW w:w="5528" w:type="dxa"/>
          </w:tcPr>
          <w:p w14:paraId="3040A22B" w14:textId="2A5BF955" w:rsidR="00484EAD" w:rsidRPr="004653E7" w:rsidRDefault="00484EAD" w:rsidP="006B223F">
            <w:pPr>
              <w:pStyle w:val="ListParagraph"/>
              <w:numPr>
                <w:ilvl w:val="0"/>
                <w:numId w:val="20"/>
              </w:numPr>
              <w:jc w:val="left"/>
              <w:rPr>
                <w:sz w:val="20"/>
                <w:szCs w:val="20"/>
              </w:rPr>
            </w:pPr>
            <w:r w:rsidRPr="004653E7">
              <w:rPr>
                <w:sz w:val="20"/>
                <w:szCs w:val="20"/>
              </w:rPr>
              <w:t xml:space="preserve">Examples of implementation of formal mechanisms that </w:t>
            </w:r>
            <w:r w:rsidR="005E6756" w:rsidRPr="004653E7">
              <w:rPr>
                <w:sz w:val="20"/>
                <w:szCs w:val="20"/>
              </w:rPr>
              <w:t xml:space="preserve">show </w:t>
            </w:r>
            <w:r w:rsidRPr="004653E7">
              <w:rPr>
                <w:sz w:val="20"/>
                <w:szCs w:val="20"/>
              </w:rPr>
              <w:t xml:space="preserve">facilities and health services used for work-integrated learning maintain </w:t>
            </w:r>
            <w:r w:rsidR="000529C5">
              <w:rPr>
                <w:sz w:val="20"/>
                <w:szCs w:val="20"/>
              </w:rPr>
              <w:t>any</w:t>
            </w:r>
            <w:r w:rsidR="000529C5" w:rsidRPr="004653E7">
              <w:rPr>
                <w:sz w:val="20"/>
                <w:szCs w:val="20"/>
              </w:rPr>
              <w:t xml:space="preserve"> </w:t>
            </w:r>
            <w:r w:rsidRPr="004653E7">
              <w:rPr>
                <w:sz w:val="20"/>
                <w:szCs w:val="20"/>
              </w:rPr>
              <w:t>accreditation</w:t>
            </w:r>
            <w:r w:rsidR="002E5C28">
              <w:rPr>
                <w:sz w:val="20"/>
                <w:szCs w:val="20"/>
              </w:rPr>
              <w:t>, licensing and/or registration require</w:t>
            </w:r>
            <w:r w:rsidR="000529C5">
              <w:rPr>
                <w:sz w:val="20"/>
                <w:szCs w:val="20"/>
              </w:rPr>
              <w:t>d</w:t>
            </w:r>
            <w:r w:rsidR="002E5C28">
              <w:rPr>
                <w:sz w:val="20"/>
                <w:szCs w:val="20"/>
              </w:rPr>
              <w:t xml:space="preserve"> in </w:t>
            </w:r>
            <w:r w:rsidR="000529C5">
              <w:rPr>
                <w:sz w:val="20"/>
                <w:szCs w:val="20"/>
              </w:rPr>
              <w:t>the relevant s</w:t>
            </w:r>
            <w:r w:rsidR="002E5C28">
              <w:rPr>
                <w:sz w:val="20"/>
                <w:szCs w:val="20"/>
              </w:rPr>
              <w:t xml:space="preserve">tate or </w:t>
            </w:r>
            <w:r w:rsidR="000529C5">
              <w:rPr>
                <w:sz w:val="20"/>
                <w:szCs w:val="20"/>
              </w:rPr>
              <w:t>t</w:t>
            </w:r>
            <w:r w:rsidR="002E5C28">
              <w:rPr>
                <w:sz w:val="20"/>
                <w:szCs w:val="20"/>
              </w:rPr>
              <w:t>erritory</w:t>
            </w:r>
            <w:r w:rsidRPr="004653E7">
              <w:rPr>
                <w:sz w:val="20"/>
                <w:szCs w:val="20"/>
              </w:rPr>
              <w:t>.</w:t>
            </w:r>
          </w:p>
          <w:p w14:paraId="3A9A1068" w14:textId="5DE13230" w:rsidR="00484EAD" w:rsidRPr="004653E7" w:rsidRDefault="00484EAD" w:rsidP="006B223F">
            <w:pPr>
              <w:pStyle w:val="ListParagraph"/>
              <w:numPr>
                <w:ilvl w:val="0"/>
                <w:numId w:val="20"/>
              </w:numPr>
              <w:jc w:val="left"/>
              <w:rPr>
                <w:sz w:val="20"/>
                <w:szCs w:val="20"/>
              </w:rPr>
            </w:pPr>
            <w:r w:rsidRPr="004653E7">
              <w:rPr>
                <w:sz w:val="20"/>
                <w:szCs w:val="20"/>
              </w:rPr>
              <w:t>Examples t</w:t>
            </w:r>
            <w:r w:rsidR="00941902" w:rsidRPr="004653E7">
              <w:rPr>
                <w:sz w:val="20"/>
                <w:szCs w:val="20"/>
              </w:rPr>
              <w:t>hat</w:t>
            </w:r>
            <w:r w:rsidRPr="004653E7">
              <w:rPr>
                <w:sz w:val="20"/>
                <w:szCs w:val="20"/>
              </w:rPr>
              <w:t xml:space="preserve"> show the education provider monitors the currency of </w:t>
            </w:r>
            <w:r w:rsidR="000529C5">
              <w:rPr>
                <w:sz w:val="20"/>
                <w:szCs w:val="20"/>
              </w:rPr>
              <w:t xml:space="preserve">any required </w:t>
            </w:r>
            <w:r w:rsidRPr="004653E7">
              <w:rPr>
                <w:sz w:val="20"/>
                <w:szCs w:val="20"/>
              </w:rPr>
              <w:t xml:space="preserve">accreditation and licences. </w:t>
            </w:r>
          </w:p>
          <w:p w14:paraId="437435E1" w14:textId="71B8F2A6" w:rsidR="00484EAD" w:rsidRPr="004653E7" w:rsidRDefault="00484EAD" w:rsidP="006B223F">
            <w:pPr>
              <w:pStyle w:val="ListParagraph"/>
              <w:numPr>
                <w:ilvl w:val="0"/>
                <w:numId w:val="20"/>
              </w:numPr>
              <w:jc w:val="left"/>
              <w:rPr>
                <w:sz w:val="20"/>
                <w:szCs w:val="20"/>
              </w:rPr>
            </w:pPr>
            <w:r w:rsidRPr="004653E7">
              <w:rPr>
                <w:sz w:val="20"/>
                <w:szCs w:val="20"/>
              </w:rPr>
              <w:t xml:space="preserve">Register of agreements (formal contracts and/or other written communication securing work-integrated learning) between the education provider and facilities and health services used for work-integrated learning. </w:t>
            </w:r>
          </w:p>
          <w:p w14:paraId="5C43D93F" w14:textId="244861CD" w:rsidR="00484EAD" w:rsidRPr="004653E7" w:rsidRDefault="00484EAD" w:rsidP="006B223F">
            <w:pPr>
              <w:pStyle w:val="ListParagraph"/>
              <w:numPr>
                <w:ilvl w:val="0"/>
                <w:numId w:val="20"/>
              </w:numPr>
              <w:jc w:val="left"/>
              <w:rPr>
                <w:sz w:val="20"/>
                <w:szCs w:val="20"/>
              </w:rPr>
            </w:pPr>
            <w:r w:rsidRPr="004653E7">
              <w:rPr>
                <w:sz w:val="20"/>
                <w:szCs w:val="20"/>
              </w:rPr>
              <w:t xml:space="preserve">Examples of implementation of formal mechanisms </w:t>
            </w:r>
            <w:r w:rsidR="007B30A1" w:rsidRPr="004653E7">
              <w:rPr>
                <w:sz w:val="20"/>
                <w:szCs w:val="20"/>
              </w:rPr>
              <w:t>used for</w:t>
            </w:r>
            <w:r w:rsidRPr="004653E7">
              <w:rPr>
                <w:sz w:val="20"/>
                <w:szCs w:val="20"/>
              </w:rPr>
              <w:t xml:space="preserve"> clinical and workplace safety</w:t>
            </w:r>
            <w:r w:rsidR="008A0114">
              <w:rPr>
                <w:sz w:val="20"/>
                <w:szCs w:val="20"/>
              </w:rPr>
              <w:t>.</w:t>
            </w:r>
            <w:r w:rsidRPr="004653E7">
              <w:rPr>
                <w:sz w:val="20"/>
                <w:szCs w:val="20"/>
              </w:rPr>
              <w:t xml:space="preserve"> </w:t>
            </w:r>
          </w:p>
        </w:tc>
      </w:tr>
      <w:tr w:rsidR="008A2573" w:rsidRPr="004653E7" w14:paraId="6AA5A671" w14:textId="77777777" w:rsidTr="00484EAD">
        <w:trPr>
          <w:trHeight w:val="192"/>
        </w:trPr>
        <w:tc>
          <w:tcPr>
            <w:tcW w:w="709" w:type="dxa"/>
            <w:shd w:val="clear" w:color="auto" w:fill="auto"/>
          </w:tcPr>
          <w:p w14:paraId="3072F759" w14:textId="7E83FECA" w:rsidR="008A2573" w:rsidRPr="004653E7" w:rsidRDefault="008A2573" w:rsidP="008A2573">
            <w:pPr>
              <w:rPr>
                <w:rFonts w:ascii="Arial" w:hAnsi="Arial" w:cs="Arial"/>
                <w:sz w:val="20"/>
                <w:szCs w:val="20"/>
                <w:lang w:eastAsia="en-AU"/>
              </w:rPr>
            </w:pPr>
            <w:r w:rsidRPr="004653E7">
              <w:rPr>
                <w:rFonts w:ascii="Arial" w:hAnsi="Arial" w:cs="Arial"/>
                <w:sz w:val="20"/>
                <w:szCs w:val="20"/>
                <w:lang w:eastAsia="en-AU"/>
              </w:rPr>
              <w:t>1.6</w:t>
            </w:r>
          </w:p>
        </w:tc>
        <w:tc>
          <w:tcPr>
            <w:tcW w:w="3402" w:type="dxa"/>
            <w:shd w:val="clear" w:color="auto" w:fill="auto"/>
          </w:tcPr>
          <w:p w14:paraId="4587DA89" w14:textId="0A3CBE85" w:rsidR="008A2573" w:rsidRPr="004653E7" w:rsidRDefault="008A2573" w:rsidP="008A2573">
            <w:pPr>
              <w:rPr>
                <w:rFonts w:ascii="Arial" w:hAnsi="Arial" w:cs="Arial"/>
                <w:sz w:val="20"/>
                <w:szCs w:val="20"/>
                <w:lang w:eastAsia="en-AU"/>
              </w:rPr>
            </w:pPr>
            <w:r w:rsidRPr="004653E7">
              <w:rPr>
                <w:rFonts w:ascii="Arial" w:hAnsi="Arial" w:cs="Arial"/>
                <w:sz w:val="20"/>
                <w:szCs w:val="20"/>
                <w:lang w:eastAsia="en-AU"/>
              </w:rPr>
              <w:t xml:space="preserve">The education provider requires students to comply with the </w:t>
            </w:r>
            <w:r>
              <w:rPr>
                <w:rFonts w:ascii="Arial" w:hAnsi="Arial" w:cs="Arial"/>
                <w:sz w:val="20"/>
                <w:szCs w:val="20"/>
                <w:lang w:eastAsia="en-AU"/>
              </w:rPr>
              <w:t>principles of professional and safe practice, including a code of conduct consistent with the Podiatry Board of Australia’s expectations of safe and professional conduct.</w:t>
            </w:r>
            <w:r>
              <w:rPr>
                <w:rFonts w:ascii="Arial" w:hAnsi="Arial" w:cs="Arial"/>
                <w:iCs/>
                <w:sz w:val="20"/>
                <w:szCs w:val="20"/>
                <w:lang w:eastAsia="en-AU"/>
              </w:rPr>
              <w:t xml:space="preserve"> </w:t>
            </w:r>
          </w:p>
        </w:tc>
        <w:tc>
          <w:tcPr>
            <w:tcW w:w="5528" w:type="dxa"/>
          </w:tcPr>
          <w:p w14:paraId="49DEA1C2" w14:textId="27B0F10B" w:rsidR="008A2573" w:rsidRDefault="008A2573" w:rsidP="006B223F">
            <w:pPr>
              <w:pStyle w:val="ListParagraph"/>
              <w:numPr>
                <w:ilvl w:val="0"/>
                <w:numId w:val="22"/>
              </w:numPr>
              <w:jc w:val="left"/>
              <w:rPr>
                <w:sz w:val="20"/>
                <w:szCs w:val="20"/>
              </w:rPr>
            </w:pPr>
            <w:r w:rsidRPr="004653E7">
              <w:rPr>
                <w:sz w:val="20"/>
                <w:szCs w:val="20"/>
              </w:rPr>
              <w:t xml:space="preserve">Examples of implementation of a </w:t>
            </w:r>
            <w:r w:rsidR="005A4271">
              <w:rPr>
                <w:sz w:val="20"/>
                <w:szCs w:val="20"/>
              </w:rPr>
              <w:t>c</w:t>
            </w:r>
            <w:r w:rsidRPr="004653E7">
              <w:rPr>
                <w:sz w:val="20"/>
                <w:szCs w:val="20"/>
              </w:rPr>
              <w:t xml:space="preserve">ode of </w:t>
            </w:r>
            <w:r w:rsidR="005A4271">
              <w:rPr>
                <w:sz w:val="20"/>
                <w:szCs w:val="20"/>
              </w:rPr>
              <w:t>c</w:t>
            </w:r>
            <w:r w:rsidRPr="004653E7">
              <w:rPr>
                <w:sz w:val="20"/>
                <w:szCs w:val="20"/>
              </w:rPr>
              <w:t xml:space="preserve">onduct that is consistent with the Board’s guiding principles on ethical and professional conduct. </w:t>
            </w:r>
          </w:p>
          <w:p w14:paraId="7CF07D65" w14:textId="07762C57" w:rsidR="008A2573" w:rsidRDefault="008A2573" w:rsidP="006B223F">
            <w:pPr>
              <w:pStyle w:val="ListParagraph"/>
              <w:numPr>
                <w:ilvl w:val="0"/>
                <w:numId w:val="22"/>
              </w:numPr>
              <w:jc w:val="left"/>
              <w:rPr>
                <w:sz w:val="20"/>
                <w:szCs w:val="20"/>
              </w:rPr>
            </w:pPr>
            <w:r w:rsidRPr="004653E7">
              <w:rPr>
                <w:sz w:val="20"/>
                <w:szCs w:val="20"/>
              </w:rPr>
              <w:t xml:space="preserve">Information provided to students that refers to the requirement for them to comply with </w:t>
            </w:r>
            <w:r>
              <w:rPr>
                <w:sz w:val="20"/>
                <w:szCs w:val="20"/>
              </w:rPr>
              <w:t xml:space="preserve">a </w:t>
            </w:r>
            <w:r w:rsidR="005A4271">
              <w:rPr>
                <w:sz w:val="20"/>
                <w:szCs w:val="20"/>
              </w:rPr>
              <w:t>c</w:t>
            </w:r>
            <w:r>
              <w:rPr>
                <w:sz w:val="20"/>
                <w:szCs w:val="20"/>
              </w:rPr>
              <w:t xml:space="preserve">ode of </w:t>
            </w:r>
            <w:r w:rsidR="005A4271">
              <w:rPr>
                <w:sz w:val="20"/>
                <w:szCs w:val="20"/>
              </w:rPr>
              <w:t>c</w:t>
            </w:r>
            <w:r>
              <w:rPr>
                <w:sz w:val="20"/>
                <w:szCs w:val="20"/>
              </w:rPr>
              <w:t xml:space="preserve">onduct consistent with the Board’s expectations and </w:t>
            </w:r>
            <w:r w:rsidRPr="004653E7">
              <w:rPr>
                <w:sz w:val="20"/>
                <w:szCs w:val="20"/>
              </w:rPr>
              <w:t>guidelines</w:t>
            </w:r>
            <w:r w:rsidR="00D85E83">
              <w:rPr>
                <w:sz w:val="20"/>
                <w:szCs w:val="20"/>
              </w:rPr>
              <w:t>.</w:t>
            </w:r>
            <w:r>
              <w:rPr>
                <w:rStyle w:val="FootnoteReference"/>
                <w:szCs w:val="20"/>
              </w:rPr>
              <w:footnoteReference w:id="10"/>
            </w:r>
          </w:p>
          <w:p w14:paraId="76EFDAB1" w14:textId="1B18656E" w:rsidR="008A2573" w:rsidRPr="00D1622A" w:rsidRDefault="008A2573" w:rsidP="006B223F">
            <w:pPr>
              <w:pStyle w:val="ListParagraph"/>
              <w:numPr>
                <w:ilvl w:val="0"/>
                <w:numId w:val="22"/>
              </w:numPr>
              <w:jc w:val="left"/>
              <w:rPr>
                <w:sz w:val="20"/>
                <w:szCs w:val="20"/>
              </w:rPr>
            </w:pPr>
            <w:r>
              <w:rPr>
                <w:sz w:val="20"/>
                <w:szCs w:val="20"/>
              </w:rPr>
              <w:t xml:space="preserve">Evidence of compliance with the </w:t>
            </w:r>
            <w:r w:rsidR="005A4271">
              <w:rPr>
                <w:sz w:val="20"/>
                <w:szCs w:val="20"/>
              </w:rPr>
              <w:t>c</w:t>
            </w:r>
            <w:r>
              <w:rPr>
                <w:sz w:val="20"/>
                <w:szCs w:val="20"/>
              </w:rPr>
              <w:t xml:space="preserve">ode of </w:t>
            </w:r>
            <w:r w:rsidR="005A4271">
              <w:rPr>
                <w:sz w:val="20"/>
                <w:szCs w:val="20"/>
              </w:rPr>
              <w:t>c</w:t>
            </w:r>
            <w:r>
              <w:rPr>
                <w:sz w:val="20"/>
                <w:szCs w:val="20"/>
              </w:rPr>
              <w:t>onduct.</w:t>
            </w:r>
          </w:p>
        </w:tc>
      </w:tr>
      <w:tr w:rsidR="008A2573" w:rsidRPr="004653E7" w14:paraId="10AF773D" w14:textId="77777777" w:rsidTr="00484EAD">
        <w:trPr>
          <w:trHeight w:val="528"/>
        </w:trPr>
        <w:tc>
          <w:tcPr>
            <w:tcW w:w="709" w:type="dxa"/>
            <w:shd w:val="clear" w:color="auto" w:fill="auto"/>
          </w:tcPr>
          <w:p w14:paraId="6FEF3DDA" w14:textId="752D4D5A" w:rsidR="008A2573" w:rsidRPr="004653E7" w:rsidRDefault="008A2573" w:rsidP="008A2573">
            <w:pPr>
              <w:rPr>
                <w:rFonts w:ascii="Arial" w:hAnsi="Arial" w:cs="Arial"/>
                <w:sz w:val="20"/>
                <w:szCs w:val="20"/>
                <w:lang w:eastAsia="en-AU"/>
              </w:rPr>
            </w:pPr>
            <w:r w:rsidRPr="004653E7">
              <w:rPr>
                <w:rFonts w:ascii="Arial" w:hAnsi="Arial" w:cs="Arial"/>
                <w:sz w:val="20"/>
                <w:szCs w:val="20"/>
                <w:lang w:eastAsia="en-AU"/>
              </w:rPr>
              <w:t>1.</w:t>
            </w:r>
            <w:r>
              <w:rPr>
                <w:rFonts w:ascii="Arial" w:hAnsi="Arial" w:cs="Arial"/>
                <w:sz w:val="20"/>
                <w:szCs w:val="20"/>
                <w:lang w:eastAsia="en-AU"/>
              </w:rPr>
              <w:t>7</w:t>
            </w:r>
          </w:p>
        </w:tc>
        <w:tc>
          <w:tcPr>
            <w:tcW w:w="3402" w:type="dxa"/>
            <w:shd w:val="clear" w:color="auto" w:fill="auto"/>
          </w:tcPr>
          <w:p w14:paraId="4824B740" w14:textId="77777777" w:rsidR="008A2573" w:rsidRPr="004653E7" w:rsidRDefault="008A2573" w:rsidP="008A2573">
            <w:pPr>
              <w:rPr>
                <w:rFonts w:ascii="Arial" w:hAnsi="Arial" w:cs="Arial"/>
                <w:sz w:val="20"/>
                <w:szCs w:val="20"/>
                <w:lang w:eastAsia="en-AU"/>
              </w:rPr>
            </w:pPr>
            <w:r w:rsidRPr="004653E7">
              <w:rPr>
                <w:rFonts w:ascii="Arial" w:hAnsi="Arial" w:cs="Arial"/>
                <w:sz w:val="20"/>
                <w:szCs w:val="20"/>
                <w:lang w:eastAsia="en-AU"/>
              </w:rPr>
              <w:t>The education provider complies with its obligations under the Health Practitioner Regulation National Law as in force in each state and territory (the National Law) and other laws.</w:t>
            </w:r>
          </w:p>
        </w:tc>
        <w:tc>
          <w:tcPr>
            <w:tcW w:w="5528" w:type="dxa"/>
          </w:tcPr>
          <w:p w14:paraId="3E3268AB" w14:textId="03E8DF00" w:rsidR="008A2573" w:rsidRDefault="008A2573" w:rsidP="006B223F">
            <w:pPr>
              <w:pStyle w:val="ListParagraph"/>
              <w:numPr>
                <w:ilvl w:val="0"/>
                <w:numId w:val="20"/>
              </w:numPr>
              <w:jc w:val="left"/>
              <w:rPr>
                <w:sz w:val="20"/>
                <w:szCs w:val="20"/>
              </w:rPr>
            </w:pPr>
            <w:r w:rsidRPr="004653E7">
              <w:rPr>
                <w:sz w:val="20"/>
                <w:szCs w:val="20"/>
              </w:rPr>
              <w:t xml:space="preserve">Examples of implementation of formal mechanisms that show compliance with </w:t>
            </w:r>
            <w:r w:rsidR="005A4271" w:rsidRPr="004653E7">
              <w:rPr>
                <w:sz w:val="20"/>
                <w:szCs w:val="20"/>
              </w:rPr>
              <w:t>the Health Practitioner Regulation National Law</w:t>
            </w:r>
            <w:r w:rsidR="005A4271">
              <w:rPr>
                <w:sz w:val="20"/>
                <w:szCs w:val="20"/>
              </w:rPr>
              <w:t xml:space="preserve"> </w:t>
            </w:r>
            <w:r w:rsidR="005A4271" w:rsidRPr="004653E7">
              <w:rPr>
                <w:sz w:val="20"/>
                <w:szCs w:val="20"/>
              </w:rPr>
              <w:t>as in force in each state and territory (the National Law) and other laws.</w:t>
            </w:r>
          </w:p>
          <w:p w14:paraId="4396F12F" w14:textId="61DEB0BE" w:rsidR="008A2573" w:rsidRPr="004653E7" w:rsidRDefault="008A2573" w:rsidP="006B223F">
            <w:pPr>
              <w:pStyle w:val="ListParagraph"/>
              <w:numPr>
                <w:ilvl w:val="0"/>
                <w:numId w:val="20"/>
              </w:numPr>
              <w:jc w:val="left"/>
              <w:rPr>
                <w:sz w:val="20"/>
                <w:szCs w:val="20"/>
              </w:rPr>
            </w:pPr>
            <w:r w:rsidRPr="004653E7">
              <w:rPr>
                <w:sz w:val="20"/>
                <w:szCs w:val="20"/>
              </w:rPr>
              <w:t>Examples of implementation of formal mechanisms used for mandatory and voluntary notifications about students to the Australian Health Practitioner Regulation Agency (</w:t>
            </w:r>
            <w:r w:rsidR="00044419" w:rsidRPr="004653E7">
              <w:rPr>
                <w:sz w:val="20"/>
                <w:szCs w:val="20"/>
              </w:rPr>
              <w:t>A</w:t>
            </w:r>
            <w:r w:rsidR="00044419">
              <w:rPr>
                <w:sz w:val="20"/>
                <w:szCs w:val="20"/>
              </w:rPr>
              <w:t>hpra</w:t>
            </w:r>
            <w:r w:rsidRPr="004653E7">
              <w:rPr>
                <w:sz w:val="20"/>
                <w:szCs w:val="20"/>
              </w:rPr>
              <w:t xml:space="preserve">). </w:t>
            </w:r>
          </w:p>
        </w:tc>
      </w:tr>
    </w:tbl>
    <w:p w14:paraId="12D8D100" w14:textId="77777777" w:rsidR="0034483A" w:rsidRPr="004653E7" w:rsidRDefault="0034483A" w:rsidP="002A24E3">
      <w:pPr>
        <w:rPr>
          <w:rFonts w:ascii="Arial" w:eastAsia="Cambria" w:hAnsi="Arial" w:cs="Arial"/>
          <w:b/>
          <w:color w:val="007DC3"/>
          <w:sz w:val="20"/>
          <w:szCs w:val="20"/>
        </w:rPr>
      </w:pPr>
    </w:p>
    <w:p w14:paraId="6F2AE732" w14:textId="77777777" w:rsidR="005A4271" w:rsidRDefault="005A4271">
      <w:pPr>
        <w:spacing w:after="200" w:line="276" w:lineRule="auto"/>
        <w:rPr>
          <w:rFonts w:ascii="Arial" w:eastAsia="Cambria" w:hAnsi="Arial" w:cs="Arial"/>
          <w:b/>
          <w:color w:val="007DC3"/>
          <w:sz w:val="20"/>
          <w:szCs w:val="20"/>
        </w:rPr>
      </w:pPr>
      <w:r>
        <w:rPr>
          <w:rFonts w:ascii="Arial" w:eastAsia="Cambria" w:hAnsi="Arial" w:cs="Arial"/>
          <w:b/>
          <w:color w:val="007DC3"/>
          <w:sz w:val="20"/>
          <w:szCs w:val="20"/>
        </w:rPr>
        <w:br w:type="page"/>
      </w:r>
    </w:p>
    <w:p w14:paraId="1E8C7D5B" w14:textId="040FDA00" w:rsidR="002A24E3" w:rsidRPr="004653E7" w:rsidRDefault="002A24E3" w:rsidP="002A24E3">
      <w:pPr>
        <w:rPr>
          <w:rFonts w:ascii="Arial" w:eastAsia="Cambria" w:hAnsi="Arial" w:cs="Arial"/>
          <w:b/>
          <w:color w:val="007DC3"/>
          <w:sz w:val="20"/>
          <w:szCs w:val="20"/>
        </w:rPr>
      </w:pPr>
      <w:r w:rsidRPr="004653E7">
        <w:rPr>
          <w:rFonts w:ascii="Arial" w:eastAsia="Cambria" w:hAnsi="Arial" w:cs="Arial"/>
          <w:b/>
          <w:color w:val="007DC3"/>
          <w:sz w:val="20"/>
          <w:szCs w:val="20"/>
        </w:rPr>
        <w:lastRenderedPageBreak/>
        <w:t>Standard 1: Explanatory notes</w:t>
      </w:r>
    </w:p>
    <w:p w14:paraId="0EB1DD82" w14:textId="77777777" w:rsidR="002A24E3" w:rsidRPr="004653E7" w:rsidRDefault="002A24E3" w:rsidP="002A24E3">
      <w:pPr>
        <w:rPr>
          <w:rFonts w:ascii="Arial" w:eastAsia="Cambria" w:hAnsi="Arial" w:cs="Arial"/>
          <w:b/>
          <w:color w:val="007DC3"/>
          <w:sz w:val="20"/>
          <w:szCs w:val="20"/>
        </w:rPr>
      </w:pPr>
    </w:p>
    <w:p w14:paraId="588B88B6" w14:textId="465421BD" w:rsidR="002A24E3" w:rsidRPr="004653E7" w:rsidRDefault="002A24E3" w:rsidP="002A24E3">
      <w:pPr>
        <w:pStyle w:val="Default"/>
        <w:rPr>
          <w:sz w:val="20"/>
          <w:szCs w:val="20"/>
        </w:rPr>
      </w:pPr>
      <w:proofErr w:type="gramStart"/>
      <w:r w:rsidRPr="004653E7">
        <w:rPr>
          <w:sz w:val="20"/>
          <w:szCs w:val="20"/>
        </w:rPr>
        <w:t>This</w:t>
      </w:r>
      <w:r w:rsidR="00B17051">
        <w:rPr>
          <w:sz w:val="20"/>
          <w:szCs w:val="20"/>
        </w:rPr>
        <w:t xml:space="preserve"> </w:t>
      </w:r>
      <w:r w:rsidRPr="004653E7">
        <w:rPr>
          <w:sz w:val="20"/>
          <w:szCs w:val="20"/>
        </w:rPr>
        <w:t>stan</w:t>
      </w:r>
      <w:r w:rsidR="00EA3A76">
        <w:rPr>
          <w:sz w:val="20"/>
          <w:szCs w:val="20"/>
        </w:rPr>
        <w:t>dard addresses</w:t>
      </w:r>
      <w:proofErr w:type="gramEnd"/>
      <w:r w:rsidR="00EA3A76">
        <w:rPr>
          <w:sz w:val="20"/>
          <w:szCs w:val="20"/>
        </w:rPr>
        <w:t xml:space="preserve"> </w:t>
      </w:r>
      <w:r w:rsidR="00C744DD" w:rsidRPr="004653E7">
        <w:rPr>
          <w:sz w:val="20"/>
          <w:szCs w:val="20"/>
        </w:rPr>
        <w:t>safe practice</w:t>
      </w:r>
      <w:r w:rsidRPr="004653E7">
        <w:rPr>
          <w:sz w:val="20"/>
          <w:szCs w:val="20"/>
        </w:rPr>
        <w:t xml:space="preserve"> </w:t>
      </w:r>
      <w:r w:rsidR="00A247CE">
        <w:rPr>
          <w:sz w:val="20"/>
          <w:szCs w:val="20"/>
        </w:rPr>
        <w:t xml:space="preserve">by podiatrists </w:t>
      </w:r>
      <w:r w:rsidR="00873D7D">
        <w:rPr>
          <w:sz w:val="20"/>
          <w:szCs w:val="20"/>
        </w:rPr>
        <w:t xml:space="preserve">and podiatric surgeons </w:t>
      </w:r>
      <w:r w:rsidRPr="004653E7">
        <w:rPr>
          <w:sz w:val="20"/>
          <w:szCs w:val="20"/>
        </w:rPr>
        <w:t xml:space="preserve">and the </w:t>
      </w:r>
      <w:r w:rsidR="00311670">
        <w:rPr>
          <w:sz w:val="20"/>
          <w:szCs w:val="20"/>
        </w:rPr>
        <w:t xml:space="preserve">safe </w:t>
      </w:r>
      <w:r w:rsidRPr="004653E7">
        <w:rPr>
          <w:sz w:val="20"/>
          <w:szCs w:val="20"/>
        </w:rPr>
        <w:t xml:space="preserve">care of </w:t>
      </w:r>
      <w:r w:rsidR="00624D5B">
        <w:rPr>
          <w:sz w:val="20"/>
          <w:szCs w:val="20"/>
        </w:rPr>
        <w:t>patients</w:t>
      </w:r>
      <w:r w:rsidRPr="004653E7">
        <w:rPr>
          <w:sz w:val="20"/>
          <w:szCs w:val="20"/>
        </w:rPr>
        <w:t>. The focus is on</w:t>
      </w:r>
      <w:r w:rsidR="00311670">
        <w:rPr>
          <w:sz w:val="20"/>
          <w:szCs w:val="20"/>
        </w:rPr>
        <w:t xml:space="preserve"> educating students so that they </w:t>
      </w:r>
      <w:r w:rsidR="002D5CD2" w:rsidRPr="004653E7">
        <w:rPr>
          <w:sz w:val="20"/>
          <w:szCs w:val="20"/>
        </w:rPr>
        <w:t>practi</w:t>
      </w:r>
      <w:r w:rsidR="002D5CD2">
        <w:rPr>
          <w:sz w:val="20"/>
          <w:szCs w:val="20"/>
        </w:rPr>
        <w:t>s</w:t>
      </w:r>
      <w:r w:rsidR="002D5CD2" w:rsidRPr="004653E7">
        <w:rPr>
          <w:sz w:val="20"/>
          <w:szCs w:val="20"/>
        </w:rPr>
        <w:t xml:space="preserve">e </w:t>
      </w:r>
      <w:r w:rsidR="00311670">
        <w:rPr>
          <w:sz w:val="20"/>
          <w:szCs w:val="20"/>
        </w:rPr>
        <w:t xml:space="preserve">safely once </w:t>
      </w:r>
      <w:r w:rsidR="003C4C90">
        <w:rPr>
          <w:sz w:val="20"/>
          <w:szCs w:val="20"/>
        </w:rPr>
        <w:t>their registration is endorsed</w:t>
      </w:r>
      <w:r w:rsidR="00311670">
        <w:rPr>
          <w:sz w:val="20"/>
          <w:szCs w:val="20"/>
        </w:rPr>
        <w:t xml:space="preserve">; assuring that students </w:t>
      </w:r>
      <w:r w:rsidR="002D5CD2">
        <w:rPr>
          <w:sz w:val="20"/>
          <w:szCs w:val="20"/>
        </w:rPr>
        <w:t xml:space="preserve">practise </w:t>
      </w:r>
      <w:r w:rsidR="00311670">
        <w:rPr>
          <w:sz w:val="20"/>
          <w:szCs w:val="20"/>
        </w:rPr>
        <w:t>safely in work-integrated learning; and assuring the safety of students. The standard also addresses</w:t>
      </w:r>
      <w:r w:rsidRPr="004653E7">
        <w:rPr>
          <w:sz w:val="20"/>
          <w:szCs w:val="20"/>
        </w:rPr>
        <w:t xml:space="preserve"> the way the education provider effectively manages work</w:t>
      </w:r>
      <w:r w:rsidR="00A300A4" w:rsidRPr="004653E7">
        <w:rPr>
          <w:sz w:val="20"/>
          <w:szCs w:val="20"/>
        </w:rPr>
        <w:t>-</w:t>
      </w:r>
      <w:r w:rsidRPr="004653E7">
        <w:rPr>
          <w:sz w:val="20"/>
          <w:szCs w:val="20"/>
        </w:rPr>
        <w:t xml:space="preserve">integrated learning environments to ensure quality and reliable outcomes for both </w:t>
      </w:r>
      <w:r w:rsidR="00624D5B">
        <w:rPr>
          <w:sz w:val="20"/>
          <w:szCs w:val="20"/>
        </w:rPr>
        <w:t>patients</w:t>
      </w:r>
      <w:r w:rsidRPr="004653E7">
        <w:rPr>
          <w:sz w:val="20"/>
          <w:szCs w:val="20"/>
        </w:rPr>
        <w:t xml:space="preserve"> and students. </w:t>
      </w:r>
    </w:p>
    <w:p w14:paraId="7C0888B4" w14:textId="77777777" w:rsidR="0003619D" w:rsidRPr="004653E7" w:rsidRDefault="0003619D" w:rsidP="002A24E3">
      <w:pPr>
        <w:pStyle w:val="Default"/>
        <w:rPr>
          <w:sz w:val="20"/>
          <w:szCs w:val="20"/>
        </w:rPr>
      </w:pPr>
    </w:p>
    <w:p w14:paraId="6E715261" w14:textId="77777777" w:rsidR="004F0B11" w:rsidRPr="004653E7" w:rsidRDefault="006D350C" w:rsidP="006D350C">
      <w:pPr>
        <w:pStyle w:val="Default"/>
        <w:rPr>
          <w:b/>
          <w:sz w:val="20"/>
          <w:szCs w:val="20"/>
        </w:rPr>
      </w:pPr>
      <w:r w:rsidRPr="004653E7">
        <w:rPr>
          <w:b/>
          <w:sz w:val="20"/>
          <w:szCs w:val="20"/>
        </w:rPr>
        <w:t>Safe practice</w:t>
      </w:r>
    </w:p>
    <w:p w14:paraId="0C725026" w14:textId="77777777" w:rsidR="006D350C" w:rsidRPr="004653E7" w:rsidRDefault="006D350C" w:rsidP="006D350C">
      <w:pPr>
        <w:pStyle w:val="Default"/>
        <w:rPr>
          <w:b/>
          <w:sz w:val="20"/>
          <w:szCs w:val="20"/>
        </w:rPr>
      </w:pPr>
      <w:r w:rsidRPr="004653E7">
        <w:rPr>
          <w:b/>
          <w:sz w:val="20"/>
          <w:szCs w:val="20"/>
        </w:rPr>
        <w:t xml:space="preserve"> </w:t>
      </w:r>
    </w:p>
    <w:p w14:paraId="58496727" w14:textId="2E7A23AB" w:rsidR="003C4C90" w:rsidRPr="00475851" w:rsidRDefault="006D350C" w:rsidP="003C4C90">
      <w:pPr>
        <w:pStyle w:val="AHPRAbody"/>
      </w:pPr>
      <w:r w:rsidRPr="004653E7">
        <w:rPr>
          <w:szCs w:val="20"/>
        </w:rPr>
        <w:t>There are many dimensions to safe practice such as knowing about the policy context, best practice guidance, how to manage risk effectively</w:t>
      </w:r>
      <w:r w:rsidR="009031A0" w:rsidRPr="004653E7">
        <w:rPr>
          <w:szCs w:val="20"/>
        </w:rPr>
        <w:t>,</w:t>
      </w:r>
      <w:r w:rsidRPr="004653E7">
        <w:rPr>
          <w:szCs w:val="20"/>
        </w:rPr>
        <w:t xml:space="preserve"> and the responsibilities as a student and as a</w:t>
      </w:r>
      <w:r w:rsidR="003C4C90">
        <w:rPr>
          <w:szCs w:val="20"/>
        </w:rPr>
        <w:t>n endorsed</w:t>
      </w:r>
      <w:r w:rsidRPr="004653E7">
        <w:rPr>
          <w:szCs w:val="20"/>
        </w:rPr>
        <w:t xml:space="preserve"> practitioner</w:t>
      </w:r>
      <w:r w:rsidR="006F3A9B">
        <w:rPr>
          <w:szCs w:val="20"/>
        </w:rPr>
        <w:t>.</w:t>
      </w:r>
      <w:r w:rsidRPr="004653E7">
        <w:rPr>
          <w:szCs w:val="20"/>
        </w:rPr>
        <w:t xml:space="preserve"> The Accreditation Committee expects </w:t>
      </w:r>
      <w:r w:rsidR="00B17051">
        <w:rPr>
          <w:szCs w:val="20"/>
        </w:rPr>
        <w:t xml:space="preserve">the </w:t>
      </w:r>
      <w:r w:rsidRPr="004653E7">
        <w:rPr>
          <w:szCs w:val="20"/>
        </w:rPr>
        <w:t xml:space="preserve">education provider to assure safe practice in </w:t>
      </w:r>
      <w:r w:rsidR="00FD2B92" w:rsidRPr="00FD2B92">
        <w:rPr>
          <w:szCs w:val="20"/>
        </w:rPr>
        <w:t>podiatry scheduled medicines education</w:t>
      </w:r>
      <w:r w:rsidR="00FD2B92" w:rsidRPr="004653E7">
        <w:rPr>
          <w:szCs w:val="20"/>
        </w:rPr>
        <w:t xml:space="preserve"> </w:t>
      </w:r>
      <w:r w:rsidRPr="004653E7">
        <w:rPr>
          <w:szCs w:val="20"/>
        </w:rPr>
        <w:t>by teach</w:t>
      </w:r>
      <w:r w:rsidR="003C4C90">
        <w:rPr>
          <w:szCs w:val="20"/>
        </w:rPr>
        <w:t>ing</w:t>
      </w:r>
      <w:r w:rsidRPr="004653E7">
        <w:rPr>
          <w:szCs w:val="20"/>
        </w:rPr>
        <w:t xml:space="preserve"> students about the different aspects of safe practice</w:t>
      </w:r>
      <w:r w:rsidR="003C4C90">
        <w:rPr>
          <w:szCs w:val="20"/>
        </w:rPr>
        <w:t xml:space="preserve"> in administering</w:t>
      </w:r>
      <w:r w:rsidR="003C4C90">
        <w:t xml:space="preserve">, obtaining, possessing, prescribing, selling, supplying or using Schedule 2, 3, 4 or 8 medicines for the treatment of podiatric conditions. </w:t>
      </w:r>
    </w:p>
    <w:p w14:paraId="5555881A" w14:textId="30F11D18" w:rsidR="002A24E3" w:rsidRPr="004653E7" w:rsidRDefault="002A24E3" w:rsidP="002A24E3">
      <w:pPr>
        <w:pStyle w:val="Default"/>
        <w:rPr>
          <w:b/>
          <w:sz w:val="20"/>
          <w:szCs w:val="20"/>
        </w:rPr>
      </w:pPr>
      <w:r w:rsidRPr="004653E7">
        <w:rPr>
          <w:b/>
          <w:sz w:val="20"/>
          <w:szCs w:val="20"/>
        </w:rPr>
        <w:t>Work</w:t>
      </w:r>
      <w:r w:rsidR="00A300A4" w:rsidRPr="004653E7">
        <w:rPr>
          <w:b/>
          <w:sz w:val="20"/>
          <w:szCs w:val="20"/>
        </w:rPr>
        <w:t>-</w:t>
      </w:r>
      <w:r w:rsidRPr="004653E7">
        <w:rPr>
          <w:b/>
          <w:sz w:val="20"/>
          <w:szCs w:val="20"/>
        </w:rPr>
        <w:t>integrated learning</w:t>
      </w:r>
    </w:p>
    <w:p w14:paraId="4D533A64" w14:textId="68AB69EE" w:rsidR="004F0B11" w:rsidRPr="004653E7" w:rsidRDefault="004F0B11" w:rsidP="002A24E3">
      <w:pPr>
        <w:pStyle w:val="Default"/>
        <w:rPr>
          <w:b/>
          <w:sz w:val="20"/>
          <w:szCs w:val="20"/>
        </w:rPr>
      </w:pPr>
    </w:p>
    <w:p w14:paraId="28FFC6BC" w14:textId="308D5A1B" w:rsidR="00A247CE" w:rsidRPr="004653E7" w:rsidRDefault="00A247CE" w:rsidP="00A247CE">
      <w:pPr>
        <w:pStyle w:val="Default"/>
        <w:rPr>
          <w:sz w:val="20"/>
          <w:szCs w:val="20"/>
        </w:rPr>
      </w:pPr>
      <w:r w:rsidRPr="004653E7">
        <w:rPr>
          <w:sz w:val="20"/>
          <w:szCs w:val="20"/>
        </w:rPr>
        <w:t xml:space="preserve">The Accreditation Committee recognises that education providers design and carry out work-integrated learning in a variety of ways. </w:t>
      </w:r>
      <w:r w:rsidR="00C90105">
        <w:rPr>
          <w:sz w:val="20"/>
          <w:szCs w:val="20"/>
        </w:rPr>
        <w:t xml:space="preserve">Work-integrated learning can be undertaken in facilities and practices that are located on-campus, operated by the education provider and/or health service, as well as facilities and practices that are located off-campus, and operated by a health service or private practitioner. </w:t>
      </w:r>
      <w:r w:rsidRPr="004653E7">
        <w:rPr>
          <w:sz w:val="20"/>
          <w:szCs w:val="20"/>
        </w:rPr>
        <w:t>The Accreditation Committee expects</w:t>
      </w:r>
      <w:r>
        <w:rPr>
          <w:sz w:val="20"/>
          <w:szCs w:val="20"/>
        </w:rPr>
        <w:t xml:space="preserve"> the</w:t>
      </w:r>
      <w:r w:rsidRPr="004653E7">
        <w:rPr>
          <w:sz w:val="20"/>
          <w:szCs w:val="20"/>
        </w:rPr>
        <w:t xml:space="preserve"> education provider to present documentary and experiential evidence that shows how their arrangements meet the accreditation standard</w:t>
      </w:r>
      <w:r w:rsidR="008A2573">
        <w:rPr>
          <w:sz w:val="20"/>
          <w:szCs w:val="20"/>
        </w:rPr>
        <w:t xml:space="preserve"> and support students to achieve </w:t>
      </w:r>
      <w:r w:rsidR="00752850">
        <w:rPr>
          <w:sz w:val="20"/>
          <w:szCs w:val="20"/>
        </w:rPr>
        <w:t xml:space="preserve">ESM </w:t>
      </w:r>
      <w:r w:rsidR="008A2573">
        <w:rPr>
          <w:sz w:val="20"/>
          <w:szCs w:val="20"/>
        </w:rPr>
        <w:t>learning outcomes</w:t>
      </w:r>
      <w:r w:rsidRPr="004653E7">
        <w:rPr>
          <w:sz w:val="20"/>
          <w:szCs w:val="20"/>
        </w:rPr>
        <w:t>.</w:t>
      </w:r>
      <w:r>
        <w:rPr>
          <w:sz w:val="20"/>
          <w:szCs w:val="20"/>
        </w:rPr>
        <w:t xml:space="preserve"> </w:t>
      </w:r>
    </w:p>
    <w:p w14:paraId="66F38036" w14:textId="77777777" w:rsidR="00D85E83" w:rsidRPr="00652CB9" w:rsidRDefault="00D85E83" w:rsidP="00D85E83">
      <w:pPr>
        <w:pStyle w:val="AHPRAAUtablebulletlevel1"/>
        <w:rPr>
          <w:color w:val="000000"/>
        </w:rPr>
      </w:pPr>
      <w:bookmarkStart w:id="16" w:name="_Hlk41563456"/>
      <w:r w:rsidRPr="00652CB9">
        <w:rPr>
          <w:color w:val="000000"/>
        </w:rPr>
        <w:t>In the context of ESM, work-integrated learning includes supervised practise and clinical practice</w:t>
      </w:r>
      <w:r>
        <w:rPr>
          <w:color w:val="000000"/>
        </w:rPr>
        <w:t>, in person and in a range of simulated learning environments and activities</w:t>
      </w:r>
      <w:r w:rsidRPr="00652CB9">
        <w:rPr>
          <w:color w:val="000000"/>
        </w:rPr>
        <w:t>.</w:t>
      </w:r>
      <w:r>
        <w:rPr>
          <w:color w:val="000000"/>
        </w:rPr>
        <w:t xml:space="preserve"> </w:t>
      </w:r>
    </w:p>
    <w:p w14:paraId="50532864" w14:textId="77777777" w:rsidR="005A4271" w:rsidRDefault="005A4271" w:rsidP="005A4271">
      <w:pPr>
        <w:pStyle w:val="AHPRAAUtablebulletlevel1"/>
        <w:rPr>
          <w:color w:val="000000"/>
        </w:rPr>
      </w:pPr>
      <w:r>
        <w:rPr>
          <w:color w:val="000000"/>
        </w:rPr>
        <w:t>For the purpose of this document, work-integrated learning is an umbrella term for a range of approaches and strategies that integrate academic learning (theory) with its application to practice within a purposefully designed curriculum. TEQSA’s</w:t>
      </w:r>
      <w:r>
        <w:rPr>
          <w:i/>
          <w:color w:val="000000"/>
        </w:rPr>
        <w:t xml:space="preserve"> </w:t>
      </w:r>
      <w:r w:rsidRPr="00DA6852">
        <w:rPr>
          <w:i/>
          <w:color w:val="000000"/>
        </w:rPr>
        <w:t>Guidance note: Work Integrated Learning</w:t>
      </w:r>
      <w:r>
        <w:rPr>
          <w:color w:val="000000"/>
        </w:rPr>
        <w:t xml:space="preserve"> states: </w:t>
      </w:r>
    </w:p>
    <w:p w14:paraId="21415C72" w14:textId="77777777" w:rsidR="005A4271" w:rsidRPr="006C34F1" w:rsidRDefault="005A4271" w:rsidP="005A4271">
      <w:pPr>
        <w:pStyle w:val="AHPRAAUtablebulletlevel1"/>
        <w:ind w:left="420"/>
        <w:rPr>
          <w:color w:val="000000"/>
        </w:rPr>
      </w:pPr>
      <w:r w:rsidRPr="006C34F1">
        <w:rPr>
          <w:color w:val="000000"/>
        </w:rPr>
        <w:t>in the context of the Higher Education Standards Framework (Threshold Standards) 2015 (HES Framework), note work-integrated learning (WIL) encompasses any arrangement where students undertake learning in a workplace outside of their higher education provider (or one operated jointly with an external partner) as a part of their course of study. Such arrangements may include:</w:t>
      </w:r>
    </w:p>
    <w:p w14:paraId="63844C44" w14:textId="77777777" w:rsidR="005A4271" w:rsidRPr="006C34F1" w:rsidRDefault="005A4271" w:rsidP="006B223F">
      <w:pPr>
        <w:pStyle w:val="AHPRAAUtablebulletlevel1"/>
        <w:numPr>
          <w:ilvl w:val="0"/>
          <w:numId w:val="43"/>
        </w:numPr>
      </w:pPr>
      <w:r w:rsidRPr="006C34F1">
        <w:t>clinical or other professional placements</w:t>
      </w:r>
    </w:p>
    <w:p w14:paraId="656EB826" w14:textId="77777777" w:rsidR="005A4271" w:rsidRPr="006C34F1" w:rsidRDefault="005A4271" w:rsidP="006B223F">
      <w:pPr>
        <w:pStyle w:val="AHPRAAUtablebulletlevel1"/>
        <w:numPr>
          <w:ilvl w:val="0"/>
          <w:numId w:val="43"/>
        </w:numPr>
      </w:pPr>
      <w:r w:rsidRPr="006C34F1">
        <w:t>online projects</w:t>
      </w:r>
    </w:p>
    <w:p w14:paraId="639B75C6" w14:textId="77777777" w:rsidR="005A4271" w:rsidRPr="006C34F1" w:rsidRDefault="005A4271" w:rsidP="006B223F">
      <w:pPr>
        <w:pStyle w:val="AHPRAAUtablebulletlevel1"/>
        <w:numPr>
          <w:ilvl w:val="0"/>
          <w:numId w:val="43"/>
        </w:numPr>
      </w:pPr>
      <w:r w:rsidRPr="006C34F1">
        <w:t>internships, or</w:t>
      </w:r>
    </w:p>
    <w:p w14:paraId="5E022351" w14:textId="77777777" w:rsidR="005A4271" w:rsidRPr="006C34F1" w:rsidRDefault="005A4271" w:rsidP="006B223F">
      <w:pPr>
        <w:pStyle w:val="AHPRAAUtablebulletlevel1"/>
        <w:numPr>
          <w:ilvl w:val="0"/>
          <w:numId w:val="43"/>
        </w:numPr>
      </w:pPr>
      <w:r w:rsidRPr="006C34F1">
        <w:t>workplace projects.</w:t>
      </w:r>
      <w:r w:rsidRPr="006C34F1">
        <w:rPr>
          <w:rStyle w:val="FootnoteReference"/>
        </w:rPr>
        <w:footnoteReference w:id="11"/>
      </w:r>
    </w:p>
    <w:p w14:paraId="1311B3F8" w14:textId="77777777" w:rsidR="005A4271" w:rsidRDefault="005A4271" w:rsidP="005A4271">
      <w:pPr>
        <w:pStyle w:val="AHPRAAUtablebulletlevel1"/>
      </w:pPr>
      <w:r>
        <w:t xml:space="preserve">TEQSA’s Guidance note recognises that the </w:t>
      </w:r>
      <w:r w:rsidRPr="005510FE">
        <w:t xml:space="preserve">nature and scope of </w:t>
      </w:r>
      <w:r>
        <w:t xml:space="preserve">work-integrated learning </w:t>
      </w:r>
      <w:r w:rsidRPr="005510FE">
        <w:t xml:space="preserve">may vary considerably, as will the extent of ‘integration’ of the workplace learning with the </w:t>
      </w:r>
      <w:r>
        <w:t>student’s coursework</w:t>
      </w:r>
      <w:r w:rsidRPr="005510FE">
        <w:t>.</w:t>
      </w:r>
    </w:p>
    <w:bookmarkEnd w:id="16"/>
    <w:p w14:paraId="65ACEBBB" w14:textId="249F3198" w:rsidR="007B4E92" w:rsidRPr="00652CB9" w:rsidRDefault="007B4E92" w:rsidP="007B4E92">
      <w:pPr>
        <w:pStyle w:val="Default"/>
        <w:rPr>
          <w:i/>
          <w:sz w:val="20"/>
          <w:szCs w:val="20"/>
        </w:rPr>
      </w:pPr>
      <w:r w:rsidRPr="00652CB9">
        <w:rPr>
          <w:color w:val="548DD4" w:themeColor="text2" w:themeTint="99"/>
          <w:sz w:val="20"/>
        </w:rPr>
        <w:t xml:space="preserve">Achievement of </w:t>
      </w:r>
      <w:r w:rsidR="008A7815">
        <w:rPr>
          <w:color w:val="548DD4" w:themeColor="text2" w:themeTint="99"/>
          <w:sz w:val="20"/>
        </w:rPr>
        <w:t>relevant</w:t>
      </w:r>
      <w:r w:rsidRPr="00652CB9">
        <w:rPr>
          <w:color w:val="548DD4" w:themeColor="text2" w:themeTint="99"/>
          <w:sz w:val="20"/>
        </w:rPr>
        <w:t xml:space="preserve"> capabilities </w:t>
      </w:r>
      <w:r w:rsidR="00A300A4" w:rsidRPr="00652CB9">
        <w:rPr>
          <w:color w:val="548DD4" w:themeColor="text2" w:themeTint="99"/>
          <w:sz w:val="20"/>
        </w:rPr>
        <w:t>before</w:t>
      </w:r>
      <w:r w:rsidRPr="00652CB9">
        <w:rPr>
          <w:color w:val="548DD4" w:themeColor="text2" w:themeTint="99"/>
          <w:sz w:val="20"/>
        </w:rPr>
        <w:t xml:space="preserve"> work</w:t>
      </w:r>
      <w:r w:rsidR="00A300A4" w:rsidRPr="00652CB9">
        <w:rPr>
          <w:color w:val="548DD4" w:themeColor="text2" w:themeTint="99"/>
          <w:sz w:val="20"/>
        </w:rPr>
        <w:t>-</w:t>
      </w:r>
      <w:r w:rsidRPr="00652CB9">
        <w:rPr>
          <w:color w:val="548DD4" w:themeColor="text2" w:themeTint="99"/>
          <w:sz w:val="20"/>
        </w:rPr>
        <w:t>integrated learning</w:t>
      </w:r>
    </w:p>
    <w:p w14:paraId="35DC4764" w14:textId="5FFEE986" w:rsidR="00E06CED" w:rsidRPr="00652CB9" w:rsidRDefault="00E06CED" w:rsidP="007B4E92">
      <w:pPr>
        <w:pStyle w:val="Default"/>
        <w:rPr>
          <w:i/>
          <w:sz w:val="20"/>
          <w:szCs w:val="20"/>
        </w:rPr>
      </w:pPr>
    </w:p>
    <w:p w14:paraId="2DC0BC55" w14:textId="2B894124" w:rsidR="005A4271" w:rsidRDefault="007B4E92" w:rsidP="000E6D64">
      <w:pPr>
        <w:pStyle w:val="Default"/>
        <w:rPr>
          <w:sz w:val="20"/>
          <w:szCs w:val="20"/>
        </w:rPr>
      </w:pPr>
      <w:r w:rsidRPr="00652CB9">
        <w:rPr>
          <w:sz w:val="20"/>
          <w:szCs w:val="20"/>
        </w:rPr>
        <w:t xml:space="preserve">To enable students to </w:t>
      </w:r>
      <w:r w:rsidR="00873D7D">
        <w:rPr>
          <w:sz w:val="20"/>
          <w:szCs w:val="20"/>
        </w:rPr>
        <w:t>be a safe prescriber of medicines</w:t>
      </w:r>
      <w:r w:rsidRPr="00652CB9">
        <w:rPr>
          <w:sz w:val="20"/>
          <w:szCs w:val="20"/>
        </w:rPr>
        <w:t>, the Accreditation Committee expects</w:t>
      </w:r>
      <w:r w:rsidR="008A2573" w:rsidRPr="00652CB9">
        <w:rPr>
          <w:sz w:val="20"/>
          <w:szCs w:val="20"/>
        </w:rPr>
        <w:t xml:space="preserve"> that</w:t>
      </w:r>
      <w:r w:rsidRPr="00652CB9">
        <w:rPr>
          <w:sz w:val="20"/>
          <w:szCs w:val="20"/>
        </w:rPr>
        <w:t xml:space="preserve"> </w:t>
      </w:r>
      <w:r w:rsidR="008A2573" w:rsidRPr="00652CB9">
        <w:rPr>
          <w:sz w:val="20"/>
          <w:szCs w:val="20"/>
        </w:rPr>
        <w:t xml:space="preserve">education providers will ensure that </w:t>
      </w:r>
      <w:r w:rsidRPr="00652CB9">
        <w:rPr>
          <w:sz w:val="20"/>
          <w:szCs w:val="20"/>
        </w:rPr>
        <w:t xml:space="preserve">students </w:t>
      </w:r>
      <w:r w:rsidR="008A2573" w:rsidRPr="00652CB9">
        <w:rPr>
          <w:sz w:val="20"/>
          <w:szCs w:val="20"/>
        </w:rPr>
        <w:t xml:space="preserve">will </w:t>
      </w:r>
      <w:r w:rsidRPr="00652CB9">
        <w:rPr>
          <w:sz w:val="20"/>
          <w:szCs w:val="20"/>
        </w:rPr>
        <w:t>achieve the capabilities that are relevant to their subsequent period of work</w:t>
      </w:r>
      <w:r w:rsidR="009B0FF6" w:rsidRPr="00652CB9">
        <w:rPr>
          <w:sz w:val="20"/>
          <w:szCs w:val="20"/>
        </w:rPr>
        <w:t>-</w:t>
      </w:r>
      <w:r w:rsidRPr="00652CB9">
        <w:rPr>
          <w:sz w:val="20"/>
          <w:szCs w:val="20"/>
        </w:rPr>
        <w:t xml:space="preserve">integrated learning, </w:t>
      </w:r>
      <w:r w:rsidR="00831EA7" w:rsidRPr="00652CB9">
        <w:rPr>
          <w:sz w:val="20"/>
          <w:szCs w:val="20"/>
        </w:rPr>
        <w:t>before</w:t>
      </w:r>
      <w:r w:rsidRPr="00652CB9">
        <w:rPr>
          <w:sz w:val="20"/>
          <w:szCs w:val="20"/>
        </w:rPr>
        <w:t xml:space="preserve"> providing </w:t>
      </w:r>
      <w:r w:rsidR="00624D5B">
        <w:rPr>
          <w:sz w:val="20"/>
          <w:szCs w:val="20"/>
        </w:rPr>
        <w:t>patient</w:t>
      </w:r>
      <w:r w:rsidRPr="00652CB9">
        <w:rPr>
          <w:sz w:val="20"/>
          <w:szCs w:val="20"/>
        </w:rPr>
        <w:t xml:space="preserve"> care. Achievement of </w:t>
      </w:r>
      <w:r w:rsidR="008A7815">
        <w:rPr>
          <w:sz w:val="20"/>
          <w:szCs w:val="20"/>
        </w:rPr>
        <w:t>these</w:t>
      </w:r>
      <w:r w:rsidRPr="00652CB9">
        <w:rPr>
          <w:sz w:val="20"/>
          <w:szCs w:val="20"/>
        </w:rPr>
        <w:t xml:space="preserve"> capabilities is </w:t>
      </w:r>
      <w:r w:rsidR="00A300A4" w:rsidRPr="00652CB9">
        <w:rPr>
          <w:sz w:val="20"/>
          <w:szCs w:val="20"/>
        </w:rPr>
        <w:t xml:space="preserve">needed </w:t>
      </w:r>
      <w:r w:rsidRPr="00652CB9">
        <w:rPr>
          <w:sz w:val="20"/>
          <w:szCs w:val="20"/>
        </w:rPr>
        <w:t xml:space="preserve">to minimise risk, particularly because supervision alone cannot assure safe </w:t>
      </w:r>
      <w:r w:rsidRPr="00652CB9">
        <w:rPr>
          <w:sz w:val="20"/>
          <w:szCs w:val="20"/>
        </w:rPr>
        <w:lastRenderedPageBreak/>
        <w:t>practice</w:t>
      </w:r>
      <w:r w:rsidR="009A7E52" w:rsidRPr="00652CB9">
        <w:rPr>
          <w:sz w:val="20"/>
          <w:szCs w:val="20"/>
        </w:rPr>
        <w:t xml:space="preserve">, even though the degree of supervision will vary with the level of understanding of </w:t>
      </w:r>
      <w:r w:rsidR="00910A52" w:rsidRPr="00652CB9">
        <w:rPr>
          <w:sz w:val="20"/>
          <w:szCs w:val="20"/>
        </w:rPr>
        <w:t>e</w:t>
      </w:r>
      <w:r w:rsidR="009A7E52" w:rsidRPr="00652CB9">
        <w:rPr>
          <w:sz w:val="20"/>
          <w:szCs w:val="20"/>
        </w:rPr>
        <w:t>a</w:t>
      </w:r>
      <w:r w:rsidR="00910A52" w:rsidRPr="00652CB9">
        <w:rPr>
          <w:sz w:val="20"/>
          <w:szCs w:val="20"/>
        </w:rPr>
        <w:t>ch</w:t>
      </w:r>
      <w:r w:rsidR="009A7E52" w:rsidRPr="00652CB9">
        <w:rPr>
          <w:sz w:val="20"/>
          <w:szCs w:val="20"/>
        </w:rPr>
        <w:t xml:space="preserve"> student</w:t>
      </w:r>
      <w:r w:rsidRPr="00652CB9">
        <w:rPr>
          <w:sz w:val="20"/>
          <w:szCs w:val="20"/>
        </w:rPr>
        <w:t>.</w:t>
      </w:r>
      <w:bookmarkStart w:id="17" w:name="_Hlk532462482"/>
      <w:r w:rsidR="00831EA7" w:rsidRPr="00652CB9">
        <w:rPr>
          <w:sz w:val="20"/>
          <w:szCs w:val="20"/>
        </w:rPr>
        <w:t xml:space="preserve"> </w:t>
      </w:r>
      <w:bookmarkEnd w:id="17"/>
      <w:r w:rsidR="00857C74" w:rsidRPr="00652CB9">
        <w:rPr>
          <w:sz w:val="20"/>
          <w:szCs w:val="20"/>
        </w:rPr>
        <w:t>The</w:t>
      </w:r>
      <w:r w:rsidR="008A7815">
        <w:rPr>
          <w:sz w:val="20"/>
          <w:szCs w:val="20"/>
        </w:rPr>
        <w:t>se</w:t>
      </w:r>
      <w:r w:rsidR="00857C74" w:rsidRPr="00652CB9">
        <w:rPr>
          <w:sz w:val="20"/>
          <w:szCs w:val="20"/>
        </w:rPr>
        <w:t xml:space="preserve"> capabilities </w:t>
      </w:r>
      <w:r w:rsidR="007C08E1" w:rsidRPr="00652CB9">
        <w:rPr>
          <w:sz w:val="20"/>
          <w:szCs w:val="20"/>
        </w:rPr>
        <w:t xml:space="preserve">include those required before any patient treatment can occur as well as those required before more complex clinical work can occur. </w:t>
      </w:r>
    </w:p>
    <w:p w14:paraId="3AC63F4B" w14:textId="77777777" w:rsidR="005A4271" w:rsidRDefault="005A4271" w:rsidP="000E6D64">
      <w:pPr>
        <w:pStyle w:val="Default"/>
        <w:rPr>
          <w:sz w:val="20"/>
          <w:szCs w:val="20"/>
        </w:rPr>
      </w:pPr>
    </w:p>
    <w:p w14:paraId="7C65F7DA" w14:textId="31BDA40F" w:rsidR="002E5606" w:rsidRPr="00652CB9" w:rsidRDefault="00831EA7" w:rsidP="000E6D64">
      <w:pPr>
        <w:pStyle w:val="Default"/>
        <w:rPr>
          <w:sz w:val="20"/>
          <w:szCs w:val="20"/>
        </w:rPr>
      </w:pPr>
      <w:r w:rsidRPr="00652CB9">
        <w:rPr>
          <w:sz w:val="20"/>
          <w:szCs w:val="20"/>
        </w:rPr>
        <w:t xml:space="preserve">All students in the program must have </w:t>
      </w:r>
      <w:r w:rsidR="009A7E52" w:rsidRPr="00652CB9">
        <w:rPr>
          <w:sz w:val="20"/>
          <w:szCs w:val="20"/>
        </w:rPr>
        <w:t xml:space="preserve">appropriate skills to communicate with </w:t>
      </w:r>
      <w:r w:rsidR="00624D5B">
        <w:rPr>
          <w:sz w:val="20"/>
          <w:szCs w:val="20"/>
        </w:rPr>
        <w:t>patients</w:t>
      </w:r>
      <w:r w:rsidR="009A7E52" w:rsidRPr="00652CB9">
        <w:rPr>
          <w:sz w:val="20"/>
          <w:szCs w:val="20"/>
        </w:rPr>
        <w:t>, other health professionals</w:t>
      </w:r>
      <w:r w:rsidR="00910A52" w:rsidRPr="00652CB9">
        <w:rPr>
          <w:sz w:val="20"/>
          <w:szCs w:val="20"/>
        </w:rPr>
        <w:t>,</w:t>
      </w:r>
      <w:r w:rsidR="009A7E52" w:rsidRPr="00652CB9">
        <w:rPr>
          <w:sz w:val="20"/>
          <w:szCs w:val="20"/>
        </w:rPr>
        <w:t xml:space="preserve"> their supervisors. </w:t>
      </w:r>
      <w:r w:rsidR="000E6D64" w:rsidRPr="00652CB9">
        <w:rPr>
          <w:sz w:val="20"/>
          <w:szCs w:val="20"/>
        </w:rPr>
        <w:t xml:space="preserve">Another </w:t>
      </w:r>
      <w:r w:rsidR="008A7815">
        <w:rPr>
          <w:sz w:val="20"/>
          <w:szCs w:val="20"/>
        </w:rPr>
        <w:t>relevant</w:t>
      </w:r>
      <w:r w:rsidR="000E6D64" w:rsidRPr="00652CB9">
        <w:rPr>
          <w:sz w:val="20"/>
          <w:szCs w:val="20"/>
        </w:rPr>
        <w:t xml:space="preserve"> capability is practical application of safety guidelines.</w:t>
      </w:r>
    </w:p>
    <w:p w14:paraId="097B4DD8" w14:textId="6E689F1A" w:rsidR="00490B36" w:rsidRPr="00652CB9" w:rsidRDefault="00490B36" w:rsidP="003A7F8C">
      <w:pPr>
        <w:pStyle w:val="Default"/>
        <w:rPr>
          <w:color w:val="548DD4" w:themeColor="text2" w:themeTint="99"/>
          <w:sz w:val="20"/>
        </w:rPr>
      </w:pPr>
    </w:p>
    <w:p w14:paraId="6EE2687E" w14:textId="534B9769" w:rsidR="003A7F8C" w:rsidRPr="00652CB9" w:rsidRDefault="003A7F8C" w:rsidP="003A7F8C">
      <w:pPr>
        <w:pStyle w:val="Default"/>
        <w:rPr>
          <w:i/>
          <w:color w:val="auto"/>
          <w:sz w:val="20"/>
          <w:szCs w:val="20"/>
        </w:rPr>
      </w:pPr>
      <w:r w:rsidRPr="00652CB9">
        <w:rPr>
          <w:color w:val="548DD4" w:themeColor="text2" w:themeTint="99"/>
          <w:sz w:val="20"/>
        </w:rPr>
        <w:t>Work</w:t>
      </w:r>
      <w:r w:rsidR="009B0FF6" w:rsidRPr="00652CB9">
        <w:rPr>
          <w:color w:val="548DD4" w:themeColor="text2" w:themeTint="99"/>
          <w:sz w:val="20"/>
        </w:rPr>
        <w:t>-</w:t>
      </w:r>
      <w:r w:rsidRPr="00652CB9">
        <w:rPr>
          <w:color w:val="548DD4" w:themeColor="text2" w:themeTint="99"/>
          <w:sz w:val="20"/>
        </w:rPr>
        <w:t>integrated learning supervisors</w:t>
      </w:r>
      <w:r w:rsidR="00910A52" w:rsidRPr="00652CB9">
        <w:rPr>
          <w:color w:val="548DD4" w:themeColor="text2" w:themeTint="99"/>
          <w:sz w:val="20"/>
        </w:rPr>
        <w:t xml:space="preserve"> </w:t>
      </w:r>
    </w:p>
    <w:p w14:paraId="7ECFA52D" w14:textId="2B14F669" w:rsidR="00E06CED" w:rsidRPr="00652CB9" w:rsidRDefault="00E06CED" w:rsidP="003A7F8C">
      <w:pPr>
        <w:pStyle w:val="Default"/>
        <w:rPr>
          <w:i/>
          <w:color w:val="auto"/>
          <w:sz w:val="20"/>
          <w:szCs w:val="20"/>
        </w:rPr>
      </w:pPr>
    </w:p>
    <w:p w14:paraId="3D1556D9" w14:textId="0F1475E8" w:rsidR="009F11C1" w:rsidRDefault="003A7F8C" w:rsidP="002A24E3">
      <w:pPr>
        <w:pStyle w:val="Default"/>
        <w:rPr>
          <w:color w:val="auto"/>
          <w:sz w:val="20"/>
          <w:szCs w:val="20"/>
        </w:rPr>
      </w:pPr>
      <w:bookmarkStart w:id="18" w:name="_Hlk52197278"/>
      <w:r w:rsidRPr="00652CB9">
        <w:rPr>
          <w:color w:val="auto"/>
          <w:sz w:val="20"/>
          <w:szCs w:val="20"/>
        </w:rPr>
        <w:t>Work</w:t>
      </w:r>
      <w:r w:rsidR="009B0FF6" w:rsidRPr="00652CB9">
        <w:rPr>
          <w:color w:val="auto"/>
          <w:sz w:val="20"/>
          <w:szCs w:val="20"/>
        </w:rPr>
        <w:t>-</w:t>
      </w:r>
      <w:r w:rsidRPr="00652CB9">
        <w:rPr>
          <w:color w:val="auto"/>
          <w:sz w:val="20"/>
          <w:szCs w:val="20"/>
        </w:rPr>
        <w:t>integrated</w:t>
      </w:r>
      <w:r w:rsidR="00AE2120">
        <w:rPr>
          <w:color w:val="auto"/>
          <w:sz w:val="20"/>
          <w:szCs w:val="20"/>
        </w:rPr>
        <w:t xml:space="preserve"> </w:t>
      </w:r>
      <w:r w:rsidRPr="00652CB9">
        <w:rPr>
          <w:color w:val="auto"/>
          <w:sz w:val="20"/>
          <w:szCs w:val="20"/>
        </w:rPr>
        <w:t>learning conducted in Australia</w:t>
      </w:r>
      <w:r w:rsidR="00C62E32">
        <w:rPr>
          <w:color w:val="auto"/>
          <w:sz w:val="20"/>
          <w:szCs w:val="20"/>
        </w:rPr>
        <w:t xml:space="preserve"> to develop capabilities to qualify</w:t>
      </w:r>
      <w:r w:rsidR="009F11C1">
        <w:rPr>
          <w:color w:val="auto"/>
          <w:sz w:val="20"/>
          <w:szCs w:val="20"/>
        </w:rPr>
        <w:t xml:space="preserve"> for </w:t>
      </w:r>
      <w:r w:rsidR="00C62E32">
        <w:rPr>
          <w:color w:val="auto"/>
          <w:sz w:val="20"/>
          <w:szCs w:val="20"/>
        </w:rPr>
        <w:t xml:space="preserve">endorsement of registration in relation to </w:t>
      </w:r>
      <w:r w:rsidR="009F11C1">
        <w:rPr>
          <w:color w:val="auto"/>
          <w:sz w:val="20"/>
          <w:szCs w:val="20"/>
        </w:rPr>
        <w:t>scheduled medicines</w:t>
      </w:r>
      <w:r w:rsidR="00AE5EDC" w:rsidRPr="00652CB9">
        <w:rPr>
          <w:color w:val="auto"/>
          <w:sz w:val="20"/>
          <w:szCs w:val="20"/>
        </w:rPr>
        <w:t xml:space="preserve"> </w:t>
      </w:r>
      <w:r w:rsidRPr="00652CB9">
        <w:rPr>
          <w:color w:val="auto"/>
          <w:sz w:val="20"/>
          <w:szCs w:val="20"/>
        </w:rPr>
        <w:t>must be supervised by</w:t>
      </w:r>
      <w:r w:rsidR="009F11C1">
        <w:rPr>
          <w:color w:val="auto"/>
          <w:sz w:val="20"/>
          <w:szCs w:val="20"/>
        </w:rPr>
        <w:t xml:space="preserve"> </w:t>
      </w:r>
      <w:r w:rsidR="00DA33B4">
        <w:rPr>
          <w:color w:val="auto"/>
          <w:sz w:val="20"/>
          <w:szCs w:val="20"/>
        </w:rPr>
        <w:t xml:space="preserve">a </w:t>
      </w:r>
      <w:r w:rsidR="00736599">
        <w:rPr>
          <w:color w:val="auto"/>
          <w:sz w:val="20"/>
          <w:szCs w:val="20"/>
        </w:rPr>
        <w:t xml:space="preserve">registered </w:t>
      </w:r>
      <w:r w:rsidR="00DA33B4">
        <w:rPr>
          <w:color w:val="auto"/>
          <w:sz w:val="20"/>
          <w:szCs w:val="20"/>
        </w:rPr>
        <w:t xml:space="preserve">health practitioner </w:t>
      </w:r>
      <w:r w:rsidR="009F11C1">
        <w:rPr>
          <w:color w:val="auto"/>
          <w:sz w:val="20"/>
          <w:szCs w:val="20"/>
        </w:rPr>
        <w:t>who has experience in the education and supervision of work-integrated learning. This could be:</w:t>
      </w:r>
    </w:p>
    <w:p w14:paraId="12AB037D" w14:textId="77777777" w:rsidR="00DA33B4" w:rsidRDefault="00DA33B4" w:rsidP="00DA33B4">
      <w:pPr>
        <w:pStyle w:val="Default"/>
        <w:rPr>
          <w:color w:val="auto"/>
          <w:sz w:val="20"/>
          <w:szCs w:val="20"/>
        </w:rPr>
      </w:pPr>
    </w:p>
    <w:p w14:paraId="45B19DB7" w14:textId="77777777" w:rsidR="00DA33B4" w:rsidRDefault="00DA33B4" w:rsidP="006B223F">
      <w:pPr>
        <w:pStyle w:val="Default"/>
        <w:numPr>
          <w:ilvl w:val="0"/>
          <w:numId w:val="53"/>
        </w:numPr>
        <w:rPr>
          <w:color w:val="auto"/>
          <w:sz w:val="20"/>
          <w:szCs w:val="20"/>
        </w:rPr>
      </w:pPr>
      <w:r>
        <w:rPr>
          <w:color w:val="auto"/>
          <w:sz w:val="20"/>
          <w:szCs w:val="20"/>
        </w:rPr>
        <w:t xml:space="preserve">a podiatrist or podiatric surgeon whose registration is endorsed for scheduled medicines by the Board; or </w:t>
      </w:r>
    </w:p>
    <w:p w14:paraId="775B2682" w14:textId="5390D2EA" w:rsidR="009F11C1" w:rsidRPr="00FD63BF" w:rsidRDefault="00DA33B4" w:rsidP="00FD63BF">
      <w:pPr>
        <w:pStyle w:val="Default"/>
        <w:numPr>
          <w:ilvl w:val="0"/>
          <w:numId w:val="53"/>
        </w:numPr>
        <w:rPr>
          <w:color w:val="auto"/>
          <w:sz w:val="20"/>
          <w:szCs w:val="20"/>
        </w:rPr>
      </w:pPr>
      <w:r>
        <w:rPr>
          <w:color w:val="auto"/>
          <w:sz w:val="20"/>
          <w:szCs w:val="20"/>
        </w:rPr>
        <w:t xml:space="preserve">a practitioner who holds registration in another profession and is endorsed for scheduled medicines, such as a registered medical practitioner or a registered </w:t>
      </w:r>
      <w:r w:rsidR="00DC55CF">
        <w:rPr>
          <w:color w:val="auto"/>
          <w:sz w:val="20"/>
          <w:szCs w:val="20"/>
        </w:rPr>
        <w:t>nurse practitioner</w:t>
      </w:r>
      <w:r>
        <w:rPr>
          <w:color w:val="auto"/>
          <w:sz w:val="20"/>
          <w:szCs w:val="20"/>
        </w:rPr>
        <w:t xml:space="preserve">. </w:t>
      </w:r>
      <w:bookmarkEnd w:id="18"/>
    </w:p>
    <w:p w14:paraId="594CFB1B" w14:textId="32A785DE" w:rsidR="005C3A89" w:rsidRPr="004653E7" w:rsidRDefault="005C3A89" w:rsidP="002A24E3">
      <w:pPr>
        <w:pStyle w:val="Default"/>
        <w:rPr>
          <w:color w:val="auto"/>
          <w:sz w:val="20"/>
          <w:szCs w:val="20"/>
        </w:rPr>
      </w:pPr>
    </w:p>
    <w:p w14:paraId="24FEC10D" w14:textId="4328D0D0" w:rsidR="00186E2B" w:rsidRPr="00863470" w:rsidRDefault="00186E2B" w:rsidP="00186E2B">
      <w:pPr>
        <w:pStyle w:val="Default"/>
        <w:rPr>
          <w:color w:val="548DD4" w:themeColor="text2" w:themeTint="99"/>
          <w:sz w:val="20"/>
        </w:rPr>
      </w:pPr>
      <w:r w:rsidRPr="00863470">
        <w:rPr>
          <w:color w:val="548DD4" w:themeColor="text2" w:themeTint="99"/>
          <w:sz w:val="20"/>
        </w:rPr>
        <w:t>Relevant accreditation and licensing</w:t>
      </w:r>
    </w:p>
    <w:p w14:paraId="5C40E1FE" w14:textId="0FDF8A77" w:rsidR="004F0B11" w:rsidRPr="004653E7" w:rsidRDefault="004F0B11" w:rsidP="00186E2B">
      <w:pPr>
        <w:pStyle w:val="Default"/>
        <w:rPr>
          <w:b/>
          <w:sz w:val="20"/>
          <w:szCs w:val="20"/>
        </w:rPr>
      </w:pPr>
    </w:p>
    <w:p w14:paraId="681BC3C4" w14:textId="1240886E" w:rsidR="00EA3A76" w:rsidRPr="004653E7" w:rsidRDefault="004E449F" w:rsidP="002A24E3">
      <w:pPr>
        <w:pStyle w:val="Default"/>
        <w:rPr>
          <w:sz w:val="20"/>
          <w:szCs w:val="20"/>
        </w:rPr>
      </w:pPr>
      <w:r w:rsidRPr="004653E7">
        <w:rPr>
          <w:sz w:val="20"/>
          <w:szCs w:val="20"/>
        </w:rPr>
        <w:t xml:space="preserve">The Accreditation Committee expects </w:t>
      </w:r>
      <w:r w:rsidR="00B17051">
        <w:rPr>
          <w:sz w:val="20"/>
          <w:szCs w:val="20"/>
        </w:rPr>
        <w:t xml:space="preserve">the </w:t>
      </w:r>
      <w:r w:rsidRPr="004653E7">
        <w:rPr>
          <w:sz w:val="20"/>
          <w:szCs w:val="20"/>
        </w:rPr>
        <w:t xml:space="preserve">education provider to </w:t>
      </w:r>
      <w:r w:rsidR="00E5002C" w:rsidRPr="004653E7">
        <w:rPr>
          <w:sz w:val="20"/>
          <w:szCs w:val="20"/>
        </w:rPr>
        <w:t xml:space="preserve">implement </w:t>
      </w:r>
      <w:r w:rsidR="003D0243">
        <w:rPr>
          <w:sz w:val="20"/>
          <w:szCs w:val="20"/>
        </w:rPr>
        <w:t xml:space="preserve">formal </w:t>
      </w:r>
      <w:r w:rsidR="00E5002C" w:rsidRPr="004653E7">
        <w:rPr>
          <w:sz w:val="20"/>
          <w:szCs w:val="20"/>
        </w:rPr>
        <w:t>mechanisms</w:t>
      </w:r>
      <w:r w:rsidR="001C450F" w:rsidRPr="004653E7">
        <w:rPr>
          <w:sz w:val="20"/>
          <w:szCs w:val="20"/>
        </w:rPr>
        <w:t xml:space="preserve"> </w:t>
      </w:r>
      <w:r w:rsidR="00E5002C" w:rsidRPr="004653E7">
        <w:rPr>
          <w:sz w:val="20"/>
          <w:szCs w:val="20"/>
        </w:rPr>
        <w:t xml:space="preserve">that </w:t>
      </w:r>
      <w:r w:rsidRPr="004653E7">
        <w:rPr>
          <w:sz w:val="20"/>
          <w:szCs w:val="20"/>
        </w:rPr>
        <w:t xml:space="preserve">ensure </w:t>
      </w:r>
      <w:r w:rsidR="00C621B8" w:rsidRPr="004653E7">
        <w:rPr>
          <w:sz w:val="20"/>
          <w:szCs w:val="20"/>
        </w:rPr>
        <w:t xml:space="preserve">each </w:t>
      </w:r>
      <w:r w:rsidRPr="004653E7">
        <w:rPr>
          <w:sz w:val="20"/>
          <w:szCs w:val="20"/>
        </w:rPr>
        <w:t xml:space="preserve">health </w:t>
      </w:r>
      <w:r w:rsidR="00C621B8" w:rsidRPr="004653E7">
        <w:rPr>
          <w:sz w:val="20"/>
          <w:szCs w:val="20"/>
        </w:rPr>
        <w:t>service or facility</w:t>
      </w:r>
      <w:r w:rsidRPr="004653E7">
        <w:rPr>
          <w:sz w:val="20"/>
          <w:szCs w:val="20"/>
        </w:rPr>
        <w:t xml:space="preserve"> </w:t>
      </w:r>
      <w:r w:rsidR="005C3A89" w:rsidRPr="004653E7">
        <w:rPr>
          <w:sz w:val="20"/>
          <w:szCs w:val="20"/>
        </w:rPr>
        <w:t>used for</w:t>
      </w:r>
      <w:r w:rsidR="00E5002C" w:rsidRPr="004653E7">
        <w:rPr>
          <w:sz w:val="20"/>
          <w:szCs w:val="20"/>
        </w:rPr>
        <w:t xml:space="preserve"> work</w:t>
      </w:r>
      <w:r w:rsidR="00A300A4" w:rsidRPr="004653E7">
        <w:rPr>
          <w:sz w:val="20"/>
          <w:szCs w:val="20"/>
        </w:rPr>
        <w:t>-</w:t>
      </w:r>
      <w:r w:rsidR="00E5002C" w:rsidRPr="004653E7">
        <w:rPr>
          <w:sz w:val="20"/>
          <w:szCs w:val="20"/>
        </w:rPr>
        <w:t xml:space="preserve">integrated learning </w:t>
      </w:r>
      <w:r w:rsidR="00C621B8" w:rsidRPr="004653E7">
        <w:rPr>
          <w:sz w:val="20"/>
          <w:szCs w:val="20"/>
        </w:rPr>
        <w:t>in the program:</w:t>
      </w:r>
    </w:p>
    <w:p w14:paraId="41E377FB" w14:textId="50BEB123" w:rsidR="002434F6" w:rsidRPr="004653E7" w:rsidRDefault="002434F6" w:rsidP="002A24E3">
      <w:pPr>
        <w:pStyle w:val="Default"/>
        <w:rPr>
          <w:sz w:val="20"/>
          <w:szCs w:val="20"/>
        </w:rPr>
      </w:pPr>
    </w:p>
    <w:p w14:paraId="6BD6F4FD" w14:textId="60166684" w:rsidR="00712E15" w:rsidRPr="004653E7" w:rsidRDefault="00C621B8" w:rsidP="006B223F">
      <w:pPr>
        <w:pStyle w:val="Default"/>
        <w:numPr>
          <w:ilvl w:val="0"/>
          <w:numId w:val="33"/>
        </w:numPr>
        <w:rPr>
          <w:sz w:val="20"/>
          <w:szCs w:val="20"/>
        </w:rPr>
      </w:pPr>
      <w:r w:rsidRPr="004653E7">
        <w:rPr>
          <w:sz w:val="20"/>
          <w:szCs w:val="20"/>
        </w:rPr>
        <w:t>compli</w:t>
      </w:r>
      <w:r w:rsidR="007C18BF" w:rsidRPr="004653E7">
        <w:rPr>
          <w:sz w:val="20"/>
          <w:szCs w:val="20"/>
        </w:rPr>
        <w:t>es</w:t>
      </w:r>
      <w:r w:rsidRPr="004653E7">
        <w:rPr>
          <w:sz w:val="20"/>
          <w:szCs w:val="20"/>
        </w:rPr>
        <w:t xml:space="preserve"> with </w:t>
      </w:r>
      <w:r w:rsidR="005C3A89" w:rsidRPr="004653E7">
        <w:rPr>
          <w:sz w:val="20"/>
          <w:szCs w:val="20"/>
        </w:rPr>
        <w:t>relevant</w:t>
      </w:r>
      <w:r w:rsidRPr="004653E7">
        <w:rPr>
          <w:sz w:val="20"/>
          <w:szCs w:val="20"/>
        </w:rPr>
        <w:t xml:space="preserve"> licensing requirements such as applicable public health laws</w:t>
      </w:r>
      <w:r w:rsidR="007C18BF" w:rsidRPr="004653E7">
        <w:rPr>
          <w:sz w:val="20"/>
          <w:szCs w:val="20"/>
        </w:rPr>
        <w:t>, and</w:t>
      </w:r>
    </w:p>
    <w:p w14:paraId="308189C5" w14:textId="61928861" w:rsidR="007C18BF" w:rsidRPr="004653E7" w:rsidRDefault="00712E15" w:rsidP="006B223F">
      <w:pPr>
        <w:pStyle w:val="Default"/>
        <w:numPr>
          <w:ilvl w:val="0"/>
          <w:numId w:val="33"/>
        </w:numPr>
        <w:rPr>
          <w:sz w:val="20"/>
          <w:szCs w:val="20"/>
        </w:rPr>
      </w:pPr>
      <w:r w:rsidRPr="004653E7">
        <w:rPr>
          <w:sz w:val="20"/>
          <w:szCs w:val="20"/>
        </w:rPr>
        <w:t xml:space="preserve">where relevant, </w:t>
      </w:r>
      <w:r w:rsidR="007C18BF" w:rsidRPr="004653E7">
        <w:rPr>
          <w:sz w:val="20"/>
          <w:szCs w:val="20"/>
        </w:rPr>
        <w:t xml:space="preserve">is accredited by </w:t>
      </w:r>
      <w:r w:rsidR="00615693">
        <w:rPr>
          <w:sz w:val="20"/>
          <w:szCs w:val="20"/>
        </w:rPr>
        <w:t>one</w:t>
      </w:r>
      <w:r w:rsidR="007C18BF" w:rsidRPr="004653E7">
        <w:rPr>
          <w:sz w:val="20"/>
          <w:szCs w:val="20"/>
        </w:rPr>
        <w:t xml:space="preserve"> of the </w:t>
      </w:r>
      <w:r w:rsidR="004C6C37">
        <w:rPr>
          <w:sz w:val="20"/>
          <w:szCs w:val="20"/>
        </w:rPr>
        <w:t>eight</w:t>
      </w:r>
      <w:r w:rsidR="00853AE5" w:rsidRPr="004653E7">
        <w:rPr>
          <w:sz w:val="20"/>
          <w:szCs w:val="20"/>
        </w:rPr>
        <w:t xml:space="preserve"> approved</w:t>
      </w:r>
      <w:r w:rsidR="007C18BF" w:rsidRPr="004653E7">
        <w:rPr>
          <w:sz w:val="20"/>
          <w:szCs w:val="20"/>
        </w:rPr>
        <w:t xml:space="preserve"> accreditation agencies</w:t>
      </w:r>
      <w:r w:rsidR="00B7598E" w:rsidRPr="004653E7">
        <w:rPr>
          <w:rStyle w:val="FootnoteReference"/>
          <w:szCs w:val="20"/>
        </w:rPr>
        <w:footnoteReference w:id="12"/>
      </w:r>
      <w:r w:rsidR="007C18BF" w:rsidRPr="004653E7">
        <w:rPr>
          <w:sz w:val="20"/>
          <w:szCs w:val="20"/>
        </w:rPr>
        <w:t xml:space="preserve"> that accredit to the</w:t>
      </w:r>
      <w:r w:rsidR="0004331D">
        <w:rPr>
          <w:sz w:val="20"/>
          <w:szCs w:val="20"/>
        </w:rPr>
        <w:t xml:space="preserve"> </w:t>
      </w:r>
      <w:bookmarkStart w:id="21" w:name="_Hlk51767658"/>
      <w:r w:rsidR="0004331D">
        <w:rPr>
          <w:sz w:val="20"/>
          <w:szCs w:val="20"/>
        </w:rPr>
        <w:t xml:space="preserve">relevant National </w:t>
      </w:r>
      <w:r w:rsidR="0004331D" w:rsidRPr="0004331D">
        <w:rPr>
          <w:sz w:val="20"/>
          <w:szCs w:val="20"/>
        </w:rPr>
        <w:t>Safety and Quality Standards published by the Australian Commission on Safety and Quality in Health Care</w:t>
      </w:r>
      <w:r w:rsidR="005C3A89" w:rsidRPr="004653E7">
        <w:rPr>
          <w:i/>
          <w:sz w:val="20"/>
          <w:szCs w:val="20"/>
        </w:rPr>
        <w:t>.</w:t>
      </w:r>
    </w:p>
    <w:bookmarkEnd w:id="21"/>
    <w:p w14:paraId="748F07C8" w14:textId="4CE9BCC3" w:rsidR="00186E2B" w:rsidRPr="004653E7" w:rsidRDefault="00186E2B" w:rsidP="002A24E3">
      <w:pPr>
        <w:pStyle w:val="Default"/>
        <w:rPr>
          <w:b/>
          <w:sz w:val="20"/>
          <w:szCs w:val="20"/>
        </w:rPr>
      </w:pPr>
    </w:p>
    <w:p w14:paraId="2E2A6CDB" w14:textId="6DDC7DA1" w:rsidR="002654BB" w:rsidRPr="004653E7" w:rsidRDefault="003F73B3" w:rsidP="002654BB">
      <w:pPr>
        <w:pStyle w:val="Default"/>
        <w:rPr>
          <w:sz w:val="20"/>
          <w:szCs w:val="20"/>
        </w:rPr>
      </w:pPr>
      <w:r w:rsidRPr="004653E7">
        <w:rPr>
          <w:sz w:val="20"/>
          <w:szCs w:val="20"/>
        </w:rPr>
        <w:t>These mechanisms may include relevant clauses in an agreement between the education provider and the health service or facility.</w:t>
      </w:r>
      <w:r w:rsidR="002654BB" w:rsidRPr="004653E7">
        <w:rPr>
          <w:sz w:val="20"/>
          <w:szCs w:val="20"/>
        </w:rPr>
        <w:t xml:space="preserve"> The Accreditation Committee expects agreements with clinics and/or practices outside Australia to include clauses to cover relevant accreditation and licensing</w:t>
      </w:r>
      <w:r w:rsidR="004C6C37">
        <w:rPr>
          <w:sz w:val="20"/>
          <w:szCs w:val="20"/>
        </w:rPr>
        <w:t xml:space="preserve"> requirements</w:t>
      </w:r>
      <w:r w:rsidR="002654BB" w:rsidRPr="004653E7">
        <w:rPr>
          <w:sz w:val="20"/>
          <w:szCs w:val="20"/>
        </w:rPr>
        <w:t xml:space="preserve"> in that country.</w:t>
      </w:r>
    </w:p>
    <w:p w14:paraId="2C9EE84C" w14:textId="77777777" w:rsidR="003F73B3" w:rsidRPr="004653E7" w:rsidRDefault="003F73B3" w:rsidP="002A24E3">
      <w:pPr>
        <w:pStyle w:val="Default"/>
        <w:rPr>
          <w:b/>
          <w:sz w:val="20"/>
          <w:szCs w:val="20"/>
        </w:rPr>
      </w:pPr>
    </w:p>
    <w:p w14:paraId="6742842C" w14:textId="77777777" w:rsidR="002A24E3" w:rsidRPr="004653E7" w:rsidRDefault="002A24E3" w:rsidP="002A24E3">
      <w:pPr>
        <w:pStyle w:val="Default"/>
        <w:rPr>
          <w:b/>
          <w:sz w:val="20"/>
          <w:szCs w:val="20"/>
        </w:rPr>
      </w:pPr>
      <w:r w:rsidRPr="004653E7">
        <w:rPr>
          <w:b/>
          <w:sz w:val="20"/>
          <w:szCs w:val="20"/>
        </w:rPr>
        <w:t>Ethical and professional conduct</w:t>
      </w:r>
    </w:p>
    <w:p w14:paraId="7DD580A5" w14:textId="77777777" w:rsidR="00815C0B" w:rsidRPr="004653E7" w:rsidRDefault="00815C0B" w:rsidP="002A24E3">
      <w:pPr>
        <w:pStyle w:val="Default"/>
        <w:rPr>
          <w:b/>
          <w:sz w:val="20"/>
          <w:szCs w:val="20"/>
        </w:rPr>
      </w:pPr>
    </w:p>
    <w:p w14:paraId="4C2BC1F5" w14:textId="3D19D75A" w:rsidR="00145FD5" w:rsidRDefault="00145FD5" w:rsidP="00DB3D51">
      <w:pPr>
        <w:rPr>
          <w:rFonts w:ascii="Arial" w:hAnsi="Arial" w:cs="Arial"/>
          <w:sz w:val="20"/>
          <w:szCs w:val="20"/>
        </w:rPr>
      </w:pPr>
      <w:bookmarkStart w:id="22" w:name="_Hlk37424957"/>
      <w:r w:rsidRPr="004653E7">
        <w:rPr>
          <w:rFonts w:ascii="Arial" w:hAnsi="Arial" w:cs="Arial"/>
          <w:sz w:val="20"/>
          <w:szCs w:val="20"/>
        </w:rPr>
        <w:t xml:space="preserve">The requirements for the ethical and professional conduct of </w:t>
      </w:r>
      <w:r>
        <w:rPr>
          <w:rFonts w:ascii="Arial" w:hAnsi="Arial" w:cs="Arial"/>
          <w:sz w:val="20"/>
          <w:szCs w:val="20"/>
        </w:rPr>
        <w:t xml:space="preserve">podiatrists and podiatric surgeons who are endorsed for scheduled medicines </w:t>
      </w:r>
      <w:r w:rsidRPr="004653E7">
        <w:rPr>
          <w:rFonts w:ascii="Arial" w:hAnsi="Arial" w:cs="Arial"/>
          <w:sz w:val="20"/>
          <w:szCs w:val="20"/>
        </w:rPr>
        <w:t xml:space="preserve">to assure safe practice in Australia are set out in the </w:t>
      </w:r>
      <w:r w:rsidRPr="004653E7">
        <w:rPr>
          <w:rFonts w:ascii="Arial" w:hAnsi="Arial" w:cs="Arial"/>
          <w:i/>
          <w:sz w:val="20"/>
          <w:szCs w:val="20"/>
        </w:rPr>
        <w:t xml:space="preserve">Professional capabilities for </w:t>
      </w:r>
      <w:r>
        <w:rPr>
          <w:rFonts w:ascii="Arial" w:hAnsi="Arial" w:cs="Arial"/>
          <w:i/>
          <w:sz w:val="20"/>
          <w:szCs w:val="20"/>
        </w:rPr>
        <w:t xml:space="preserve">podiatrists </w:t>
      </w:r>
      <w:r>
        <w:rPr>
          <w:rFonts w:ascii="Arial" w:hAnsi="Arial" w:cs="Arial"/>
          <w:sz w:val="20"/>
          <w:szCs w:val="20"/>
        </w:rPr>
        <w:t xml:space="preserve">and the </w:t>
      </w:r>
      <w:r>
        <w:rPr>
          <w:rFonts w:ascii="Arial" w:hAnsi="Arial" w:cs="Arial"/>
          <w:i/>
          <w:sz w:val="20"/>
          <w:szCs w:val="20"/>
        </w:rPr>
        <w:t>Professional capabilities for podiatric surgeons</w:t>
      </w:r>
      <w:r>
        <w:rPr>
          <w:rStyle w:val="CommentReference"/>
          <w:rFonts w:ascii="Arial" w:hAnsi="Arial" w:cs="Arial"/>
          <w:lang w:eastAsia="en-AU"/>
        </w:rPr>
        <w:t>,</w:t>
      </w:r>
      <w:r>
        <w:rPr>
          <w:rFonts w:ascii="Arial" w:hAnsi="Arial" w:cs="Arial"/>
          <w:i/>
          <w:sz w:val="20"/>
          <w:szCs w:val="20"/>
        </w:rPr>
        <w:t xml:space="preserve"> </w:t>
      </w:r>
      <w:r w:rsidRPr="004653E7">
        <w:rPr>
          <w:rFonts w:ascii="Arial" w:hAnsi="Arial" w:cs="Arial"/>
          <w:sz w:val="20"/>
          <w:szCs w:val="20"/>
        </w:rPr>
        <w:t xml:space="preserve">and in the </w:t>
      </w:r>
      <w:r w:rsidRPr="004653E7">
        <w:rPr>
          <w:rFonts w:ascii="Arial" w:hAnsi="Arial" w:cs="Arial"/>
          <w:i/>
          <w:sz w:val="20"/>
          <w:szCs w:val="20"/>
        </w:rPr>
        <w:t>Code of conduct</w:t>
      </w:r>
      <w:r w:rsidRPr="004653E7">
        <w:rPr>
          <w:rStyle w:val="FootnoteReference"/>
          <w:rFonts w:cs="Arial"/>
          <w:szCs w:val="20"/>
        </w:rPr>
        <w:footnoteReference w:id="13"/>
      </w:r>
      <w:r w:rsidRPr="004653E7">
        <w:rPr>
          <w:rFonts w:ascii="Arial" w:hAnsi="Arial" w:cs="Arial"/>
          <w:i/>
          <w:sz w:val="20"/>
          <w:szCs w:val="20"/>
        </w:rPr>
        <w:t xml:space="preserve"> </w:t>
      </w:r>
      <w:r w:rsidRPr="004653E7">
        <w:rPr>
          <w:rFonts w:ascii="Arial" w:hAnsi="Arial" w:cs="Arial"/>
          <w:sz w:val="20"/>
          <w:szCs w:val="20"/>
        </w:rPr>
        <w:t xml:space="preserve">for registered health practitioners, published by the Board. </w:t>
      </w:r>
      <w:r>
        <w:rPr>
          <w:rFonts w:ascii="Arial" w:hAnsi="Arial" w:cs="Arial"/>
          <w:sz w:val="20"/>
          <w:szCs w:val="20"/>
        </w:rPr>
        <w:t xml:space="preserve">Podiatrists and podiatric surgeons who are endorsed for scheduled medicines </w:t>
      </w:r>
      <w:r w:rsidR="00873D7D">
        <w:rPr>
          <w:rFonts w:ascii="Arial" w:hAnsi="Arial" w:cs="Arial"/>
          <w:sz w:val="20"/>
          <w:szCs w:val="20"/>
        </w:rPr>
        <w:t xml:space="preserve">must </w:t>
      </w:r>
      <w:r w:rsidR="00FF6A78">
        <w:rPr>
          <w:rFonts w:ascii="Arial" w:hAnsi="Arial" w:cs="Arial"/>
          <w:sz w:val="20"/>
          <w:szCs w:val="20"/>
        </w:rPr>
        <w:t xml:space="preserve">also </w:t>
      </w:r>
      <w:r w:rsidR="00873D7D">
        <w:rPr>
          <w:rFonts w:ascii="Arial" w:hAnsi="Arial" w:cs="Arial"/>
          <w:sz w:val="20"/>
          <w:szCs w:val="20"/>
        </w:rPr>
        <w:t>comply with</w:t>
      </w:r>
      <w:r>
        <w:rPr>
          <w:rFonts w:ascii="Arial" w:hAnsi="Arial" w:cs="Arial"/>
          <w:sz w:val="20"/>
          <w:szCs w:val="20"/>
        </w:rPr>
        <w:t>:</w:t>
      </w:r>
    </w:p>
    <w:p w14:paraId="164A7D76" w14:textId="13E75D86" w:rsidR="005657BD" w:rsidRDefault="005657BD" w:rsidP="00DB3D51">
      <w:pPr>
        <w:rPr>
          <w:rFonts w:ascii="Arial" w:hAnsi="Arial" w:cs="Arial"/>
          <w:sz w:val="20"/>
          <w:szCs w:val="20"/>
        </w:rPr>
      </w:pPr>
      <w:bookmarkStart w:id="23" w:name="_Hlk37410636"/>
    </w:p>
    <w:p w14:paraId="59A4D660" w14:textId="30CB085B" w:rsidR="005657BD" w:rsidRPr="005657BD" w:rsidRDefault="005657BD" w:rsidP="006B223F">
      <w:pPr>
        <w:pStyle w:val="ListParagraph"/>
        <w:numPr>
          <w:ilvl w:val="0"/>
          <w:numId w:val="48"/>
        </w:numPr>
        <w:rPr>
          <w:rFonts w:eastAsia="Cambria"/>
          <w:b/>
          <w:color w:val="007DC3"/>
          <w:sz w:val="20"/>
          <w:szCs w:val="20"/>
        </w:rPr>
      </w:pPr>
      <w:r>
        <w:rPr>
          <w:sz w:val="20"/>
          <w:szCs w:val="20"/>
        </w:rPr>
        <w:t xml:space="preserve">the Board’s </w:t>
      </w:r>
      <w:r w:rsidRPr="004E703B">
        <w:rPr>
          <w:i/>
          <w:sz w:val="20"/>
          <w:szCs w:val="20"/>
        </w:rPr>
        <w:t>Registration Standard: Endorsement for Scheduled Medicines</w:t>
      </w:r>
      <w:r>
        <w:rPr>
          <w:sz w:val="20"/>
          <w:szCs w:val="20"/>
        </w:rPr>
        <w:t xml:space="preserve"> </w:t>
      </w:r>
    </w:p>
    <w:p w14:paraId="7785B5F8" w14:textId="780C6040" w:rsidR="005657BD" w:rsidRPr="005657BD" w:rsidRDefault="005657BD" w:rsidP="006B223F">
      <w:pPr>
        <w:pStyle w:val="ListParagraph"/>
        <w:numPr>
          <w:ilvl w:val="0"/>
          <w:numId w:val="48"/>
        </w:numPr>
        <w:rPr>
          <w:rFonts w:eastAsia="Cambria"/>
          <w:b/>
          <w:color w:val="007DC3"/>
          <w:sz w:val="20"/>
          <w:szCs w:val="20"/>
        </w:rPr>
      </w:pPr>
      <w:r>
        <w:rPr>
          <w:sz w:val="20"/>
          <w:szCs w:val="20"/>
        </w:rPr>
        <w:t xml:space="preserve">the Board’s </w:t>
      </w:r>
      <w:r w:rsidRPr="004E703B">
        <w:rPr>
          <w:i/>
          <w:sz w:val="20"/>
          <w:szCs w:val="20"/>
        </w:rPr>
        <w:t>Guidelines: Endorsement for Scheduled Medicines</w:t>
      </w:r>
    </w:p>
    <w:bookmarkEnd w:id="22"/>
    <w:bookmarkEnd w:id="23"/>
    <w:p w14:paraId="6FA6009F" w14:textId="77777777" w:rsidR="00D1622A" w:rsidRDefault="00D1622A">
      <w:pPr>
        <w:spacing w:after="200" w:line="276" w:lineRule="auto"/>
        <w:rPr>
          <w:rFonts w:ascii="Arial" w:eastAsia="Cambria" w:hAnsi="Arial" w:cs="Arial"/>
          <w:b/>
          <w:color w:val="007DC3"/>
        </w:rPr>
      </w:pPr>
      <w:r>
        <w:rPr>
          <w:rFonts w:ascii="Arial" w:eastAsia="Cambria" w:hAnsi="Arial" w:cs="Arial"/>
          <w:b/>
          <w:color w:val="007DC3"/>
        </w:rPr>
        <w:br w:type="page"/>
      </w:r>
    </w:p>
    <w:p w14:paraId="70863950" w14:textId="11F7EF5A" w:rsidR="002A24E3" w:rsidRPr="002838B3" w:rsidRDefault="002A24E3" w:rsidP="002838B3">
      <w:pPr>
        <w:pStyle w:val="Heading2"/>
        <w:spacing w:before="200" w:after="200"/>
        <w:rPr>
          <w:rFonts w:ascii="Arial" w:hAnsi="Arial"/>
          <w:i w:val="0"/>
          <w:color w:val="007DC3"/>
        </w:rPr>
      </w:pPr>
      <w:bookmarkStart w:id="24" w:name="_Toc55994917"/>
      <w:r w:rsidRPr="002838B3">
        <w:rPr>
          <w:rFonts w:ascii="Arial" w:hAnsi="Arial"/>
          <w:i w:val="0"/>
          <w:color w:val="007DC3"/>
        </w:rPr>
        <w:lastRenderedPageBreak/>
        <w:t xml:space="preserve">Standard 2: Academic governance and quality assurance </w:t>
      </w:r>
      <w:r w:rsidR="001623D2" w:rsidRPr="002838B3">
        <w:rPr>
          <w:rFonts w:ascii="Arial" w:hAnsi="Arial"/>
          <w:i w:val="0"/>
          <w:color w:val="007DC3"/>
        </w:rPr>
        <w:t>of education</w:t>
      </w:r>
      <w:bookmarkEnd w:id="24"/>
    </w:p>
    <w:p w14:paraId="1D931618" w14:textId="79FFBA80" w:rsidR="00484EAD" w:rsidRPr="004653E7" w:rsidRDefault="00634109" w:rsidP="00484EAD">
      <w:pPr>
        <w:pStyle w:val="AHPRAbodybold"/>
        <w:rPr>
          <w:sz w:val="22"/>
          <w:szCs w:val="22"/>
        </w:rPr>
      </w:pPr>
      <w:r>
        <w:rPr>
          <w:sz w:val="22"/>
          <w:szCs w:val="22"/>
          <w:lang w:eastAsia="en-AU"/>
        </w:rPr>
        <w:t xml:space="preserve">Standard statement: </w:t>
      </w:r>
      <w:r w:rsidR="00484EAD" w:rsidRPr="004653E7">
        <w:rPr>
          <w:sz w:val="22"/>
          <w:szCs w:val="22"/>
        </w:rPr>
        <w:t xml:space="preserve">Academic governance and quality improvement </w:t>
      </w:r>
      <w:r w:rsidR="002654BB" w:rsidRPr="004653E7">
        <w:rPr>
          <w:sz w:val="22"/>
          <w:szCs w:val="22"/>
        </w:rPr>
        <w:t>arrangements</w:t>
      </w:r>
      <w:r w:rsidR="00484EAD" w:rsidRPr="004653E7">
        <w:rPr>
          <w:sz w:val="22"/>
          <w:szCs w:val="22"/>
        </w:rPr>
        <w:t xml:space="preserve"> are effective in developing and implementing sustainable, high-quality education.</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402"/>
        <w:gridCol w:w="5528"/>
      </w:tblGrid>
      <w:tr w:rsidR="00484EAD" w:rsidRPr="004653E7" w14:paraId="213D9F9A" w14:textId="77777777" w:rsidTr="002A44C2">
        <w:trPr>
          <w:trHeight w:val="410"/>
          <w:tblHeader/>
        </w:trPr>
        <w:tc>
          <w:tcPr>
            <w:tcW w:w="4111" w:type="dxa"/>
            <w:gridSpan w:val="2"/>
            <w:shd w:val="clear" w:color="auto" w:fill="DBE5F1" w:themeFill="accent1" w:themeFillTint="33"/>
            <w:vAlign w:val="center"/>
          </w:tcPr>
          <w:p w14:paraId="2EC36758" w14:textId="77777777" w:rsidR="00484EAD" w:rsidRPr="004653E7" w:rsidRDefault="00484EAD" w:rsidP="00F23E41">
            <w:pPr>
              <w:spacing w:before="120" w:after="120"/>
              <w:rPr>
                <w:rFonts w:ascii="Arial" w:hAnsi="Arial" w:cs="Arial"/>
                <w:b/>
                <w:bCs/>
                <w:sz w:val="20"/>
                <w:szCs w:val="20"/>
                <w:lang w:eastAsia="en-AU"/>
              </w:rPr>
            </w:pPr>
            <w:r w:rsidRPr="004653E7">
              <w:rPr>
                <w:rFonts w:ascii="Arial" w:hAnsi="Arial" w:cs="Arial"/>
                <w:b/>
                <w:bCs/>
                <w:sz w:val="20"/>
                <w:szCs w:val="20"/>
                <w:lang w:eastAsia="en-AU"/>
              </w:rPr>
              <w:t>Criteria</w:t>
            </w:r>
          </w:p>
        </w:tc>
        <w:tc>
          <w:tcPr>
            <w:tcW w:w="5528" w:type="dxa"/>
            <w:shd w:val="clear" w:color="auto" w:fill="DBE5F1" w:themeFill="accent1" w:themeFillTint="33"/>
          </w:tcPr>
          <w:p w14:paraId="19605F88" w14:textId="77777777" w:rsidR="00484EAD" w:rsidRPr="004653E7" w:rsidRDefault="00484EAD" w:rsidP="00F23E41">
            <w:pPr>
              <w:spacing w:before="120" w:after="120"/>
              <w:rPr>
                <w:rFonts w:ascii="Arial" w:hAnsi="Arial" w:cs="Arial"/>
                <w:b/>
                <w:bCs/>
                <w:sz w:val="20"/>
                <w:szCs w:val="20"/>
                <w:lang w:eastAsia="en-AU"/>
              </w:rPr>
            </w:pPr>
            <w:r w:rsidRPr="004653E7">
              <w:rPr>
                <w:rFonts w:ascii="Arial" w:hAnsi="Arial" w:cs="Arial"/>
                <w:b/>
                <w:bCs/>
                <w:sz w:val="20"/>
                <w:szCs w:val="20"/>
                <w:lang w:eastAsia="en-AU"/>
              </w:rPr>
              <w:t>Expected information for inclusion with accreditation application/monitoring response</w:t>
            </w:r>
          </w:p>
        </w:tc>
      </w:tr>
      <w:tr w:rsidR="00484EAD" w:rsidRPr="004653E7" w14:paraId="53AFE337" w14:textId="77777777" w:rsidTr="00484EAD">
        <w:trPr>
          <w:trHeight w:val="431"/>
        </w:trPr>
        <w:tc>
          <w:tcPr>
            <w:tcW w:w="709" w:type="dxa"/>
            <w:shd w:val="clear" w:color="auto" w:fill="auto"/>
          </w:tcPr>
          <w:p w14:paraId="54209D74" w14:textId="77777777" w:rsidR="00484EAD" w:rsidRPr="004653E7" w:rsidRDefault="00484EAD" w:rsidP="00624DC5">
            <w:pPr>
              <w:rPr>
                <w:rFonts w:ascii="Arial" w:hAnsi="Arial" w:cs="Arial"/>
                <w:sz w:val="20"/>
                <w:szCs w:val="20"/>
                <w:lang w:eastAsia="en-AU"/>
              </w:rPr>
            </w:pPr>
            <w:r w:rsidRPr="004653E7">
              <w:rPr>
                <w:rFonts w:ascii="Arial" w:hAnsi="Arial" w:cs="Arial"/>
                <w:sz w:val="20"/>
                <w:szCs w:val="20"/>
                <w:lang w:eastAsia="en-AU"/>
              </w:rPr>
              <w:t>2.1</w:t>
            </w:r>
          </w:p>
        </w:tc>
        <w:tc>
          <w:tcPr>
            <w:tcW w:w="3402" w:type="dxa"/>
            <w:shd w:val="clear" w:color="auto" w:fill="auto"/>
          </w:tcPr>
          <w:p w14:paraId="02454210" w14:textId="7C066B7A" w:rsidR="00484EAD" w:rsidRPr="004653E7" w:rsidRDefault="00484EAD" w:rsidP="00624DC5">
            <w:pPr>
              <w:rPr>
                <w:rFonts w:ascii="Arial" w:hAnsi="Arial" w:cs="Arial"/>
                <w:sz w:val="20"/>
                <w:szCs w:val="20"/>
                <w:lang w:eastAsia="en-AU"/>
              </w:rPr>
            </w:pPr>
            <w:r w:rsidRPr="004653E7">
              <w:rPr>
                <w:rFonts w:ascii="Arial" w:hAnsi="Arial" w:cs="Arial"/>
                <w:sz w:val="20"/>
                <w:szCs w:val="20"/>
                <w:lang w:eastAsia="en-AU"/>
              </w:rPr>
              <w:t xml:space="preserve">The education provider is currently registered with </w:t>
            </w:r>
            <w:r w:rsidR="00D71A89">
              <w:rPr>
                <w:rFonts w:ascii="Arial" w:hAnsi="Arial" w:cs="Arial"/>
                <w:sz w:val="20"/>
                <w:szCs w:val="20"/>
                <w:lang w:eastAsia="en-AU"/>
              </w:rPr>
              <w:t xml:space="preserve">the </w:t>
            </w:r>
            <w:r w:rsidR="00D71A89" w:rsidRPr="004653E7">
              <w:rPr>
                <w:rFonts w:ascii="Arial" w:hAnsi="Arial" w:cs="Arial"/>
                <w:sz w:val="20"/>
                <w:szCs w:val="20"/>
              </w:rPr>
              <w:t xml:space="preserve">Tertiary Education Quality Standards Agency </w:t>
            </w:r>
            <w:r w:rsidR="00D71A89">
              <w:rPr>
                <w:rFonts w:ascii="Arial" w:hAnsi="Arial" w:cs="Arial"/>
                <w:sz w:val="20"/>
                <w:szCs w:val="20"/>
              </w:rPr>
              <w:t>(</w:t>
            </w:r>
            <w:r w:rsidRPr="004653E7">
              <w:rPr>
                <w:rFonts w:ascii="Arial" w:hAnsi="Arial" w:cs="Arial"/>
                <w:sz w:val="20"/>
                <w:szCs w:val="20"/>
                <w:lang w:eastAsia="en-AU"/>
              </w:rPr>
              <w:t>TEQSA</w:t>
            </w:r>
            <w:r w:rsidR="00D71A89">
              <w:rPr>
                <w:rFonts w:ascii="Arial" w:hAnsi="Arial" w:cs="Arial"/>
                <w:sz w:val="20"/>
                <w:szCs w:val="20"/>
                <w:lang w:eastAsia="en-AU"/>
              </w:rPr>
              <w:t>)</w:t>
            </w:r>
            <w:r w:rsidRPr="004653E7">
              <w:rPr>
                <w:rFonts w:ascii="Arial" w:hAnsi="Arial" w:cs="Arial"/>
                <w:sz w:val="20"/>
                <w:szCs w:val="20"/>
                <w:lang w:eastAsia="en-AU"/>
              </w:rPr>
              <w:t>.</w:t>
            </w:r>
          </w:p>
        </w:tc>
        <w:tc>
          <w:tcPr>
            <w:tcW w:w="5528" w:type="dxa"/>
          </w:tcPr>
          <w:p w14:paraId="360407E6" w14:textId="73C7BA0F" w:rsidR="00484EAD" w:rsidRPr="004653E7" w:rsidRDefault="00484EAD" w:rsidP="006B223F">
            <w:pPr>
              <w:pStyle w:val="ListParagraph"/>
              <w:numPr>
                <w:ilvl w:val="0"/>
                <w:numId w:val="12"/>
              </w:numPr>
              <w:jc w:val="left"/>
              <w:rPr>
                <w:sz w:val="20"/>
                <w:szCs w:val="20"/>
              </w:rPr>
            </w:pPr>
            <w:r w:rsidRPr="004653E7">
              <w:rPr>
                <w:sz w:val="20"/>
                <w:szCs w:val="20"/>
              </w:rPr>
              <w:t>Copy of written notice of decision from TEQSA on registration.</w:t>
            </w:r>
          </w:p>
        </w:tc>
      </w:tr>
      <w:tr w:rsidR="00484EAD" w:rsidRPr="004653E7" w14:paraId="3F2A9B8D" w14:textId="77777777" w:rsidTr="00484EAD">
        <w:trPr>
          <w:trHeight w:val="431"/>
        </w:trPr>
        <w:tc>
          <w:tcPr>
            <w:tcW w:w="709" w:type="dxa"/>
            <w:shd w:val="clear" w:color="auto" w:fill="auto"/>
          </w:tcPr>
          <w:p w14:paraId="1DAC8B9A" w14:textId="77777777" w:rsidR="00484EAD" w:rsidRPr="004653E7" w:rsidRDefault="00484EAD" w:rsidP="00624635">
            <w:pPr>
              <w:rPr>
                <w:rFonts w:ascii="Arial" w:hAnsi="Arial" w:cs="Arial"/>
                <w:sz w:val="20"/>
                <w:szCs w:val="20"/>
                <w:lang w:eastAsia="en-AU"/>
              </w:rPr>
            </w:pPr>
            <w:bookmarkStart w:id="25" w:name="_Hlk37938769"/>
            <w:r w:rsidRPr="004653E7">
              <w:rPr>
                <w:rFonts w:ascii="Arial" w:hAnsi="Arial" w:cs="Arial"/>
                <w:sz w:val="20"/>
                <w:szCs w:val="20"/>
                <w:lang w:eastAsia="en-AU"/>
              </w:rPr>
              <w:t>2.2</w:t>
            </w:r>
          </w:p>
        </w:tc>
        <w:tc>
          <w:tcPr>
            <w:tcW w:w="3402" w:type="dxa"/>
            <w:shd w:val="clear" w:color="auto" w:fill="auto"/>
          </w:tcPr>
          <w:p w14:paraId="7F744585" w14:textId="147BDB59" w:rsidR="00484EAD" w:rsidRPr="004653E7" w:rsidRDefault="00484EAD" w:rsidP="00624635">
            <w:pPr>
              <w:rPr>
                <w:rFonts w:ascii="Arial" w:hAnsi="Arial" w:cs="Arial"/>
                <w:b/>
                <w:sz w:val="20"/>
                <w:szCs w:val="20"/>
                <w:lang w:eastAsia="en-AU"/>
              </w:rPr>
            </w:pPr>
            <w:r w:rsidRPr="004653E7">
              <w:rPr>
                <w:rFonts w:ascii="Arial" w:hAnsi="Arial" w:cs="Arial"/>
                <w:sz w:val="20"/>
                <w:szCs w:val="20"/>
                <w:lang w:eastAsia="en-AU"/>
              </w:rPr>
              <w:t xml:space="preserve">The </w:t>
            </w:r>
            <w:r w:rsidR="001623D2">
              <w:rPr>
                <w:rFonts w:ascii="Arial" w:hAnsi="Arial" w:cs="Arial"/>
                <w:sz w:val="20"/>
                <w:szCs w:val="20"/>
                <w:lang w:eastAsia="en-AU"/>
              </w:rPr>
              <w:t>podiatry scheduled medicines</w:t>
            </w:r>
            <w:r w:rsidR="00DF3FB8">
              <w:rPr>
                <w:rFonts w:ascii="Arial" w:hAnsi="Arial" w:cs="Arial"/>
                <w:sz w:val="20"/>
                <w:szCs w:val="20"/>
                <w:lang w:eastAsia="en-AU"/>
              </w:rPr>
              <w:t xml:space="preserve"> program</w:t>
            </w:r>
            <w:r w:rsidR="001623D2">
              <w:rPr>
                <w:rFonts w:ascii="Arial" w:hAnsi="Arial" w:cs="Arial"/>
                <w:sz w:val="20"/>
                <w:szCs w:val="20"/>
                <w:lang w:eastAsia="en-AU"/>
              </w:rPr>
              <w:t xml:space="preserve"> </w:t>
            </w:r>
            <w:r w:rsidRPr="004653E7">
              <w:rPr>
                <w:rFonts w:ascii="Arial" w:hAnsi="Arial" w:cs="Arial"/>
                <w:sz w:val="20"/>
                <w:szCs w:val="20"/>
                <w:lang w:eastAsia="en-AU"/>
              </w:rPr>
              <w:t>has been approved by the education provider</w:t>
            </w:r>
            <w:r w:rsidR="00524B89">
              <w:rPr>
                <w:rFonts w:ascii="Arial" w:hAnsi="Arial" w:cs="Arial"/>
                <w:sz w:val="20"/>
                <w:szCs w:val="20"/>
                <w:lang w:eastAsia="en-AU"/>
              </w:rPr>
              <w:t>’s relevant</w:t>
            </w:r>
            <w:r w:rsidRPr="004653E7">
              <w:rPr>
                <w:rFonts w:ascii="Arial" w:hAnsi="Arial" w:cs="Arial"/>
                <w:sz w:val="20"/>
                <w:szCs w:val="20"/>
                <w:lang w:eastAsia="en-AU"/>
              </w:rPr>
              <w:t xml:space="preserve"> board or committee.</w:t>
            </w:r>
          </w:p>
        </w:tc>
        <w:tc>
          <w:tcPr>
            <w:tcW w:w="5528" w:type="dxa"/>
          </w:tcPr>
          <w:p w14:paraId="05CA55AE" w14:textId="1D56146B" w:rsidR="00D70455" w:rsidRPr="005A4271" w:rsidRDefault="005E566E" w:rsidP="006B223F">
            <w:pPr>
              <w:pStyle w:val="ListParagraph"/>
              <w:numPr>
                <w:ilvl w:val="0"/>
                <w:numId w:val="12"/>
              </w:numPr>
              <w:jc w:val="left"/>
              <w:rPr>
                <w:sz w:val="20"/>
                <w:szCs w:val="20"/>
              </w:rPr>
            </w:pPr>
            <w:r>
              <w:rPr>
                <w:sz w:val="20"/>
                <w:szCs w:val="20"/>
              </w:rPr>
              <w:t>C</w:t>
            </w:r>
            <w:r w:rsidR="00484EAD" w:rsidRPr="005A4271">
              <w:rPr>
                <w:sz w:val="20"/>
                <w:szCs w:val="20"/>
              </w:rPr>
              <w:t>opy of the approval decision</w:t>
            </w:r>
            <w:r w:rsidR="006968FC" w:rsidRPr="005A4271">
              <w:rPr>
                <w:sz w:val="20"/>
                <w:szCs w:val="20"/>
              </w:rPr>
              <w:t xml:space="preserve"> made</w:t>
            </w:r>
            <w:r w:rsidR="00484EAD" w:rsidRPr="005A4271">
              <w:rPr>
                <w:sz w:val="20"/>
                <w:szCs w:val="20"/>
              </w:rPr>
              <w:t xml:space="preserve"> by the </w:t>
            </w:r>
            <w:r w:rsidR="006968FC" w:rsidRPr="005A4271">
              <w:rPr>
                <w:sz w:val="20"/>
                <w:szCs w:val="20"/>
              </w:rPr>
              <w:t xml:space="preserve">education provider’s </w:t>
            </w:r>
            <w:r w:rsidR="00484EAD" w:rsidRPr="005A4271">
              <w:rPr>
                <w:sz w:val="20"/>
                <w:szCs w:val="20"/>
              </w:rPr>
              <w:t xml:space="preserve">relevant board or committee, such as </w:t>
            </w:r>
            <w:r w:rsidR="00D70455" w:rsidRPr="005A4271">
              <w:rPr>
                <w:sz w:val="20"/>
                <w:szCs w:val="20"/>
              </w:rPr>
              <w:t>a record of resolution in meeting minutes</w:t>
            </w:r>
          </w:p>
          <w:p w14:paraId="3E45B300" w14:textId="0A5A1255" w:rsidR="00D70455" w:rsidRPr="005A4271" w:rsidRDefault="005E566E" w:rsidP="006B223F">
            <w:pPr>
              <w:pStyle w:val="ListParagraph"/>
              <w:numPr>
                <w:ilvl w:val="0"/>
                <w:numId w:val="12"/>
              </w:numPr>
              <w:jc w:val="left"/>
              <w:rPr>
                <w:sz w:val="20"/>
                <w:szCs w:val="20"/>
              </w:rPr>
            </w:pPr>
            <w:r>
              <w:rPr>
                <w:sz w:val="20"/>
                <w:szCs w:val="20"/>
              </w:rPr>
              <w:t>D</w:t>
            </w:r>
            <w:r w:rsidRPr="004653E7">
              <w:rPr>
                <w:sz w:val="20"/>
                <w:szCs w:val="20"/>
              </w:rPr>
              <w:t xml:space="preserve">isclosure </w:t>
            </w:r>
            <w:r w:rsidR="00484EAD" w:rsidRPr="004653E7">
              <w:rPr>
                <w:sz w:val="20"/>
                <w:szCs w:val="20"/>
              </w:rPr>
              <w:t xml:space="preserve">of any issues concerning the </w:t>
            </w:r>
            <w:bookmarkStart w:id="26" w:name="_Hlk37927970"/>
            <w:r w:rsidR="001623D2">
              <w:rPr>
                <w:sz w:val="20"/>
                <w:szCs w:val="20"/>
              </w:rPr>
              <w:t>podiatry scheduled medicines education</w:t>
            </w:r>
            <w:r w:rsidR="001623D2" w:rsidRPr="004653E7">
              <w:rPr>
                <w:sz w:val="20"/>
                <w:szCs w:val="20"/>
              </w:rPr>
              <w:t xml:space="preserve"> </w:t>
            </w:r>
            <w:bookmarkEnd w:id="26"/>
            <w:r w:rsidR="00484EAD" w:rsidRPr="004653E7">
              <w:rPr>
                <w:sz w:val="20"/>
                <w:szCs w:val="20"/>
              </w:rPr>
              <w:t xml:space="preserve">that the board or committee has identified, </w:t>
            </w:r>
            <w:r w:rsidR="00D70455" w:rsidRPr="004653E7">
              <w:rPr>
                <w:sz w:val="20"/>
                <w:szCs w:val="20"/>
              </w:rPr>
              <w:t>and</w:t>
            </w:r>
          </w:p>
          <w:p w14:paraId="12F0E916" w14:textId="3C7E08F7" w:rsidR="00484EAD" w:rsidRPr="005A4271" w:rsidRDefault="005E566E" w:rsidP="006B223F">
            <w:pPr>
              <w:pStyle w:val="ListParagraph"/>
              <w:numPr>
                <w:ilvl w:val="0"/>
                <w:numId w:val="12"/>
              </w:numPr>
              <w:jc w:val="left"/>
              <w:rPr>
                <w:sz w:val="20"/>
                <w:szCs w:val="20"/>
              </w:rPr>
            </w:pPr>
            <w:r>
              <w:rPr>
                <w:sz w:val="20"/>
                <w:szCs w:val="20"/>
              </w:rPr>
              <w:t>S</w:t>
            </w:r>
            <w:r w:rsidR="00484EAD" w:rsidRPr="004653E7">
              <w:rPr>
                <w:sz w:val="20"/>
                <w:szCs w:val="20"/>
              </w:rPr>
              <w:t>ubsequent dialogue with the board</w:t>
            </w:r>
            <w:r w:rsidR="00B07DB5" w:rsidRPr="004653E7">
              <w:rPr>
                <w:sz w:val="20"/>
                <w:szCs w:val="20"/>
              </w:rPr>
              <w:t xml:space="preserve"> or </w:t>
            </w:r>
            <w:r w:rsidR="00484EAD" w:rsidRPr="004653E7">
              <w:rPr>
                <w:sz w:val="20"/>
                <w:szCs w:val="20"/>
              </w:rPr>
              <w:t xml:space="preserve">committee about </w:t>
            </w:r>
            <w:r w:rsidR="00B07DB5" w:rsidRPr="004653E7">
              <w:rPr>
                <w:sz w:val="20"/>
                <w:szCs w:val="20"/>
              </w:rPr>
              <w:t>addressing</w:t>
            </w:r>
            <w:r w:rsidR="00941902" w:rsidRPr="004653E7">
              <w:rPr>
                <w:sz w:val="20"/>
                <w:szCs w:val="20"/>
              </w:rPr>
              <w:t xml:space="preserve"> the</w:t>
            </w:r>
            <w:r w:rsidR="00484EAD" w:rsidRPr="004653E7">
              <w:rPr>
                <w:sz w:val="20"/>
                <w:szCs w:val="20"/>
              </w:rPr>
              <w:t xml:space="preserve"> issues.</w:t>
            </w:r>
          </w:p>
        </w:tc>
      </w:tr>
      <w:bookmarkEnd w:id="25"/>
      <w:tr w:rsidR="00484EAD" w:rsidRPr="004653E7" w14:paraId="42A53E3B" w14:textId="77777777" w:rsidTr="00484EAD">
        <w:trPr>
          <w:trHeight w:val="431"/>
        </w:trPr>
        <w:tc>
          <w:tcPr>
            <w:tcW w:w="709" w:type="dxa"/>
            <w:shd w:val="clear" w:color="auto" w:fill="auto"/>
          </w:tcPr>
          <w:p w14:paraId="609E50A7" w14:textId="77777777" w:rsidR="00484EAD" w:rsidRPr="004653E7" w:rsidRDefault="00484EAD" w:rsidP="00BF1E99">
            <w:pPr>
              <w:rPr>
                <w:rFonts w:ascii="Arial" w:hAnsi="Arial" w:cs="Arial"/>
                <w:sz w:val="20"/>
                <w:szCs w:val="20"/>
                <w:lang w:eastAsia="en-AU"/>
              </w:rPr>
            </w:pPr>
            <w:r w:rsidRPr="004653E7">
              <w:rPr>
                <w:rFonts w:ascii="Arial" w:hAnsi="Arial" w:cs="Arial"/>
                <w:sz w:val="20"/>
                <w:szCs w:val="20"/>
                <w:lang w:eastAsia="en-AU"/>
              </w:rPr>
              <w:t>2.3</w:t>
            </w:r>
          </w:p>
        </w:tc>
        <w:tc>
          <w:tcPr>
            <w:tcW w:w="3402" w:type="dxa"/>
            <w:shd w:val="clear" w:color="auto" w:fill="auto"/>
          </w:tcPr>
          <w:p w14:paraId="34890E1B" w14:textId="38E534F2" w:rsidR="00484EAD" w:rsidRPr="004653E7" w:rsidRDefault="006968FC" w:rsidP="00BF1E99">
            <w:pPr>
              <w:rPr>
                <w:rFonts w:ascii="Arial" w:hAnsi="Arial" w:cs="Arial"/>
                <w:sz w:val="20"/>
                <w:szCs w:val="20"/>
                <w:lang w:eastAsia="en-AU"/>
              </w:rPr>
            </w:pPr>
            <w:r w:rsidRPr="004653E7">
              <w:rPr>
                <w:rFonts w:ascii="Arial" w:hAnsi="Arial" w:cs="Arial"/>
                <w:sz w:val="20"/>
                <w:szCs w:val="20"/>
                <w:lang w:eastAsia="en-AU"/>
              </w:rPr>
              <w:t xml:space="preserve">The </w:t>
            </w:r>
            <w:r w:rsidR="00484EAD" w:rsidRPr="004653E7">
              <w:rPr>
                <w:rFonts w:ascii="Arial" w:hAnsi="Arial" w:cs="Arial"/>
                <w:sz w:val="20"/>
                <w:szCs w:val="20"/>
                <w:lang w:eastAsia="en-AU"/>
              </w:rPr>
              <w:t xml:space="preserve">relevant education provider board or committee has approved the </w:t>
            </w:r>
            <w:r w:rsidRPr="004653E7">
              <w:rPr>
                <w:rFonts w:ascii="Arial" w:hAnsi="Arial" w:cs="Arial"/>
                <w:sz w:val="20"/>
                <w:szCs w:val="20"/>
                <w:lang w:eastAsia="en-AU"/>
              </w:rPr>
              <w:t>Australian Qualifications Framework (</w:t>
            </w:r>
            <w:r w:rsidR="00484EAD" w:rsidRPr="004653E7">
              <w:rPr>
                <w:rFonts w:ascii="Arial" w:hAnsi="Arial" w:cs="Arial"/>
                <w:sz w:val="20"/>
                <w:szCs w:val="20"/>
                <w:lang w:eastAsia="en-AU"/>
              </w:rPr>
              <w:t>AQF</w:t>
            </w:r>
            <w:r w:rsidRPr="004653E7">
              <w:rPr>
                <w:rFonts w:ascii="Arial" w:hAnsi="Arial" w:cs="Arial"/>
                <w:sz w:val="20"/>
                <w:szCs w:val="20"/>
                <w:lang w:eastAsia="en-AU"/>
              </w:rPr>
              <w:t>)</w:t>
            </w:r>
            <w:r w:rsidR="00484EAD" w:rsidRPr="004653E7">
              <w:rPr>
                <w:rFonts w:ascii="Arial" w:hAnsi="Arial" w:cs="Arial"/>
                <w:sz w:val="20"/>
                <w:szCs w:val="20"/>
                <w:lang w:eastAsia="en-AU"/>
              </w:rPr>
              <w:t xml:space="preserve"> level</w:t>
            </w:r>
            <w:r w:rsidR="00BA3715">
              <w:rPr>
                <w:rFonts w:ascii="Arial" w:hAnsi="Arial" w:cs="Arial"/>
                <w:sz w:val="20"/>
                <w:szCs w:val="20"/>
                <w:lang w:eastAsia="en-AU"/>
              </w:rPr>
              <w:t xml:space="preserve"> of the </w:t>
            </w:r>
            <w:r w:rsidR="00DF3FB8">
              <w:rPr>
                <w:rFonts w:ascii="Arial" w:hAnsi="Arial" w:cs="Arial"/>
                <w:sz w:val="20"/>
                <w:szCs w:val="20"/>
                <w:lang w:eastAsia="en-AU"/>
              </w:rPr>
              <w:t>program</w:t>
            </w:r>
            <w:r w:rsidR="00BA3715">
              <w:rPr>
                <w:rFonts w:ascii="Arial" w:hAnsi="Arial" w:cs="Arial"/>
                <w:sz w:val="20"/>
                <w:szCs w:val="20"/>
                <w:lang w:eastAsia="en-AU"/>
              </w:rPr>
              <w:t xml:space="preserve"> at</w:t>
            </w:r>
            <w:r w:rsidR="00484EAD" w:rsidRPr="004653E7">
              <w:rPr>
                <w:rFonts w:ascii="Arial" w:hAnsi="Arial" w:cs="Arial"/>
                <w:sz w:val="20"/>
                <w:szCs w:val="20"/>
                <w:lang w:eastAsia="en-AU"/>
              </w:rPr>
              <w:t xml:space="preserve"> </w:t>
            </w:r>
            <w:r w:rsidR="00076772">
              <w:rPr>
                <w:rFonts w:ascii="Arial" w:hAnsi="Arial" w:cs="Arial"/>
                <w:sz w:val="20"/>
                <w:szCs w:val="20"/>
                <w:lang w:eastAsia="en-AU"/>
              </w:rPr>
              <w:t xml:space="preserve">the equivalent of </w:t>
            </w:r>
            <w:r w:rsidR="00484EAD" w:rsidRPr="004653E7">
              <w:rPr>
                <w:rFonts w:ascii="Arial" w:hAnsi="Arial" w:cs="Arial"/>
                <w:sz w:val="20"/>
                <w:szCs w:val="20"/>
                <w:lang w:eastAsia="en-AU"/>
              </w:rPr>
              <w:t>AQF Level 7 or higher.</w:t>
            </w:r>
          </w:p>
        </w:tc>
        <w:tc>
          <w:tcPr>
            <w:tcW w:w="5528" w:type="dxa"/>
          </w:tcPr>
          <w:p w14:paraId="08EEE9D2" w14:textId="34DD5249" w:rsidR="00484EAD" w:rsidRPr="004653E7" w:rsidRDefault="002242F4" w:rsidP="006B223F">
            <w:pPr>
              <w:pStyle w:val="ListParagraph"/>
              <w:numPr>
                <w:ilvl w:val="0"/>
                <w:numId w:val="35"/>
              </w:numPr>
              <w:jc w:val="left"/>
              <w:rPr>
                <w:sz w:val="20"/>
                <w:szCs w:val="20"/>
              </w:rPr>
            </w:pPr>
            <w:r>
              <w:rPr>
                <w:rFonts w:eastAsia="MS Mincho"/>
                <w:sz w:val="20"/>
                <w:szCs w:val="20"/>
              </w:rPr>
              <w:t>E</w:t>
            </w:r>
            <w:r w:rsidR="00484EAD" w:rsidRPr="004653E7">
              <w:rPr>
                <w:rFonts w:eastAsia="MS Mincho"/>
                <w:sz w:val="20"/>
                <w:szCs w:val="20"/>
              </w:rPr>
              <w:t>ducation provider</w:t>
            </w:r>
            <w:r w:rsidR="006968FC" w:rsidRPr="004653E7">
              <w:rPr>
                <w:rFonts w:eastAsia="MS Mincho"/>
                <w:sz w:val="20"/>
                <w:szCs w:val="20"/>
              </w:rPr>
              <w:t>’s relevant board or committee</w:t>
            </w:r>
            <w:r w:rsidR="00484EAD" w:rsidRPr="004653E7">
              <w:rPr>
                <w:rFonts w:eastAsia="MS Mincho"/>
                <w:sz w:val="20"/>
                <w:szCs w:val="20"/>
              </w:rPr>
              <w:t xml:space="preserve"> approval</w:t>
            </w:r>
            <w:r w:rsidR="003C5807" w:rsidRPr="004653E7">
              <w:rPr>
                <w:rFonts w:eastAsia="MS Mincho"/>
                <w:sz w:val="20"/>
                <w:szCs w:val="20"/>
              </w:rPr>
              <w:t xml:space="preserve"> </w:t>
            </w:r>
            <w:r w:rsidR="00484EAD" w:rsidRPr="004653E7">
              <w:rPr>
                <w:rFonts w:eastAsia="MS Mincho"/>
                <w:sz w:val="20"/>
                <w:szCs w:val="20"/>
              </w:rPr>
              <w:t xml:space="preserve">of the AQF </w:t>
            </w:r>
            <w:r w:rsidR="00FD2B92" w:rsidRPr="004653E7">
              <w:rPr>
                <w:rFonts w:eastAsia="MS Mincho"/>
                <w:sz w:val="20"/>
                <w:szCs w:val="20"/>
              </w:rPr>
              <w:t>level</w:t>
            </w:r>
            <w:r w:rsidR="00FD2B92">
              <w:rPr>
                <w:rFonts w:eastAsia="MS Mincho"/>
                <w:sz w:val="20"/>
                <w:szCs w:val="20"/>
              </w:rPr>
              <w:t>.</w:t>
            </w:r>
          </w:p>
          <w:p w14:paraId="508CBFC1" w14:textId="77777777" w:rsidR="00484EAD" w:rsidRPr="004653E7" w:rsidRDefault="00484EAD" w:rsidP="00BF1E99">
            <w:pPr>
              <w:rPr>
                <w:sz w:val="20"/>
                <w:szCs w:val="20"/>
              </w:rPr>
            </w:pPr>
          </w:p>
        </w:tc>
      </w:tr>
      <w:tr w:rsidR="00484EAD" w:rsidRPr="004653E7" w14:paraId="7582D1CF" w14:textId="77777777" w:rsidTr="00484EAD">
        <w:trPr>
          <w:trHeight w:val="334"/>
        </w:trPr>
        <w:tc>
          <w:tcPr>
            <w:tcW w:w="709" w:type="dxa"/>
            <w:shd w:val="clear" w:color="auto" w:fill="auto"/>
          </w:tcPr>
          <w:p w14:paraId="1C83ABA9" w14:textId="38CDE626" w:rsidR="00484EAD" w:rsidRPr="004653E7" w:rsidRDefault="00484EAD" w:rsidP="00BF1E99">
            <w:pPr>
              <w:rPr>
                <w:rFonts w:ascii="Arial" w:hAnsi="Arial" w:cs="Arial"/>
                <w:sz w:val="20"/>
                <w:szCs w:val="20"/>
                <w:lang w:eastAsia="en-AU"/>
              </w:rPr>
            </w:pPr>
            <w:r w:rsidRPr="004653E7">
              <w:rPr>
                <w:rFonts w:ascii="Arial" w:hAnsi="Arial" w:cs="Arial"/>
                <w:sz w:val="20"/>
                <w:szCs w:val="20"/>
                <w:lang w:eastAsia="en-AU"/>
              </w:rPr>
              <w:t>2.</w:t>
            </w:r>
            <w:r w:rsidR="00E21A05">
              <w:rPr>
                <w:rFonts w:ascii="Arial" w:hAnsi="Arial" w:cs="Arial"/>
                <w:sz w:val="20"/>
                <w:szCs w:val="20"/>
                <w:lang w:eastAsia="en-AU"/>
              </w:rPr>
              <w:t>4</w:t>
            </w:r>
          </w:p>
        </w:tc>
        <w:tc>
          <w:tcPr>
            <w:tcW w:w="3402" w:type="dxa"/>
            <w:shd w:val="clear" w:color="auto" w:fill="auto"/>
          </w:tcPr>
          <w:p w14:paraId="025D3456" w14:textId="4C2D0C2B" w:rsidR="00484EAD" w:rsidRPr="004653E7" w:rsidRDefault="00484EAD" w:rsidP="00BF1E99">
            <w:pPr>
              <w:rPr>
                <w:rFonts w:ascii="Arial" w:hAnsi="Arial" w:cs="Arial"/>
                <w:sz w:val="20"/>
                <w:szCs w:val="20"/>
                <w:lang w:eastAsia="en-AU"/>
              </w:rPr>
            </w:pPr>
            <w:r w:rsidRPr="004653E7">
              <w:rPr>
                <w:rFonts w:ascii="Arial" w:hAnsi="Arial" w:cs="Arial"/>
                <w:sz w:val="20"/>
                <w:szCs w:val="20"/>
                <w:lang w:eastAsia="en-AU"/>
              </w:rPr>
              <w:t xml:space="preserve">The education provider has robust academic governance for </w:t>
            </w:r>
            <w:r w:rsidR="00DA3019">
              <w:rPr>
                <w:rFonts w:ascii="Arial" w:hAnsi="Arial" w:cs="Arial"/>
                <w:sz w:val="20"/>
                <w:szCs w:val="20"/>
                <w:lang w:eastAsia="en-AU"/>
              </w:rPr>
              <w:t>each</w:t>
            </w:r>
            <w:r w:rsidR="00DA3019" w:rsidRPr="004653E7">
              <w:rPr>
                <w:rFonts w:ascii="Arial" w:hAnsi="Arial" w:cs="Arial"/>
                <w:sz w:val="20"/>
                <w:szCs w:val="20"/>
                <w:lang w:eastAsia="en-AU"/>
              </w:rPr>
              <w:t xml:space="preserve"> </w:t>
            </w:r>
            <w:r w:rsidR="00322A34">
              <w:rPr>
                <w:rFonts w:ascii="Arial" w:hAnsi="Arial" w:cs="Arial"/>
                <w:sz w:val="20"/>
                <w:szCs w:val="20"/>
                <w:lang w:eastAsia="en-AU"/>
              </w:rPr>
              <w:t>unit/subject</w:t>
            </w:r>
            <w:r w:rsidR="00322A34" w:rsidRPr="004653E7">
              <w:rPr>
                <w:rFonts w:ascii="Arial" w:hAnsi="Arial" w:cs="Arial"/>
                <w:sz w:val="20"/>
                <w:szCs w:val="20"/>
                <w:lang w:eastAsia="en-AU"/>
              </w:rPr>
              <w:t xml:space="preserve"> </w:t>
            </w:r>
            <w:r w:rsidRPr="004653E7">
              <w:rPr>
                <w:rFonts w:ascii="Arial" w:hAnsi="Arial" w:cs="Arial"/>
                <w:sz w:val="20"/>
                <w:szCs w:val="20"/>
                <w:lang w:eastAsia="en-AU"/>
              </w:rPr>
              <w:t>that includes systematic monitoring, review and improvement, and committee</w:t>
            </w:r>
            <w:r w:rsidR="002075A1">
              <w:rPr>
                <w:rFonts w:ascii="Arial" w:hAnsi="Arial" w:cs="Arial"/>
                <w:sz w:val="20"/>
                <w:szCs w:val="20"/>
                <w:lang w:eastAsia="en-AU"/>
              </w:rPr>
              <w:t>/s</w:t>
            </w:r>
            <w:r w:rsidRPr="004653E7">
              <w:rPr>
                <w:rFonts w:ascii="Arial" w:hAnsi="Arial" w:cs="Arial"/>
                <w:sz w:val="20"/>
                <w:szCs w:val="20"/>
                <w:lang w:eastAsia="en-AU"/>
              </w:rPr>
              <w:t xml:space="preserve"> or </w:t>
            </w:r>
            <w:r w:rsidR="00E21A05">
              <w:rPr>
                <w:rFonts w:ascii="Arial" w:hAnsi="Arial" w:cs="Arial"/>
                <w:sz w:val="20"/>
                <w:szCs w:val="20"/>
                <w:lang w:eastAsia="en-AU"/>
              </w:rPr>
              <w:t xml:space="preserve">similar </w:t>
            </w:r>
            <w:r w:rsidR="007A3968" w:rsidRPr="004653E7">
              <w:rPr>
                <w:rFonts w:ascii="Arial" w:hAnsi="Arial" w:cs="Arial"/>
                <w:sz w:val="20"/>
                <w:szCs w:val="20"/>
                <w:lang w:eastAsia="en-AU"/>
              </w:rPr>
              <w:t>group</w:t>
            </w:r>
            <w:r w:rsidR="002075A1">
              <w:rPr>
                <w:rFonts w:ascii="Arial" w:hAnsi="Arial" w:cs="Arial"/>
                <w:sz w:val="20"/>
                <w:szCs w:val="20"/>
                <w:lang w:eastAsia="en-AU"/>
              </w:rPr>
              <w:t>/s</w:t>
            </w:r>
            <w:r w:rsidRPr="004653E7">
              <w:rPr>
                <w:rFonts w:ascii="Arial" w:hAnsi="Arial" w:cs="Arial"/>
                <w:sz w:val="20"/>
                <w:szCs w:val="20"/>
                <w:lang w:eastAsia="en-AU"/>
              </w:rPr>
              <w:t xml:space="preserve"> with the responsibility, authority and capacity to </w:t>
            </w:r>
            <w:r w:rsidR="00D71A89">
              <w:rPr>
                <w:rFonts w:ascii="Arial" w:hAnsi="Arial" w:cs="Arial"/>
                <w:sz w:val="20"/>
                <w:szCs w:val="20"/>
                <w:lang w:eastAsia="en-AU"/>
              </w:rPr>
              <w:t>design</w:t>
            </w:r>
            <w:r w:rsidRPr="004653E7">
              <w:rPr>
                <w:rFonts w:ascii="Arial" w:hAnsi="Arial" w:cs="Arial"/>
                <w:sz w:val="20"/>
                <w:szCs w:val="20"/>
                <w:lang w:eastAsia="en-AU"/>
              </w:rPr>
              <w:t xml:space="preserve">, implement and </w:t>
            </w:r>
            <w:r w:rsidR="00D71A89">
              <w:rPr>
                <w:rFonts w:ascii="Arial" w:hAnsi="Arial" w:cs="Arial"/>
                <w:sz w:val="20"/>
                <w:szCs w:val="20"/>
                <w:lang w:eastAsia="en-AU"/>
              </w:rPr>
              <w:t>improve</w:t>
            </w:r>
            <w:r w:rsidR="00D71A89" w:rsidRPr="004653E7">
              <w:rPr>
                <w:rFonts w:ascii="Arial" w:hAnsi="Arial" w:cs="Arial"/>
                <w:sz w:val="20"/>
                <w:szCs w:val="20"/>
                <w:lang w:eastAsia="en-AU"/>
              </w:rPr>
              <w:t xml:space="preserve"> </w:t>
            </w:r>
            <w:r w:rsidRPr="004653E7">
              <w:rPr>
                <w:rFonts w:ascii="Arial" w:hAnsi="Arial" w:cs="Arial"/>
                <w:sz w:val="20"/>
                <w:szCs w:val="20"/>
                <w:lang w:eastAsia="en-AU"/>
              </w:rPr>
              <w:t xml:space="preserve">the </w:t>
            </w:r>
            <w:r w:rsidR="00322A34">
              <w:rPr>
                <w:rFonts w:ascii="Arial" w:hAnsi="Arial" w:cs="Arial"/>
                <w:sz w:val="20"/>
                <w:szCs w:val="20"/>
                <w:lang w:eastAsia="en-AU"/>
              </w:rPr>
              <w:t>unit/subject</w:t>
            </w:r>
            <w:r w:rsidR="00322A34" w:rsidRPr="004653E7">
              <w:rPr>
                <w:rFonts w:ascii="Arial" w:hAnsi="Arial" w:cs="Arial"/>
                <w:sz w:val="20"/>
                <w:szCs w:val="20"/>
                <w:lang w:eastAsia="en-AU"/>
              </w:rPr>
              <w:t xml:space="preserve"> </w:t>
            </w:r>
            <w:r w:rsidRPr="004653E7">
              <w:rPr>
                <w:rFonts w:ascii="Arial" w:hAnsi="Arial" w:cs="Arial"/>
                <w:sz w:val="20"/>
                <w:szCs w:val="20"/>
                <w:lang w:eastAsia="en-AU"/>
              </w:rPr>
              <w:t xml:space="preserve">to meet the needs of the </w:t>
            </w:r>
            <w:r w:rsidR="00095918">
              <w:rPr>
                <w:rFonts w:ascii="Arial" w:hAnsi="Arial" w:cs="Arial"/>
                <w:sz w:val="20"/>
                <w:szCs w:val="20"/>
                <w:lang w:eastAsia="en-AU"/>
              </w:rPr>
              <w:t xml:space="preserve">podiatry </w:t>
            </w:r>
            <w:r w:rsidRPr="004653E7">
              <w:rPr>
                <w:rFonts w:ascii="Arial" w:hAnsi="Arial" w:cs="Arial"/>
                <w:sz w:val="20"/>
                <w:szCs w:val="20"/>
                <w:lang w:eastAsia="en-AU"/>
              </w:rPr>
              <w:t xml:space="preserve">profession and </w:t>
            </w:r>
            <w:r w:rsidR="005E6756" w:rsidRPr="004653E7">
              <w:rPr>
                <w:rFonts w:ascii="Arial" w:hAnsi="Arial" w:cs="Arial"/>
                <w:sz w:val="20"/>
                <w:szCs w:val="20"/>
                <w:lang w:eastAsia="en-AU"/>
              </w:rPr>
              <w:t xml:space="preserve">the </w:t>
            </w:r>
            <w:r w:rsidRPr="004653E7">
              <w:rPr>
                <w:rFonts w:ascii="Arial" w:hAnsi="Arial" w:cs="Arial"/>
                <w:sz w:val="20"/>
                <w:szCs w:val="20"/>
                <w:lang w:eastAsia="en-AU"/>
              </w:rPr>
              <w:t>health workforce.</w:t>
            </w:r>
          </w:p>
        </w:tc>
        <w:tc>
          <w:tcPr>
            <w:tcW w:w="5528" w:type="dxa"/>
          </w:tcPr>
          <w:p w14:paraId="4CAD74B9" w14:textId="7738A8CE" w:rsidR="000A4DC1" w:rsidRPr="004653E7" w:rsidRDefault="00484EAD" w:rsidP="006B223F">
            <w:pPr>
              <w:pStyle w:val="ListParagraph"/>
              <w:numPr>
                <w:ilvl w:val="0"/>
                <w:numId w:val="23"/>
              </w:numPr>
              <w:jc w:val="left"/>
              <w:rPr>
                <w:sz w:val="20"/>
                <w:szCs w:val="20"/>
              </w:rPr>
            </w:pPr>
            <w:r w:rsidRPr="004653E7">
              <w:rPr>
                <w:sz w:val="20"/>
                <w:szCs w:val="20"/>
              </w:rPr>
              <w:t xml:space="preserve">Overview of formal academic governance arrangements, including </w:t>
            </w:r>
            <w:r w:rsidR="000A4DC1" w:rsidRPr="004653E7">
              <w:rPr>
                <w:sz w:val="20"/>
                <w:szCs w:val="20"/>
              </w:rPr>
              <w:t xml:space="preserve">an organisational chart of governance for </w:t>
            </w:r>
            <w:r w:rsidR="00DA3019">
              <w:rPr>
                <w:sz w:val="20"/>
                <w:szCs w:val="20"/>
              </w:rPr>
              <w:t>each</w:t>
            </w:r>
            <w:r w:rsidR="00DA3019" w:rsidRPr="004653E7">
              <w:rPr>
                <w:sz w:val="20"/>
                <w:szCs w:val="20"/>
              </w:rPr>
              <w:t xml:space="preserve"> </w:t>
            </w:r>
            <w:r w:rsidR="00322A34">
              <w:rPr>
                <w:sz w:val="20"/>
                <w:szCs w:val="20"/>
              </w:rPr>
              <w:t>unit/subject</w:t>
            </w:r>
            <w:r w:rsidR="000A4DC1" w:rsidRPr="004653E7">
              <w:rPr>
                <w:sz w:val="20"/>
                <w:szCs w:val="20"/>
              </w:rPr>
              <w:t xml:space="preserve">. </w:t>
            </w:r>
          </w:p>
          <w:p w14:paraId="4EEABF18" w14:textId="53B0E936" w:rsidR="00484EAD" w:rsidRPr="004653E7" w:rsidRDefault="00484EAD" w:rsidP="006B223F">
            <w:pPr>
              <w:pStyle w:val="ListParagraph"/>
              <w:numPr>
                <w:ilvl w:val="0"/>
                <w:numId w:val="23"/>
              </w:numPr>
              <w:jc w:val="left"/>
              <w:rPr>
                <w:sz w:val="20"/>
                <w:szCs w:val="20"/>
              </w:rPr>
            </w:pPr>
            <w:r w:rsidRPr="004653E7">
              <w:rPr>
                <w:sz w:val="20"/>
                <w:szCs w:val="20"/>
              </w:rPr>
              <w:t xml:space="preserve">Examples of implementation of formal mechanisms relating to academic governance for </w:t>
            </w:r>
            <w:r w:rsidR="00DA3019">
              <w:rPr>
                <w:sz w:val="20"/>
                <w:szCs w:val="20"/>
              </w:rPr>
              <w:t>each</w:t>
            </w:r>
            <w:r w:rsidR="00DA3019" w:rsidRPr="004653E7">
              <w:rPr>
                <w:sz w:val="20"/>
                <w:szCs w:val="20"/>
              </w:rPr>
              <w:t xml:space="preserve"> </w:t>
            </w:r>
            <w:r w:rsidR="00322A34">
              <w:rPr>
                <w:sz w:val="20"/>
                <w:szCs w:val="20"/>
              </w:rPr>
              <w:t>unit/subject</w:t>
            </w:r>
            <w:r w:rsidRPr="004653E7">
              <w:rPr>
                <w:sz w:val="20"/>
                <w:szCs w:val="20"/>
              </w:rPr>
              <w:t>.</w:t>
            </w:r>
          </w:p>
          <w:p w14:paraId="1EB1C946" w14:textId="44EF988E" w:rsidR="00484EAD" w:rsidRPr="004653E7" w:rsidRDefault="000A4DC1" w:rsidP="006B223F">
            <w:pPr>
              <w:pStyle w:val="ListParagraph"/>
              <w:numPr>
                <w:ilvl w:val="0"/>
                <w:numId w:val="23"/>
              </w:numPr>
              <w:jc w:val="left"/>
              <w:rPr>
                <w:sz w:val="20"/>
                <w:szCs w:val="20"/>
              </w:rPr>
            </w:pPr>
            <w:r w:rsidRPr="004653E7">
              <w:rPr>
                <w:sz w:val="20"/>
                <w:szCs w:val="20"/>
              </w:rPr>
              <w:t>E</w:t>
            </w:r>
            <w:r w:rsidR="00484EAD" w:rsidRPr="004653E7">
              <w:rPr>
                <w:sz w:val="20"/>
                <w:szCs w:val="20"/>
              </w:rPr>
              <w:t xml:space="preserve">xplanation of how monitoring and review contributes to improvement in the design, implementation and quality of </w:t>
            </w:r>
            <w:r w:rsidR="00DA3019">
              <w:rPr>
                <w:sz w:val="20"/>
                <w:szCs w:val="20"/>
              </w:rPr>
              <w:t>each</w:t>
            </w:r>
            <w:r w:rsidR="00DA3019" w:rsidRPr="004653E7">
              <w:rPr>
                <w:sz w:val="20"/>
                <w:szCs w:val="20"/>
              </w:rPr>
              <w:t xml:space="preserve"> </w:t>
            </w:r>
            <w:r w:rsidR="00322A34">
              <w:rPr>
                <w:sz w:val="20"/>
                <w:szCs w:val="20"/>
              </w:rPr>
              <w:t>unit/subject</w:t>
            </w:r>
            <w:r w:rsidR="00484EAD" w:rsidRPr="004653E7">
              <w:rPr>
                <w:sz w:val="20"/>
                <w:szCs w:val="20"/>
              </w:rPr>
              <w:t>.</w:t>
            </w:r>
          </w:p>
          <w:p w14:paraId="258335D5" w14:textId="36BC548E" w:rsidR="000A4DC1" w:rsidRPr="004653E7" w:rsidRDefault="000A4DC1" w:rsidP="006B223F">
            <w:pPr>
              <w:pStyle w:val="ListParagraph"/>
              <w:numPr>
                <w:ilvl w:val="0"/>
                <w:numId w:val="23"/>
              </w:numPr>
              <w:jc w:val="left"/>
              <w:rPr>
                <w:sz w:val="20"/>
                <w:szCs w:val="20"/>
              </w:rPr>
            </w:pPr>
            <w:r w:rsidRPr="004653E7">
              <w:rPr>
                <w:sz w:val="20"/>
                <w:szCs w:val="20"/>
              </w:rPr>
              <w:t xml:space="preserve">Examples of implementation of formal mechanisms used to monitor and review the design, implementation and quality of </w:t>
            </w:r>
            <w:r w:rsidR="00DA3019">
              <w:rPr>
                <w:sz w:val="20"/>
                <w:szCs w:val="20"/>
              </w:rPr>
              <w:t>each</w:t>
            </w:r>
            <w:r w:rsidR="00DA3019" w:rsidRPr="004653E7">
              <w:rPr>
                <w:sz w:val="20"/>
                <w:szCs w:val="20"/>
              </w:rPr>
              <w:t xml:space="preserve"> </w:t>
            </w:r>
            <w:r w:rsidR="00322A34">
              <w:rPr>
                <w:sz w:val="20"/>
                <w:szCs w:val="20"/>
              </w:rPr>
              <w:t>unit/subject</w:t>
            </w:r>
            <w:r w:rsidRPr="004653E7">
              <w:rPr>
                <w:sz w:val="20"/>
                <w:szCs w:val="20"/>
              </w:rPr>
              <w:t>.</w:t>
            </w:r>
          </w:p>
          <w:p w14:paraId="35B4F715" w14:textId="7204A4AC" w:rsidR="00484EAD" w:rsidRPr="004653E7" w:rsidRDefault="00AA057F" w:rsidP="006B223F">
            <w:pPr>
              <w:pStyle w:val="ListParagraph"/>
              <w:numPr>
                <w:ilvl w:val="0"/>
                <w:numId w:val="23"/>
              </w:numPr>
              <w:jc w:val="left"/>
              <w:rPr>
                <w:sz w:val="20"/>
                <w:szCs w:val="20"/>
              </w:rPr>
            </w:pPr>
            <w:r w:rsidRPr="004653E7">
              <w:rPr>
                <w:rFonts w:eastAsia="MS Mincho"/>
                <w:sz w:val="20"/>
                <w:szCs w:val="20"/>
              </w:rPr>
              <w:t>S</w:t>
            </w:r>
            <w:r w:rsidR="00484EAD" w:rsidRPr="004653E7">
              <w:rPr>
                <w:rFonts w:eastAsia="MS Mincho"/>
                <w:sz w:val="20"/>
                <w:szCs w:val="20"/>
              </w:rPr>
              <w:t xml:space="preserve">chedule for monitoring, review and evaluation of the design, implementation and quality of </w:t>
            </w:r>
            <w:r w:rsidR="00DA3019">
              <w:rPr>
                <w:rFonts w:eastAsia="MS Mincho"/>
                <w:sz w:val="20"/>
                <w:szCs w:val="20"/>
              </w:rPr>
              <w:t>each</w:t>
            </w:r>
            <w:r w:rsidR="00DA3019" w:rsidRPr="004653E7">
              <w:rPr>
                <w:rFonts w:eastAsia="MS Mincho"/>
                <w:sz w:val="20"/>
                <w:szCs w:val="20"/>
              </w:rPr>
              <w:t xml:space="preserve"> </w:t>
            </w:r>
            <w:r w:rsidR="00322A34">
              <w:rPr>
                <w:rFonts w:eastAsia="MS Mincho"/>
                <w:sz w:val="20"/>
                <w:szCs w:val="20"/>
              </w:rPr>
              <w:t>unit/subject</w:t>
            </w:r>
            <w:r w:rsidR="00E21A05">
              <w:rPr>
                <w:rFonts w:eastAsia="MS Mincho"/>
                <w:sz w:val="20"/>
                <w:szCs w:val="20"/>
              </w:rPr>
              <w:t>, with examples of compliance from the past three years</w:t>
            </w:r>
            <w:r w:rsidR="00484EAD" w:rsidRPr="004653E7">
              <w:rPr>
                <w:rFonts w:eastAsia="MS Mincho"/>
                <w:sz w:val="20"/>
                <w:szCs w:val="20"/>
              </w:rPr>
              <w:t>.</w:t>
            </w:r>
          </w:p>
          <w:p w14:paraId="7A77BE23" w14:textId="3325B71D" w:rsidR="00484EAD" w:rsidRPr="004653E7" w:rsidRDefault="003C1893" w:rsidP="006B223F">
            <w:pPr>
              <w:pStyle w:val="ListParagraph"/>
              <w:numPr>
                <w:ilvl w:val="0"/>
                <w:numId w:val="23"/>
              </w:numPr>
              <w:jc w:val="left"/>
              <w:rPr>
                <w:sz w:val="20"/>
                <w:szCs w:val="20"/>
              </w:rPr>
            </w:pPr>
            <w:r>
              <w:rPr>
                <w:rFonts w:eastAsia="MS Mincho"/>
                <w:sz w:val="20"/>
                <w:szCs w:val="20"/>
              </w:rPr>
              <w:t xml:space="preserve">Current list of members of the committees or groups responsible for </w:t>
            </w:r>
            <w:r w:rsidR="00322A34">
              <w:rPr>
                <w:rFonts w:eastAsia="MS Mincho"/>
                <w:sz w:val="20"/>
                <w:szCs w:val="20"/>
              </w:rPr>
              <w:t xml:space="preserve">unit/subject </w:t>
            </w:r>
            <w:r>
              <w:rPr>
                <w:rFonts w:eastAsia="MS Mincho"/>
                <w:sz w:val="20"/>
                <w:szCs w:val="20"/>
              </w:rPr>
              <w:t>design, implementation and quality</w:t>
            </w:r>
            <w:r w:rsidR="003E6F13">
              <w:rPr>
                <w:rFonts w:eastAsia="MS Mincho"/>
                <w:sz w:val="20"/>
                <w:szCs w:val="20"/>
              </w:rPr>
              <w:t>;</w:t>
            </w:r>
            <w:r>
              <w:rPr>
                <w:rFonts w:eastAsia="MS Mincho"/>
                <w:sz w:val="20"/>
                <w:szCs w:val="20"/>
              </w:rPr>
              <w:t xml:space="preserve"> and minutes from the three previous meetings of these groups</w:t>
            </w:r>
            <w:r w:rsidR="00E21A05">
              <w:rPr>
                <w:rFonts w:eastAsia="MS Mincho"/>
                <w:sz w:val="20"/>
                <w:szCs w:val="20"/>
              </w:rPr>
              <w:t>, highlighting points of relevance to this standard</w:t>
            </w:r>
            <w:r>
              <w:rPr>
                <w:rFonts w:eastAsia="MS Mincho"/>
                <w:sz w:val="20"/>
                <w:szCs w:val="20"/>
              </w:rPr>
              <w:t xml:space="preserve">. </w:t>
            </w:r>
          </w:p>
          <w:p w14:paraId="5EC638ED" w14:textId="372E5990" w:rsidR="00484EAD" w:rsidRPr="00866076" w:rsidRDefault="00AA057F" w:rsidP="006B223F">
            <w:pPr>
              <w:pStyle w:val="ListParagraph"/>
              <w:numPr>
                <w:ilvl w:val="0"/>
                <w:numId w:val="23"/>
              </w:numPr>
              <w:jc w:val="left"/>
              <w:rPr>
                <w:sz w:val="20"/>
                <w:szCs w:val="20"/>
              </w:rPr>
            </w:pPr>
            <w:r w:rsidRPr="004653E7">
              <w:rPr>
                <w:rFonts w:eastAsia="MS Mincho"/>
                <w:sz w:val="20"/>
                <w:szCs w:val="20"/>
              </w:rPr>
              <w:t>R</w:t>
            </w:r>
            <w:r w:rsidR="00484EAD" w:rsidRPr="004653E7">
              <w:rPr>
                <w:rFonts w:eastAsia="MS Mincho"/>
                <w:sz w:val="20"/>
                <w:szCs w:val="20"/>
              </w:rPr>
              <w:t xml:space="preserve">ecord of the most recent internal review of </w:t>
            </w:r>
            <w:r w:rsidR="00DA3019">
              <w:rPr>
                <w:rFonts w:eastAsia="MS Mincho"/>
                <w:sz w:val="20"/>
                <w:szCs w:val="20"/>
              </w:rPr>
              <w:t>each</w:t>
            </w:r>
            <w:r w:rsidR="00DA3019" w:rsidRPr="004653E7">
              <w:rPr>
                <w:rFonts w:eastAsia="MS Mincho"/>
                <w:sz w:val="20"/>
                <w:szCs w:val="20"/>
              </w:rPr>
              <w:t xml:space="preserve"> </w:t>
            </w:r>
            <w:r w:rsidR="00322A34">
              <w:rPr>
                <w:rFonts w:eastAsia="MS Mincho"/>
                <w:sz w:val="20"/>
                <w:szCs w:val="20"/>
              </w:rPr>
              <w:t>unit/subject</w:t>
            </w:r>
            <w:r w:rsidR="00484EAD" w:rsidRPr="004653E7">
              <w:rPr>
                <w:rFonts w:eastAsia="MS Mincho"/>
                <w:sz w:val="20"/>
                <w:szCs w:val="20"/>
              </w:rPr>
              <w:t>.</w:t>
            </w:r>
          </w:p>
        </w:tc>
      </w:tr>
      <w:tr w:rsidR="00484EAD" w:rsidRPr="004653E7" w14:paraId="0682B4E2" w14:textId="77777777" w:rsidTr="00484EAD">
        <w:trPr>
          <w:trHeight w:val="274"/>
        </w:trPr>
        <w:tc>
          <w:tcPr>
            <w:tcW w:w="709" w:type="dxa"/>
            <w:shd w:val="clear" w:color="auto" w:fill="auto"/>
          </w:tcPr>
          <w:p w14:paraId="36B7D9C0" w14:textId="3E005B5F" w:rsidR="00484EAD" w:rsidRPr="004653E7" w:rsidRDefault="00484EAD" w:rsidP="00BF1E99">
            <w:pPr>
              <w:rPr>
                <w:rFonts w:ascii="Arial" w:hAnsi="Arial" w:cs="Arial"/>
                <w:sz w:val="20"/>
                <w:szCs w:val="20"/>
                <w:lang w:eastAsia="en-AU"/>
              </w:rPr>
            </w:pPr>
            <w:r w:rsidRPr="004653E7">
              <w:rPr>
                <w:rFonts w:ascii="Arial" w:hAnsi="Arial" w:cs="Arial"/>
                <w:sz w:val="20"/>
                <w:szCs w:val="20"/>
                <w:lang w:eastAsia="en-AU"/>
              </w:rPr>
              <w:t>2.</w:t>
            </w:r>
            <w:r w:rsidR="00E21A05">
              <w:rPr>
                <w:rFonts w:ascii="Arial" w:hAnsi="Arial" w:cs="Arial"/>
                <w:sz w:val="20"/>
                <w:szCs w:val="20"/>
                <w:lang w:eastAsia="en-AU"/>
              </w:rPr>
              <w:t>5</w:t>
            </w:r>
          </w:p>
        </w:tc>
        <w:tc>
          <w:tcPr>
            <w:tcW w:w="3402" w:type="dxa"/>
            <w:shd w:val="clear" w:color="auto" w:fill="auto"/>
          </w:tcPr>
          <w:p w14:paraId="462975CA" w14:textId="082EC58E" w:rsidR="00484EAD" w:rsidRPr="004653E7" w:rsidRDefault="00484EAD" w:rsidP="00BF1E99">
            <w:pPr>
              <w:rPr>
                <w:rFonts w:ascii="Arial" w:hAnsi="Arial" w:cs="Arial"/>
                <w:sz w:val="20"/>
                <w:szCs w:val="20"/>
                <w:lang w:eastAsia="en-AU"/>
              </w:rPr>
            </w:pPr>
            <w:r w:rsidRPr="004653E7">
              <w:rPr>
                <w:rFonts w:ascii="Arial" w:hAnsi="Arial" w:cs="Arial"/>
                <w:sz w:val="20"/>
                <w:szCs w:val="20"/>
              </w:rPr>
              <w:t xml:space="preserve">Formal mechanisms exist to evaluate and improve the design, implementation and quality of </w:t>
            </w:r>
            <w:r w:rsidR="00DA3019">
              <w:rPr>
                <w:rFonts w:ascii="Arial" w:hAnsi="Arial" w:cs="Arial"/>
                <w:sz w:val="20"/>
                <w:szCs w:val="20"/>
              </w:rPr>
              <w:t>each</w:t>
            </w:r>
            <w:r w:rsidR="00DA3019" w:rsidRPr="004653E7">
              <w:rPr>
                <w:rFonts w:ascii="Arial" w:hAnsi="Arial" w:cs="Arial"/>
                <w:sz w:val="20"/>
                <w:szCs w:val="20"/>
              </w:rPr>
              <w:t xml:space="preserve"> </w:t>
            </w:r>
            <w:r w:rsidR="00322A34">
              <w:rPr>
                <w:rFonts w:ascii="Arial" w:hAnsi="Arial" w:cs="Arial"/>
                <w:sz w:val="20"/>
                <w:szCs w:val="20"/>
              </w:rPr>
              <w:t>unit/subject</w:t>
            </w:r>
            <w:r w:rsidRPr="004653E7">
              <w:rPr>
                <w:rFonts w:ascii="Arial" w:hAnsi="Arial" w:cs="Arial"/>
                <w:sz w:val="20"/>
                <w:szCs w:val="20"/>
              </w:rPr>
              <w:t xml:space="preserve">, including </w:t>
            </w:r>
            <w:r w:rsidR="003C0EF6">
              <w:rPr>
                <w:rFonts w:ascii="Arial" w:hAnsi="Arial" w:cs="Arial"/>
                <w:sz w:val="20"/>
                <w:szCs w:val="20"/>
              </w:rPr>
              <w:t xml:space="preserve">through </w:t>
            </w:r>
            <w:r w:rsidRPr="004653E7">
              <w:rPr>
                <w:rFonts w:ascii="Arial" w:hAnsi="Arial" w:cs="Arial"/>
                <w:sz w:val="20"/>
                <w:szCs w:val="20"/>
              </w:rPr>
              <w:t>student feedback, internal and external academic and professional peer review</w:t>
            </w:r>
            <w:r w:rsidR="005D6C4A" w:rsidRPr="004653E7">
              <w:rPr>
                <w:rFonts w:ascii="Arial" w:hAnsi="Arial" w:cs="Arial"/>
                <w:sz w:val="20"/>
                <w:szCs w:val="20"/>
              </w:rPr>
              <w:t>,</w:t>
            </w:r>
            <w:r w:rsidRPr="004653E7">
              <w:rPr>
                <w:rFonts w:ascii="Arial" w:hAnsi="Arial" w:cs="Arial"/>
                <w:sz w:val="20"/>
                <w:szCs w:val="20"/>
              </w:rPr>
              <w:t xml:space="preserve"> and other evaluations. </w:t>
            </w:r>
          </w:p>
        </w:tc>
        <w:tc>
          <w:tcPr>
            <w:tcW w:w="5528" w:type="dxa"/>
          </w:tcPr>
          <w:p w14:paraId="3F989475" w14:textId="055D7CB5" w:rsidR="00484EAD" w:rsidRPr="004653E7" w:rsidRDefault="00484EAD" w:rsidP="006B223F">
            <w:pPr>
              <w:pStyle w:val="ListParagraph"/>
              <w:numPr>
                <w:ilvl w:val="0"/>
                <w:numId w:val="24"/>
              </w:numPr>
              <w:jc w:val="left"/>
              <w:rPr>
                <w:sz w:val="20"/>
                <w:szCs w:val="20"/>
              </w:rPr>
            </w:pPr>
            <w:r w:rsidRPr="004653E7">
              <w:rPr>
                <w:sz w:val="20"/>
                <w:szCs w:val="20"/>
              </w:rPr>
              <w:t>Examples of implementation of formal mechanisms</w:t>
            </w:r>
            <w:r w:rsidR="005D6C4A" w:rsidRPr="004653E7">
              <w:rPr>
                <w:sz w:val="20"/>
                <w:szCs w:val="20"/>
              </w:rPr>
              <w:t xml:space="preserve"> used</w:t>
            </w:r>
            <w:r w:rsidRPr="004653E7">
              <w:rPr>
                <w:sz w:val="20"/>
                <w:szCs w:val="20"/>
              </w:rPr>
              <w:t xml:space="preserve"> to evaluate and improve the design, implementation and quality of </w:t>
            </w:r>
            <w:r w:rsidR="00DA3019">
              <w:rPr>
                <w:sz w:val="20"/>
                <w:szCs w:val="20"/>
              </w:rPr>
              <w:t>each</w:t>
            </w:r>
            <w:r w:rsidR="00DA3019" w:rsidRPr="004653E7">
              <w:rPr>
                <w:sz w:val="20"/>
                <w:szCs w:val="20"/>
              </w:rPr>
              <w:t xml:space="preserve"> </w:t>
            </w:r>
            <w:r w:rsidR="00322A34">
              <w:rPr>
                <w:sz w:val="20"/>
                <w:szCs w:val="20"/>
              </w:rPr>
              <w:t>unit/subject</w:t>
            </w:r>
            <w:r w:rsidRPr="004653E7">
              <w:rPr>
                <w:sz w:val="20"/>
                <w:szCs w:val="20"/>
              </w:rPr>
              <w:t>.</w:t>
            </w:r>
          </w:p>
          <w:p w14:paraId="5B8430AF" w14:textId="6E85CDFE" w:rsidR="00484EAD" w:rsidRPr="004653E7" w:rsidRDefault="00484EAD" w:rsidP="006B223F">
            <w:pPr>
              <w:pStyle w:val="ListParagraph"/>
              <w:numPr>
                <w:ilvl w:val="0"/>
                <w:numId w:val="24"/>
              </w:numPr>
              <w:jc w:val="left"/>
              <w:rPr>
                <w:sz w:val="20"/>
                <w:szCs w:val="20"/>
              </w:rPr>
            </w:pPr>
            <w:r w:rsidRPr="004653E7">
              <w:rPr>
                <w:sz w:val="20"/>
                <w:szCs w:val="20"/>
              </w:rPr>
              <w:t xml:space="preserve">Details of outcomes and actions from </w:t>
            </w:r>
            <w:r w:rsidR="005D6C4A" w:rsidRPr="004653E7">
              <w:rPr>
                <w:sz w:val="20"/>
                <w:szCs w:val="20"/>
              </w:rPr>
              <w:t xml:space="preserve">internal or </w:t>
            </w:r>
            <w:r w:rsidRPr="004653E7">
              <w:rPr>
                <w:sz w:val="20"/>
                <w:szCs w:val="20"/>
              </w:rPr>
              <w:t xml:space="preserve">external reviews of </w:t>
            </w:r>
            <w:r w:rsidR="00DA3019">
              <w:rPr>
                <w:sz w:val="20"/>
                <w:szCs w:val="20"/>
              </w:rPr>
              <w:t>each</w:t>
            </w:r>
            <w:r w:rsidR="00DA3019" w:rsidRPr="004653E7">
              <w:rPr>
                <w:sz w:val="20"/>
                <w:szCs w:val="20"/>
              </w:rPr>
              <w:t xml:space="preserve"> </w:t>
            </w:r>
            <w:r w:rsidR="00322A34">
              <w:rPr>
                <w:sz w:val="20"/>
                <w:szCs w:val="20"/>
              </w:rPr>
              <w:t>unit/subject</w:t>
            </w:r>
            <w:r w:rsidR="00322A34" w:rsidRPr="004653E7">
              <w:rPr>
                <w:sz w:val="20"/>
                <w:szCs w:val="20"/>
              </w:rPr>
              <w:t xml:space="preserve"> </w:t>
            </w:r>
            <w:r w:rsidRPr="004653E7">
              <w:rPr>
                <w:sz w:val="20"/>
                <w:szCs w:val="20"/>
              </w:rPr>
              <w:t>in the past five years.</w:t>
            </w:r>
          </w:p>
          <w:p w14:paraId="794C7DCA" w14:textId="1E3C89DA" w:rsidR="00484EAD" w:rsidRPr="004653E7" w:rsidRDefault="005D6C4A" w:rsidP="006B223F">
            <w:pPr>
              <w:pStyle w:val="ListParagraph"/>
              <w:numPr>
                <w:ilvl w:val="0"/>
                <w:numId w:val="24"/>
              </w:numPr>
              <w:jc w:val="left"/>
              <w:rPr>
                <w:sz w:val="20"/>
                <w:szCs w:val="20"/>
              </w:rPr>
            </w:pPr>
            <w:r w:rsidRPr="004653E7">
              <w:rPr>
                <w:sz w:val="20"/>
                <w:szCs w:val="20"/>
              </w:rPr>
              <w:lastRenderedPageBreak/>
              <w:t>S</w:t>
            </w:r>
            <w:r w:rsidR="00484EAD" w:rsidRPr="004653E7">
              <w:rPr>
                <w:sz w:val="20"/>
                <w:szCs w:val="20"/>
              </w:rPr>
              <w:t>ummary of actions</w:t>
            </w:r>
            <w:r w:rsidR="00E21A05">
              <w:rPr>
                <w:sz w:val="20"/>
                <w:szCs w:val="20"/>
              </w:rPr>
              <w:t xml:space="preserve"> taken, and changes made</w:t>
            </w:r>
            <w:r w:rsidR="00484EAD" w:rsidRPr="004653E7">
              <w:rPr>
                <w:sz w:val="20"/>
                <w:szCs w:val="20"/>
              </w:rPr>
              <w:t xml:space="preserve"> to improve the design, implementation and quality of </w:t>
            </w:r>
            <w:r w:rsidR="00DA3019">
              <w:rPr>
                <w:sz w:val="20"/>
                <w:szCs w:val="20"/>
              </w:rPr>
              <w:t>each</w:t>
            </w:r>
            <w:r w:rsidR="00DA3019" w:rsidRPr="004653E7">
              <w:rPr>
                <w:sz w:val="20"/>
                <w:szCs w:val="20"/>
              </w:rPr>
              <w:t xml:space="preserve"> </w:t>
            </w:r>
            <w:r w:rsidR="00322A34">
              <w:rPr>
                <w:sz w:val="20"/>
                <w:szCs w:val="20"/>
              </w:rPr>
              <w:t>unit/subject</w:t>
            </w:r>
            <w:r w:rsidR="00322A34" w:rsidRPr="004653E7">
              <w:rPr>
                <w:sz w:val="20"/>
                <w:szCs w:val="20"/>
              </w:rPr>
              <w:t xml:space="preserve"> </w:t>
            </w:r>
            <w:r w:rsidR="00484EAD" w:rsidRPr="004653E7">
              <w:rPr>
                <w:sz w:val="20"/>
                <w:szCs w:val="20"/>
              </w:rPr>
              <w:t>in response to student or staff feedback.</w:t>
            </w:r>
          </w:p>
        </w:tc>
      </w:tr>
      <w:tr w:rsidR="00A55358" w:rsidRPr="004653E7" w14:paraId="56BC19D4" w14:textId="77777777" w:rsidTr="00C52773">
        <w:trPr>
          <w:trHeight w:val="622"/>
        </w:trPr>
        <w:tc>
          <w:tcPr>
            <w:tcW w:w="709" w:type="dxa"/>
            <w:shd w:val="clear" w:color="auto" w:fill="auto"/>
          </w:tcPr>
          <w:p w14:paraId="12285CF5" w14:textId="77777777" w:rsidR="00A55358" w:rsidRPr="004653E7" w:rsidRDefault="00A55358" w:rsidP="00C52773">
            <w:pPr>
              <w:rPr>
                <w:rFonts w:ascii="Arial" w:hAnsi="Arial" w:cs="Arial"/>
                <w:sz w:val="20"/>
                <w:szCs w:val="20"/>
                <w:lang w:eastAsia="en-AU"/>
              </w:rPr>
            </w:pPr>
            <w:r w:rsidRPr="004653E7">
              <w:rPr>
                <w:rFonts w:ascii="Arial" w:hAnsi="Arial" w:cs="Arial"/>
                <w:sz w:val="20"/>
                <w:szCs w:val="20"/>
                <w:lang w:eastAsia="en-AU"/>
              </w:rPr>
              <w:lastRenderedPageBreak/>
              <w:t>2.</w:t>
            </w:r>
            <w:r>
              <w:rPr>
                <w:rFonts w:ascii="Arial" w:hAnsi="Arial" w:cs="Arial"/>
                <w:sz w:val="20"/>
                <w:szCs w:val="20"/>
                <w:lang w:eastAsia="en-AU"/>
              </w:rPr>
              <w:t>6</w:t>
            </w:r>
          </w:p>
        </w:tc>
        <w:tc>
          <w:tcPr>
            <w:tcW w:w="3402" w:type="dxa"/>
            <w:shd w:val="clear" w:color="auto" w:fill="auto"/>
          </w:tcPr>
          <w:p w14:paraId="3182ED8F" w14:textId="77777777" w:rsidR="00A55358" w:rsidRDefault="00A55358" w:rsidP="00C52773">
            <w:pPr>
              <w:pStyle w:val="Default"/>
              <w:tabs>
                <w:tab w:val="left" w:pos="851"/>
                <w:tab w:val="left" w:pos="1418"/>
              </w:tabs>
              <w:rPr>
                <w:sz w:val="20"/>
                <w:szCs w:val="20"/>
                <w:lang w:eastAsia="en-AU"/>
              </w:rPr>
            </w:pPr>
            <w:r w:rsidRPr="004653E7">
              <w:rPr>
                <w:sz w:val="20"/>
                <w:szCs w:val="20"/>
                <w:lang w:eastAsia="en-AU"/>
              </w:rPr>
              <w:t xml:space="preserve">Formal mechanisms exist to ensure the ongoing </w:t>
            </w:r>
            <w:r>
              <w:rPr>
                <w:sz w:val="20"/>
                <w:szCs w:val="20"/>
                <w:lang w:eastAsia="en-AU"/>
              </w:rPr>
              <w:t xml:space="preserve">availability and </w:t>
            </w:r>
            <w:r w:rsidRPr="004653E7">
              <w:rPr>
                <w:sz w:val="20"/>
                <w:szCs w:val="20"/>
                <w:lang w:eastAsia="en-AU"/>
              </w:rPr>
              <w:t>quality assurance of work-integrated learning.</w:t>
            </w:r>
          </w:p>
          <w:p w14:paraId="06E05687" w14:textId="77777777" w:rsidR="00A55358" w:rsidRPr="004653E7" w:rsidRDefault="00A55358" w:rsidP="00C52773">
            <w:pPr>
              <w:pStyle w:val="Default"/>
              <w:tabs>
                <w:tab w:val="left" w:pos="851"/>
                <w:tab w:val="left" w:pos="1418"/>
              </w:tabs>
              <w:rPr>
                <w:color w:val="auto"/>
                <w:sz w:val="20"/>
                <w:szCs w:val="20"/>
              </w:rPr>
            </w:pPr>
          </w:p>
        </w:tc>
        <w:tc>
          <w:tcPr>
            <w:tcW w:w="5528" w:type="dxa"/>
          </w:tcPr>
          <w:p w14:paraId="676428C5" w14:textId="77777777" w:rsidR="00A55358" w:rsidRPr="004653E7" w:rsidRDefault="00A55358" w:rsidP="006B223F">
            <w:pPr>
              <w:pStyle w:val="ListParagraph"/>
              <w:numPr>
                <w:ilvl w:val="0"/>
                <w:numId w:val="16"/>
              </w:numPr>
              <w:jc w:val="left"/>
              <w:rPr>
                <w:sz w:val="20"/>
                <w:szCs w:val="20"/>
              </w:rPr>
            </w:pPr>
            <w:r w:rsidRPr="004653E7">
              <w:rPr>
                <w:sz w:val="20"/>
                <w:szCs w:val="20"/>
              </w:rPr>
              <w:t>Examples of</w:t>
            </w:r>
            <w:r>
              <w:rPr>
                <w:sz w:val="20"/>
                <w:szCs w:val="20"/>
              </w:rPr>
              <w:t xml:space="preserve"> implementation of</w:t>
            </w:r>
            <w:r w:rsidRPr="004653E7">
              <w:rPr>
                <w:sz w:val="20"/>
                <w:szCs w:val="20"/>
              </w:rPr>
              <w:t xml:space="preserve"> formal quality assurance mechanisms </w:t>
            </w:r>
            <w:r>
              <w:rPr>
                <w:sz w:val="20"/>
                <w:szCs w:val="20"/>
              </w:rPr>
              <w:t xml:space="preserve">for work-integrated learning including: </w:t>
            </w:r>
          </w:p>
          <w:p w14:paraId="087D0275" w14:textId="77777777" w:rsidR="00A55358" w:rsidRDefault="00A55358" w:rsidP="006B223F">
            <w:pPr>
              <w:pStyle w:val="ListParagraph"/>
              <w:numPr>
                <w:ilvl w:val="1"/>
                <w:numId w:val="16"/>
              </w:numPr>
              <w:jc w:val="left"/>
              <w:rPr>
                <w:sz w:val="20"/>
                <w:szCs w:val="20"/>
              </w:rPr>
            </w:pPr>
            <w:r>
              <w:rPr>
                <w:sz w:val="20"/>
                <w:szCs w:val="20"/>
              </w:rPr>
              <w:t xml:space="preserve">Mechanisms for the </w:t>
            </w:r>
            <w:r w:rsidRPr="004653E7">
              <w:rPr>
                <w:sz w:val="20"/>
                <w:szCs w:val="20"/>
              </w:rPr>
              <w:t xml:space="preserve">training and monitoring </w:t>
            </w:r>
            <w:r>
              <w:rPr>
                <w:sz w:val="20"/>
                <w:szCs w:val="20"/>
              </w:rPr>
              <w:t xml:space="preserve">of </w:t>
            </w:r>
            <w:r w:rsidRPr="004653E7">
              <w:rPr>
                <w:sz w:val="20"/>
                <w:szCs w:val="20"/>
              </w:rPr>
              <w:t>work-integrated learning supervisors</w:t>
            </w:r>
          </w:p>
          <w:p w14:paraId="3ED403C4" w14:textId="77777777" w:rsidR="00A55358" w:rsidRDefault="00A55358" w:rsidP="006B223F">
            <w:pPr>
              <w:pStyle w:val="ListParagraph"/>
              <w:numPr>
                <w:ilvl w:val="1"/>
                <w:numId w:val="16"/>
              </w:numPr>
              <w:jc w:val="left"/>
              <w:rPr>
                <w:sz w:val="20"/>
                <w:szCs w:val="20"/>
              </w:rPr>
            </w:pPr>
            <w:r>
              <w:rPr>
                <w:sz w:val="20"/>
                <w:szCs w:val="20"/>
              </w:rPr>
              <w:t>Mechanisms for the evaluation of work-integrated learning, including examples of ways in which feedback from students and supervisors is used</w:t>
            </w:r>
          </w:p>
          <w:p w14:paraId="66A1580F" w14:textId="77777777" w:rsidR="00A55358" w:rsidRPr="00994129" w:rsidRDefault="00A55358" w:rsidP="006B223F">
            <w:pPr>
              <w:pStyle w:val="ListParagraph"/>
              <w:numPr>
                <w:ilvl w:val="1"/>
                <w:numId w:val="16"/>
              </w:numPr>
              <w:jc w:val="left"/>
              <w:rPr>
                <w:sz w:val="20"/>
                <w:szCs w:val="20"/>
              </w:rPr>
            </w:pPr>
            <w:r>
              <w:rPr>
                <w:sz w:val="20"/>
                <w:szCs w:val="20"/>
              </w:rPr>
              <w:t>Examples of responses to quality assurance findings.</w:t>
            </w:r>
          </w:p>
        </w:tc>
      </w:tr>
      <w:tr w:rsidR="00E21A05" w:rsidRPr="004653E7" w14:paraId="3804A484" w14:textId="77777777" w:rsidTr="00C52773">
        <w:trPr>
          <w:trHeight w:val="431"/>
        </w:trPr>
        <w:tc>
          <w:tcPr>
            <w:tcW w:w="709" w:type="dxa"/>
            <w:shd w:val="clear" w:color="auto" w:fill="auto"/>
          </w:tcPr>
          <w:p w14:paraId="4922D8A6" w14:textId="4CB31A2D" w:rsidR="00E21A05" w:rsidRPr="004653E7" w:rsidRDefault="00E21A05" w:rsidP="00C52773">
            <w:pPr>
              <w:rPr>
                <w:rFonts w:ascii="Arial" w:hAnsi="Arial" w:cs="Arial"/>
                <w:sz w:val="20"/>
                <w:szCs w:val="20"/>
                <w:lang w:eastAsia="en-AU"/>
              </w:rPr>
            </w:pPr>
            <w:r w:rsidRPr="004653E7">
              <w:rPr>
                <w:rFonts w:ascii="Arial" w:hAnsi="Arial" w:cs="Arial"/>
                <w:sz w:val="20"/>
                <w:szCs w:val="20"/>
                <w:lang w:eastAsia="en-AU"/>
              </w:rPr>
              <w:t>2.</w:t>
            </w:r>
            <w:r w:rsidR="00A55358">
              <w:rPr>
                <w:rFonts w:ascii="Arial" w:hAnsi="Arial" w:cs="Arial"/>
                <w:sz w:val="20"/>
                <w:szCs w:val="20"/>
                <w:lang w:eastAsia="en-AU"/>
              </w:rPr>
              <w:t>7</w:t>
            </w:r>
          </w:p>
        </w:tc>
        <w:tc>
          <w:tcPr>
            <w:tcW w:w="3402" w:type="dxa"/>
            <w:shd w:val="clear" w:color="auto" w:fill="auto"/>
          </w:tcPr>
          <w:p w14:paraId="58DE3D3B" w14:textId="6041A11D" w:rsidR="00E21A05" w:rsidRPr="004653E7" w:rsidRDefault="00E21A05" w:rsidP="00C52773">
            <w:pPr>
              <w:rPr>
                <w:rFonts w:ascii="Arial" w:hAnsi="Arial" w:cs="Arial"/>
                <w:sz w:val="20"/>
                <w:szCs w:val="20"/>
                <w:lang w:eastAsia="en-AU"/>
              </w:rPr>
            </w:pPr>
            <w:r w:rsidRPr="004653E7">
              <w:rPr>
                <w:rFonts w:ascii="Arial" w:hAnsi="Arial" w:cs="Arial"/>
                <w:sz w:val="20"/>
                <w:szCs w:val="20"/>
                <w:lang w:eastAsia="en-AU"/>
              </w:rPr>
              <w:t>Students</w:t>
            </w:r>
            <w:r>
              <w:rPr>
                <w:rFonts w:ascii="Arial" w:hAnsi="Arial" w:cs="Arial"/>
                <w:sz w:val="20"/>
                <w:szCs w:val="20"/>
                <w:lang w:eastAsia="en-AU"/>
              </w:rPr>
              <w:t xml:space="preserve">, academics </w:t>
            </w:r>
            <w:r w:rsidRPr="004653E7">
              <w:rPr>
                <w:rFonts w:ascii="Arial" w:hAnsi="Arial" w:cs="Arial"/>
                <w:sz w:val="20"/>
                <w:szCs w:val="20"/>
                <w:lang w:eastAsia="en-AU"/>
              </w:rPr>
              <w:t>and work-integrated learning supervisors</w:t>
            </w:r>
            <w:r w:rsidR="002F5245">
              <w:rPr>
                <w:rFonts w:ascii="Arial" w:hAnsi="Arial" w:cs="Arial"/>
                <w:sz w:val="20"/>
                <w:szCs w:val="20"/>
                <w:lang w:eastAsia="en-AU"/>
              </w:rPr>
              <w:t xml:space="preserve"> </w:t>
            </w:r>
            <w:r w:rsidRPr="004653E7">
              <w:rPr>
                <w:rFonts w:ascii="Arial" w:hAnsi="Arial" w:cs="Arial"/>
                <w:sz w:val="20"/>
                <w:szCs w:val="20"/>
                <w:lang w:eastAsia="en-AU"/>
              </w:rPr>
              <w:t xml:space="preserve">in the program have opportunities to contribute to the information that informs decision-making about </w:t>
            </w:r>
            <w:r>
              <w:rPr>
                <w:rFonts w:ascii="Arial" w:hAnsi="Arial" w:cs="Arial"/>
                <w:sz w:val="20"/>
                <w:szCs w:val="20"/>
                <w:lang w:eastAsia="en-AU"/>
              </w:rPr>
              <w:t>unit/subject</w:t>
            </w:r>
            <w:r w:rsidRPr="004653E7">
              <w:rPr>
                <w:rFonts w:ascii="Arial" w:hAnsi="Arial" w:cs="Arial"/>
                <w:sz w:val="20"/>
                <w:szCs w:val="20"/>
                <w:lang w:eastAsia="en-AU"/>
              </w:rPr>
              <w:t xml:space="preserve"> design, implementation and quality.</w:t>
            </w:r>
          </w:p>
        </w:tc>
        <w:tc>
          <w:tcPr>
            <w:tcW w:w="5528" w:type="dxa"/>
          </w:tcPr>
          <w:p w14:paraId="60DFF3F9" w14:textId="2874D625" w:rsidR="00E21A05" w:rsidRPr="004653E7" w:rsidRDefault="00E21A05" w:rsidP="006B223F">
            <w:pPr>
              <w:pStyle w:val="ListParagraph"/>
              <w:numPr>
                <w:ilvl w:val="0"/>
                <w:numId w:val="12"/>
              </w:numPr>
              <w:jc w:val="left"/>
              <w:rPr>
                <w:sz w:val="20"/>
                <w:szCs w:val="20"/>
              </w:rPr>
            </w:pPr>
            <w:r w:rsidRPr="004653E7">
              <w:rPr>
                <w:sz w:val="20"/>
                <w:szCs w:val="20"/>
              </w:rPr>
              <w:t>Details of any student</w:t>
            </w:r>
            <w:r>
              <w:rPr>
                <w:sz w:val="20"/>
                <w:szCs w:val="20"/>
              </w:rPr>
              <w:t xml:space="preserve">, academic </w:t>
            </w:r>
            <w:r w:rsidRPr="004653E7">
              <w:rPr>
                <w:sz w:val="20"/>
                <w:szCs w:val="20"/>
              </w:rPr>
              <w:t xml:space="preserve">and work-integrated learning supervisor representation in the governance and curriculum management arrangements for </w:t>
            </w:r>
            <w:r w:rsidR="00DA3019">
              <w:rPr>
                <w:sz w:val="20"/>
                <w:szCs w:val="20"/>
              </w:rPr>
              <w:t>each</w:t>
            </w:r>
            <w:r w:rsidR="00DA3019" w:rsidRPr="004653E7">
              <w:rPr>
                <w:sz w:val="20"/>
                <w:szCs w:val="20"/>
              </w:rPr>
              <w:t xml:space="preserve"> </w:t>
            </w:r>
            <w:r>
              <w:rPr>
                <w:sz w:val="20"/>
                <w:szCs w:val="20"/>
              </w:rPr>
              <w:t>unit/subject</w:t>
            </w:r>
            <w:r w:rsidRPr="004653E7">
              <w:rPr>
                <w:sz w:val="20"/>
                <w:szCs w:val="20"/>
              </w:rPr>
              <w:t>.</w:t>
            </w:r>
          </w:p>
          <w:p w14:paraId="0A9F74BF" w14:textId="2548217C" w:rsidR="00E21A05" w:rsidRPr="004653E7" w:rsidRDefault="00E21A05" w:rsidP="006B223F">
            <w:pPr>
              <w:pStyle w:val="ListParagraph"/>
              <w:numPr>
                <w:ilvl w:val="0"/>
                <w:numId w:val="12"/>
              </w:numPr>
              <w:jc w:val="left"/>
              <w:rPr>
                <w:sz w:val="20"/>
                <w:szCs w:val="20"/>
              </w:rPr>
            </w:pPr>
            <w:r w:rsidRPr="004653E7">
              <w:rPr>
                <w:sz w:val="20"/>
                <w:szCs w:val="20"/>
              </w:rPr>
              <w:t xml:space="preserve">Examples that show </w:t>
            </w:r>
            <w:r>
              <w:rPr>
                <w:sz w:val="20"/>
                <w:szCs w:val="20"/>
              </w:rPr>
              <w:t>how</w:t>
            </w:r>
            <w:r w:rsidRPr="004653E7">
              <w:rPr>
                <w:sz w:val="20"/>
                <w:szCs w:val="20"/>
              </w:rPr>
              <w:t xml:space="preserve"> information contributed by students</w:t>
            </w:r>
            <w:r>
              <w:rPr>
                <w:sz w:val="20"/>
                <w:szCs w:val="20"/>
              </w:rPr>
              <w:t xml:space="preserve">, academics </w:t>
            </w:r>
            <w:r w:rsidRPr="004653E7">
              <w:rPr>
                <w:sz w:val="20"/>
                <w:szCs w:val="20"/>
              </w:rPr>
              <w:t xml:space="preserve">and work-integrated learning supervisors </w:t>
            </w:r>
            <w:r>
              <w:rPr>
                <w:sz w:val="20"/>
                <w:szCs w:val="20"/>
              </w:rPr>
              <w:t xml:space="preserve">is considered </w:t>
            </w:r>
            <w:r w:rsidRPr="004653E7">
              <w:rPr>
                <w:sz w:val="20"/>
                <w:szCs w:val="20"/>
              </w:rPr>
              <w:t xml:space="preserve">when decisions about </w:t>
            </w:r>
            <w:r>
              <w:rPr>
                <w:sz w:val="20"/>
                <w:szCs w:val="20"/>
              </w:rPr>
              <w:t>unit/subject</w:t>
            </w:r>
            <w:r w:rsidRPr="004653E7">
              <w:rPr>
                <w:sz w:val="20"/>
                <w:szCs w:val="20"/>
              </w:rPr>
              <w:t xml:space="preserve"> design, implementation and quality are being made.</w:t>
            </w:r>
          </w:p>
          <w:p w14:paraId="224E7C56" w14:textId="00AC2EFF" w:rsidR="00E21A05" w:rsidRPr="00C32F38" w:rsidRDefault="00E21A05" w:rsidP="006B223F">
            <w:pPr>
              <w:pStyle w:val="ListParagraph"/>
              <w:numPr>
                <w:ilvl w:val="0"/>
                <w:numId w:val="12"/>
              </w:numPr>
              <w:jc w:val="left"/>
              <w:rPr>
                <w:sz w:val="20"/>
                <w:szCs w:val="20"/>
              </w:rPr>
            </w:pPr>
            <w:r w:rsidRPr="004653E7">
              <w:rPr>
                <w:sz w:val="20"/>
                <w:szCs w:val="20"/>
              </w:rPr>
              <w:t xml:space="preserve">Examples </w:t>
            </w:r>
            <w:r>
              <w:rPr>
                <w:sz w:val="20"/>
                <w:szCs w:val="20"/>
              </w:rPr>
              <w:t xml:space="preserve">that show how feedback from </w:t>
            </w:r>
            <w:r w:rsidRPr="004653E7">
              <w:rPr>
                <w:sz w:val="20"/>
                <w:szCs w:val="20"/>
              </w:rPr>
              <w:t xml:space="preserve">students, </w:t>
            </w:r>
            <w:r>
              <w:rPr>
                <w:sz w:val="20"/>
                <w:szCs w:val="20"/>
              </w:rPr>
              <w:t>academics</w:t>
            </w:r>
            <w:r w:rsidRPr="004653E7">
              <w:rPr>
                <w:sz w:val="20"/>
                <w:szCs w:val="20"/>
              </w:rPr>
              <w:t xml:space="preserve"> and work-integrated learning supervisor</w:t>
            </w:r>
            <w:r>
              <w:rPr>
                <w:sz w:val="20"/>
                <w:szCs w:val="20"/>
              </w:rPr>
              <w:t>s</w:t>
            </w:r>
            <w:r w:rsidRPr="004653E7">
              <w:rPr>
                <w:sz w:val="20"/>
                <w:szCs w:val="20"/>
              </w:rPr>
              <w:t xml:space="preserve"> </w:t>
            </w:r>
            <w:r>
              <w:rPr>
                <w:sz w:val="20"/>
                <w:szCs w:val="20"/>
              </w:rPr>
              <w:t xml:space="preserve">is used </w:t>
            </w:r>
            <w:r w:rsidRPr="004653E7">
              <w:rPr>
                <w:sz w:val="20"/>
                <w:szCs w:val="20"/>
              </w:rPr>
              <w:t>to improve the program.</w:t>
            </w:r>
          </w:p>
        </w:tc>
      </w:tr>
      <w:tr w:rsidR="00484EAD" w:rsidRPr="004653E7" w14:paraId="55F94899" w14:textId="77777777" w:rsidTr="00484EAD">
        <w:trPr>
          <w:trHeight w:val="348"/>
        </w:trPr>
        <w:tc>
          <w:tcPr>
            <w:tcW w:w="709" w:type="dxa"/>
            <w:shd w:val="clear" w:color="auto" w:fill="auto"/>
          </w:tcPr>
          <w:p w14:paraId="64B08962" w14:textId="4896F347" w:rsidR="00484EAD" w:rsidRPr="004653E7" w:rsidRDefault="00484EAD" w:rsidP="00BF1E99">
            <w:pPr>
              <w:rPr>
                <w:rFonts w:ascii="Arial" w:hAnsi="Arial" w:cs="Arial"/>
                <w:sz w:val="20"/>
                <w:szCs w:val="20"/>
                <w:lang w:eastAsia="en-AU"/>
              </w:rPr>
            </w:pPr>
            <w:r w:rsidRPr="004653E7">
              <w:rPr>
                <w:rFonts w:ascii="Arial" w:hAnsi="Arial" w:cs="Arial"/>
                <w:sz w:val="20"/>
                <w:szCs w:val="20"/>
                <w:lang w:eastAsia="en-AU"/>
              </w:rPr>
              <w:t>2.</w:t>
            </w:r>
            <w:r w:rsidR="00A55358">
              <w:rPr>
                <w:rFonts w:ascii="Arial" w:hAnsi="Arial" w:cs="Arial"/>
                <w:sz w:val="20"/>
                <w:szCs w:val="20"/>
                <w:lang w:eastAsia="en-AU"/>
              </w:rPr>
              <w:t>8</w:t>
            </w:r>
          </w:p>
        </w:tc>
        <w:tc>
          <w:tcPr>
            <w:tcW w:w="3402" w:type="dxa"/>
            <w:shd w:val="clear" w:color="auto" w:fill="auto"/>
          </w:tcPr>
          <w:p w14:paraId="63935269" w14:textId="5B3955EE" w:rsidR="00484EAD" w:rsidRPr="004653E7" w:rsidRDefault="00484EAD" w:rsidP="00BF1E99">
            <w:pPr>
              <w:rPr>
                <w:rFonts w:ascii="Arial" w:hAnsi="Arial" w:cs="Arial"/>
                <w:sz w:val="20"/>
                <w:szCs w:val="20"/>
                <w:lang w:eastAsia="en-AU"/>
              </w:rPr>
            </w:pPr>
            <w:r w:rsidRPr="004653E7">
              <w:rPr>
                <w:rFonts w:ascii="Arial" w:hAnsi="Arial" w:cs="Arial"/>
                <w:sz w:val="20"/>
                <w:szCs w:val="20"/>
                <w:lang w:eastAsia="en-AU"/>
              </w:rPr>
              <w:t xml:space="preserve">There is </w:t>
            </w:r>
            <w:r w:rsidR="005A4271">
              <w:rPr>
                <w:rFonts w:ascii="Arial" w:hAnsi="Arial" w:cs="Arial"/>
                <w:sz w:val="20"/>
                <w:szCs w:val="20"/>
                <w:lang w:eastAsia="en-AU"/>
              </w:rPr>
              <w:t xml:space="preserve">formalised and regular </w:t>
            </w:r>
            <w:r w:rsidRPr="004653E7">
              <w:rPr>
                <w:rFonts w:ascii="Arial" w:hAnsi="Arial" w:cs="Arial"/>
                <w:sz w:val="20"/>
                <w:szCs w:val="20"/>
                <w:lang w:eastAsia="en-AU"/>
              </w:rPr>
              <w:t xml:space="preserve">external stakeholder input to the design, implementation and quality of </w:t>
            </w:r>
            <w:r w:rsidR="00DA3019">
              <w:rPr>
                <w:rFonts w:ascii="Arial" w:hAnsi="Arial" w:cs="Arial"/>
                <w:sz w:val="20"/>
                <w:szCs w:val="20"/>
                <w:lang w:eastAsia="en-AU"/>
              </w:rPr>
              <w:t>each</w:t>
            </w:r>
            <w:r w:rsidR="00DA3019" w:rsidRPr="004653E7">
              <w:rPr>
                <w:rFonts w:ascii="Arial" w:hAnsi="Arial" w:cs="Arial"/>
                <w:sz w:val="20"/>
                <w:szCs w:val="20"/>
                <w:lang w:eastAsia="en-AU"/>
              </w:rPr>
              <w:t xml:space="preserve"> </w:t>
            </w:r>
            <w:r w:rsidR="00322A34" w:rsidRPr="00322A34">
              <w:rPr>
                <w:rFonts w:ascii="Arial" w:hAnsi="Arial" w:cs="Arial"/>
                <w:sz w:val="20"/>
                <w:szCs w:val="20"/>
                <w:lang w:eastAsia="en-AU"/>
              </w:rPr>
              <w:t>unit/subject</w:t>
            </w:r>
            <w:r w:rsidRPr="004653E7">
              <w:rPr>
                <w:rFonts w:ascii="Arial" w:hAnsi="Arial" w:cs="Arial"/>
                <w:sz w:val="20"/>
                <w:szCs w:val="20"/>
                <w:lang w:eastAsia="en-AU"/>
              </w:rPr>
              <w:t xml:space="preserve">, including from representatives of the </w:t>
            </w:r>
            <w:r w:rsidR="00095918">
              <w:rPr>
                <w:rFonts w:ascii="Arial" w:hAnsi="Arial" w:cs="Arial"/>
                <w:sz w:val="20"/>
                <w:szCs w:val="20"/>
              </w:rPr>
              <w:t xml:space="preserve">podiatry </w:t>
            </w:r>
            <w:r w:rsidRPr="004653E7">
              <w:rPr>
                <w:rFonts w:ascii="Arial" w:hAnsi="Arial" w:cs="Arial"/>
                <w:sz w:val="20"/>
                <w:szCs w:val="20"/>
                <w:lang w:eastAsia="en-AU"/>
              </w:rPr>
              <w:t xml:space="preserve">profession, other health professions, prospective employers, health consumers and graduates of the </w:t>
            </w:r>
            <w:r w:rsidR="00322A34" w:rsidRPr="00322A34">
              <w:rPr>
                <w:rFonts w:ascii="Arial" w:hAnsi="Arial" w:cs="Arial"/>
                <w:sz w:val="20"/>
                <w:szCs w:val="20"/>
                <w:lang w:eastAsia="en-AU"/>
              </w:rPr>
              <w:t>unit/subject</w:t>
            </w:r>
            <w:r w:rsidRPr="004653E7">
              <w:rPr>
                <w:rFonts w:ascii="Arial" w:hAnsi="Arial" w:cs="Arial"/>
                <w:sz w:val="20"/>
                <w:szCs w:val="20"/>
                <w:lang w:eastAsia="en-AU"/>
              </w:rPr>
              <w:t>.</w:t>
            </w:r>
          </w:p>
        </w:tc>
        <w:tc>
          <w:tcPr>
            <w:tcW w:w="5528" w:type="dxa"/>
          </w:tcPr>
          <w:p w14:paraId="25CD6FDF" w14:textId="197DEE88" w:rsidR="00484EAD" w:rsidRPr="004653E7" w:rsidRDefault="00484EAD" w:rsidP="006E5A72">
            <w:pPr>
              <w:pStyle w:val="ListParagraph"/>
              <w:numPr>
                <w:ilvl w:val="0"/>
                <w:numId w:val="24"/>
              </w:numPr>
              <w:jc w:val="left"/>
              <w:rPr>
                <w:sz w:val="20"/>
                <w:szCs w:val="20"/>
              </w:rPr>
            </w:pPr>
            <w:r w:rsidRPr="004653E7">
              <w:rPr>
                <w:sz w:val="20"/>
                <w:szCs w:val="20"/>
              </w:rPr>
              <w:t xml:space="preserve">Examples of effective engagement with </w:t>
            </w:r>
            <w:r w:rsidR="00411057">
              <w:rPr>
                <w:sz w:val="20"/>
                <w:szCs w:val="20"/>
              </w:rPr>
              <w:t xml:space="preserve">a diverse range of </w:t>
            </w:r>
            <w:r w:rsidRPr="004653E7">
              <w:rPr>
                <w:sz w:val="20"/>
                <w:szCs w:val="20"/>
              </w:rPr>
              <w:t xml:space="preserve">external stakeholders (including representatives of Aboriginal and/or Torres Strait Islander </w:t>
            </w:r>
            <w:r w:rsidR="009D3EF3">
              <w:rPr>
                <w:sz w:val="20"/>
                <w:szCs w:val="20"/>
              </w:rPr>
              <w:t>Peoples</w:t>
            </w:r>
            <w:r w:rsidR="009D3EF3" w:rsidRPr="004653E7">
              <w:rPr>
                <w:sz w:val="20"/>
                <w:szCs w:val="20"/>
              </w:rPr>
              <w:t xml:space="preserve"> </w:t>
            </w:r>
            <w:r w:rsidRPr="004653E7">
              <w:rPr>
                <w:sz w:val="20"/>
                <w:szCs w:val="20"/>
              </w:rPr>
              <w:t xml:space="preserve">and other relevant health professions) about </w:t>
            </w:r>
            <w:r w:rsidR="00322A34">
              <w:rPr>
                <w:sz w:val="20"/>
                <w:szCs w:val="20"/>
              </w:rPr>
              <w:t>unit/subject</w:t>
            </w:r>
            <w:r w:rsidR="00322A34" w:rsidRPr="004653E7">
              <w:rPr>
                <w:sz w:val="20"/>
                <w:szCs w:val="20"/>
              </w:rPr>
              <w:t xml:space="preserve"> </w:t>
            </w:r>
            <w:r w:rsidRPr="004653E7">
              <w:rPr>
                <w:sz w:val="20"/>
                <w:szCs w:val="20"/>
              </w:rPr>
              <w:t>design and implementation.</w:t>
            </w:r>
          </w:p>
          <w:p w14:paraId="55497CCD" w14:textId="64C60EA4" w:rsidR="00484EAD" w:rsidRPr="004653E7" w:rsidRDefault="00445644" w:rsidP="006E5A72">
            <w:pPr>
              <w:pStyle w:val="ListParagraph"/>
              <w:numPr>
                <w:ilvl w:val="0"/>
                <w:numId w:val="26"/>
              </w:numPr>
              <w:jc w:val="left"/>
              <w:rPr>
                <w:sz w:val="20"/>
                <w:szCs w:val="20"/>
              </w:rPr>
            </w:pPr>
            <w:r w:rsidRPr="004653E7">
              <w:rPr>
                <w:sz w:val="20"/>
                <w:szCs w:val="20"/>
              </w:rPr>
              <w:t>L</w:t>
            </w:r>
            <w:r w:rsidR="00484EAD" w:rsidRPr="004653E7">
              <w:rPr>
                <w:sz w:val="20"/>
                <w:szCs w:val="20"/>
              </w:rPr>
              <w:t xml:space="preserve">ist of all external stakeholders </w:t>
            </w:r>
            <w:r w:rsidR="009A7E52">
              <w:rPr>
                <w:sz w:val="20"/>
                <w:szCs w:val="20"/>
              </w:rPr>
              <w:t>and detail the input they have had</w:t>
            </w:r>
            <w:r w:rsidR="00484EAD" w:rsidRPr="004653E7">
              <w:rPr>
                <w:sz w:val="20"/>
                <w:szCs w:val="20"/>
              </w:rPr>
              <w:t xml:space="preserve"> </w:t>
            </w:r>
            <w:r w:rsidR="005E6756" w:rsidRPr="004653E7">
              <w:rPr>
                <w:sz w:val="20"/>
                <w:szCs w:val="20"/>
              </w:rPr>
              <w:t>in</w:t>
            </w:r>
            <w:r w:rsidR="00484EAD" w:rsidRPr="004653E7">
              <w:rPr>
                <w:sz w:val="20"/>
                <w:szCs w:val="20"/>
              </w:rPr>
              <w:t xml:space="preserve">to </w:t>
            </w:r>
            <w:r w:rsidR="005E6756" w:rsidRPr="004653E7">
              <w:rPr>
                <w:sz w:val="20"/>
                <w:szCs w:val="20"/>
              </w:rPr>
              <w:t xml:space="preserve">the </w:t>
            </w:r>
            <w:r w:rsidR="00484EAD" w:rsidRPr="004653E7">
              <w:rPr>
                <w:sz w:val="20"/>
                <w:szCs w:val="20"/>
              </w:rPr>
              <w:t xml:space="preserve">design, implementation and quality improvement of the </w:t>
            </w:r>
            <w:r w:rsidR="00322A34">
              <w:rPr>
                <w:sz w:val="20"/>
                <w:szCs w:val="20"/>
              </w:rPr>
              <w:t>unit/subject</w:t>
            </w:r>
            <w:r w:rsidR="00484EAD" w:rsidRPr="004653E7">
              <w:rPr>
                <w:sz w:val="20"/>
                <w:szCs w:val="20"/>
              </w:rPr>
              <w:t xml:space="preserve">. </w:t>
            </w:r>
          </w:p>
          <w:p w14:paraId="7F45A68D" w14:textId="54AE1882" w:rsidR="00484EAD" w:rsidRPr="004653E7" w:rsidRDefault="00484EAD" w:rsidP="006E5A72">
            <w:pPr>
              <w:pStyle w:val="ListParagraph"/>
              <w:numPr>
                <w:ilvl w:val="0"/>
                <w:numId w:val="26"/>
              </w:numPr>
              <w:jc w:val="left"/>
              <w:rPr>
                <w:sz w:val="20"/>
                <w:szCs w:val="20"/>
              </w:rPr>
            </w:pPr>
            <w:r w:rsidRPr="004653E7">
              <w:rPr>
                <w:sz w:val="20"/>
                <w:szCs w:val="20"/>
              </w:rPr>
              <w:t xml:space="preserve">Terms of reference of a current stakeholder group responsible for input into the design, implementation and quality of the </w:t>
            </w:r>
            <w:r w:rsidR="00322A34">
              <w:rPr>
                <w:sz w:val="20"/>
                <w:szCs w:val="20"/>
              </w:rPr>
              <w:t>unit/subject</w:t>
            </w:r>
            <w:r w:rsidRPr="004653E7">
              <w:rPr>
                <w:sz w:val="20"/>
                <w:szCs w:val="20"/>
              </w:rPr>
              <w:t xml:space="preserve">, including the list of </w:t>
            </w:r>
            <w:r w:rsidR="000D1D8D" w:rsidRPr="004653E7">
              <w:rPr>
                <w:sz w:val="20"/>
                <w:szCs w:val="20"/>
              </w:rPr>
              <w:t xml:space="preserve">representatives on the group and their current positions. </w:t>
            </w:r>
          </w:p>
          <w:p w14:paraId="2E136683" w14:textId="45322CF7" w:rsidR="00484EAD" w:rsidRPr="004653E7" w:rsidRDefault="00484EAD" w:rsidP="006E5A72">
            <w:pPr>
              <w:pStyle w:val="ListParagraph"/>
              <w:numPr>
                <w:ilvl w:val="0"/>
                <w:numId w:val="24"/>
              </w:numPr>
              <w:jc w:val="left"/>
              <w:rPr>
                <w:sz w:val="20"/>
                <w:szCs w:val="20"/>
              </w:rPr>
            </w:pPr>
            <w:r w:rsidRPr="004653E7">
              <w:rPr>
                <w:sz w:val="20"/>
                <w:szCs w:val="20"/>
              </w:rPr>
              <w:t>The current stakeholder group</w:t>
            </w:r>
            <w:r w:rsidR="00445644" w:rsidRPr="004653E7">
              <w:rPr>
                <w:sz w:val="20"/>
                <w:szCs w:val="20"/>
              </w:rPr>
              <w:t>’</w:t>
            </w:r>
            <w:r w:rsidRPr="004653E7">
              <w:rPr>
                <w:sz w:val="20"/>
                <w:szCs w:val="20"/>
              </w:rPr>
              <w:t>s meeting calendar for the current year</w:t>
            </w:r>
            <w:r w:rsidR="00EB6A5A">
              <w:rPr>
                <w:sz w:val="20"/>
                <w:szCs w:val="20"/>
              </w:rPr>
              <w:t xml:space="preserve"> and minutes </w:t>
            </w:r>
            <w:r w:rsidR="00C740DC">
              <w:rPr>
                <w:sz w:val="20"/>
                <w:szCs w:val="20"/>
              </w:rPr>
              <w:t xml:space="preserve">and actions </w:t>
            </w:r>
            <w:r w:rsidR="00EB6A5A">
              <w:rPr>
                <w:sz w:val="20"/>
                <w:szCs w:val="20"/>
              </w:rPr>
              <w:t>of any previous meetings</w:t>
            </w:r>
            <w:r w:rsidR="005A4271">
              <w:rPr>
                <w:sz w:val="20"/>
                <w:szCs w:val="20"/>
              </w:rPr>
              <w:t xml:space="preserve"> in the last two years</w:t>
            </w:r>
            <w:r w:rsidR="005A4271">
              <w:rPr>
                <w:rFonts w:eastAsia="MS Mincho"/>
                <w:sz w:val="20"/>
                <w:szCs w:val="20"/>
              </w:rPr>
              <w:t>, highlighting points of relevance to this standard</w:t>
            </w:r>
            <w:r w:rsidRPr="004653E7">
              <w:rPr>
                <w:sz w:val="20"/>
                <w:szCs w:val="20"/>
              </w:rPr>
              <w:t xml:space="preserve">. </w:t>
            </w:r>
          </w:p>
          <w:p w14:paraId="395069A9" w14:textId="77777777" w:rsidR="00484EAD" w:rsidRPr="004653E7" w:rsidRDefault="00484EAD" w:rsidP="006E5A72">
            <w:pPr>
              <w:pStyle w:val="ListParagraph"/>
              <w:numPr>
                <w:ilvl w:val="0"/>
                <w:numId w:val="24"/>
              </w:numPr>
              <w:jc w:val="left"/>
              <w:rPr>
                <w:sz w:val="20"/>
                <w:szCs w:val="20"/>
              </w:rPr>
            </w:pPr>
            <w:r w:rsidRPr="004653E7">
              <w:rPr>
                <w:sz w:val="20"/>
                <w:szCs w:val="20"/>
              </w:rPr>
              <w:t>Examples of reports from employer and/or graduate surveys</w:t>
            </w:r>
            <w:r w:rsidR="000D1D8D" w:rsidRPr="004653E7">
              <w:rPr>
                <w:sz w:val="20"/>
                <w:szCs w:val="20"/>
              </w:rPr>
              <w:t xml:space="preserve"> and/or </w:t>
            </w:r>
            <w:r w:rsidRPr="004653E7">
              <w:rPr>
                <w:sz w:val="20"/>
                <w:szCs w:val="20"/>
              </w:rPr>
              <w:t xml:space="preserve">reviews and explanation of </w:t>
            </w:r>
            <w:r w:rsidR="00445644" w:rsidRPr="004653E7">
              <w:rPr>
                <w:sz w:val="20"/>
                <w:szCs w:val="20"/>
              </w:rPr>
              <w:t xml:space="preserve">the </w:t>
            </w:r>
            <w:r w:rsidRPr="004653E7">
              <w:rPr>
                <w:sz w:val="20"/>
                <w:szCs w:val="20"/>
              </w:rPr>
              <w:t>outcomes</w:t>
            </w:r>
            <w:r w:rsidR="000D1D8D" w:rsidRPr="004653E7">
              <w:rPr>
                <w:sz w:val="20"/>
                <w:szCs w:val="20"/>
              </w:rPr>
              <w:t xml:space="preserve"> and </w:t>
            </w:r>
            <w:r w:rsidRPr="004653E7">
              <w:rPr>
                <w:sz w:val="20"/>
                <w:szCs w:val="20"/>
              </w:rPr>
              <w:t>actions taken in response to reports.</w:t>
            </w:r>
          </w:p>
          <w:p w14:paraId="5CF24977" w14:textId="77777777" w:rsidR="00484EAD" w:rsidRPr="004653E7" w:rsidRDefault="00484EAD" w:rsidP="006E5A72">
            <w:pPr>
              <w:pStyle w:val="ListParagraph"/>
              <w:numPr>
                <w:ilvl w:val="0"/>
                <w:numId w:val="24"/>
              </w:numPr>
              <w:jc w:val="left"/>
              <w:rPr>
                <w:sz w:val="20"/>
                <w:szCs w:val="20"/>
              </w:rPr>
            </w:pPr>
            <w:r w:rsidRPr="004653E7">
              <w:rPr>
                <w:sz w:val="20"/>
                <w:szCs w:val="20"/>
              </w:rPr>
              <w:t>Records of other stakeholder engagement activities showing participation, decisions made and implemented.</w:t>
            </w:r>
          </w:p>
        </w:tc>
      </w:tr>
      <w:tr w:rsidR="00B661B2" w:rsidRPr="004653E7" w14:paraId="67CAAAAB" w14:textId="77777777" w:rsidTr="00930345">
        <w:trPr>
          <w:trHeight w:val="416"/>
        </w:trPr>
        <w:tc>
          <w:tcPr>
            <w:tcW w:w="709" w:type="dxa"/>
            <w:shd w:val="clear" w:color="auto" w:fill="auto"/>
          </w:tcPr>
          <w:p w14:paraId="5BCA2197" w14:textId="61FFCB26" w:rsidR="00B661B2" w:rsidRPr="004653E7" w:rsidRDefault="00B661B2" w:rsidP="00930345">
            <w:pPr>
              <w:rPr>
                <w:rFonts w:ascii="Arial" w:hAnsi="Arial" w:cs="Arial"/>
                <w:sz w:val="20"/>
                <w:szCs w:val="20"/>
                <w:lang w:eastAsia="en-AU"/>
              </w:rPr>
            </w:pPr>
            <w:r w:rsidRPr="004653E7">
              <w:rPr>
                <w:rFonts w:ascii="Arial" w:hAnsi="Arial" w:cs="Arial"/>
                <w:sz w:val="20"/>
                <w:szCs w:val="20"/>
                <w:lang w:eastAsia="en-AU"/>
              </w:rPr>
              <w:t>2.</w:t>
            </w:r>
            <w:r w:rsidR="00A55358">
              <w:rPr>
                <w:rFonts w:ascii="Arial" w:hAnsi="Arial" w:cs="Arial"/>
                <w:sz w:val="20"/>
                <w:szCs w:val="20"/>
                <w:lang w:eastAsia="en-AU"/>
              </w:rPr>
              <w:t>9</w:t>
            </w:r>
          </w:p>
        </w:tc>
        <w:tc>
          <w:tcPr>
            <w:tcW w:w="3402" w:type="dxa"/>
            <w:shd w:val="clear" w:color="auto" w:fill="auto"/>
          </w:tcPr>
          <w:p w14:paraId="747788DA" w14:textId="325E8E1C" w:rsidR="00B661B2" w:rsidRPr="004653E7" w:rsidRDefault="00B661B2" w:rsidP="00930345">
            <w:pPr>
              <w:rPr>
                <w:rFonts w:ascii="Arial" w:hAnsi="Arial" w:cs="Arial"/>
                <w:sz w:val="20"/>
                <w:szCs w:val="20"/>
                <w:lang w:eastAsia="en-AU"/>
              </w:rPr>
            </w:pPr>
            <w:r w:rsidRPr="004653E7">
              <w:rPr>
                <w:rFonts w:ascii="Arial" w:hAnsi="Arial" w:cs="Arial"/>
                <w:sz w:val="20"/>
                <w:szCs w:val="20"/>
                <w:lang w:eastAsia="en-AU"/>
              </w:rPr>
              <w:t xml:space="preserve">Formal mechanisms exist to anticipate and respond to contemporary developments in </w:t>
            </w:r>
            <w:r>
              <w:rPr>
                <w:rFonts w:ascii="Arial" w:hAnsi="Arial" w:cs="Arial"/>
                <w:sz w:val="20"/>
                <w:szCs w:val="20"/>
                <w:lang w:eastAsia="en-AU"/>
              </w:rPr>
              <w:lastRenderedPageBreak/>
              <w:t xml:space="preserve">podiatric prescribing </w:t>
            </w:r>
            <w:r w:rsidRPr="004653E7">
              <w:rPr>
                <w:rFonts w:ascii="Arial" w:hAnsi="Arial" w:cs="Arial"/>
                <w:sz w:val="20"/>
                <w:szCs w:val="20"/>
                <w:lang w:eastAsia="en-AU"/>
              </w:rPr>
              <w:t xml:space="preserve">and the education of health practitioners, within the curriculum of the </w:t>
            </w:r>
            <w:r w:rsidRPr="00322A34">
              <w:rPr>
                <w:rFonts w:ascii="Arial" w:hAnsi="Arial" w:cs="Arial"/>
                <w:sz w:val="20"/>
                <w:szCs w:val="20"/>
                <w:lang w:eastAsia="en-AU"/>
              </w:rPr>
              <w:t>unit/subject</w:t>
            </w:r>
            <w:r w:rsidRPr="004653E7">
              <w:rPr>
                <w:rFonts w:ascii="Arial" w:hAnsi="Arial" w:cs="Arial"/>
                <w:b/>
                <w:bCs/>
                <w:sz w:val="20"/>
                <w:szCs w:val="20"/>
                <w:lang w:eastAsia="en-AU"/>
              </w:rPr>
              <w:t xml:space="preserve">. </w:t>
            </w:r>
          </w:p>
        </w:tc>
        <w:tc>
          <w:tcPr>
            <w:tcW w:w="5528" w:type="dxa"/>
          </w:tcPr>
          <w:p w14:paraId="28C9FBB9" w14:textId="35EF24AB" w:rsidR="00B661B2" w:rsidRPr="004653E7" w:rsidRDefault="00B661B2" w:rsidP="006E5A72">
            <w:pPr>
              <w:pStyle w:val="ListParagraph"/>
              <w:numPr>
                <w:ilvl w:val="0"/>
                <w:numId w:val="26"/>
              </w:numPr>
              <w:jc w:val="left"/>
              <w:rPr>
                <w:sz w:val="20"/>
                <w:szCs w:val="20"/>
              </w:rPr>
            </w:pPr>
            <w:r w:rsidRPr="004653E7">
              <w:rPr>
                <w:sz w:val="20"/>
                <w:szCs w:val="20"/>
              </w:rPr>
              <w:lastRenderedPageBreak/>
              <w:t xml:space="preserve">Examples of implementation of formal mechanisms used to anticipate and respond to contemporary developments in </w:t>
            </w:r>
            <w:r>
              <w:rPr>
                <w:sz w:val="20"/>
                <w:szCs w:val="20"/>
              </w:rPr>
              <w:t xml:space="preserve">podiatric prescribing </w:t>
            </w:r>
            <w:r w:rsidRPr="004653E7">
              <w:rPr>
                <w:sz w:val="20"/>
                <w:szCs w:val="20"/>
              </w:rPr>
              <w:t xml:space="preserve">and the education </w:t>
            </w:r>
            <w:r w:rsidRPr="004653E7">
              <w:rPr>
                <w:sz w:val="20"/>
                <w:szCs w:val="20"/>
              </w:rPr>
              <w:lastRenderedPageBreak/>
              <w:t>of</w:t>
            </w:r>
            <w:r>
              <w:rPr>
                <w:sz w:val="20"/>
                <w:szCs w:val="20"/>
              </w:rPr>
              <w:t xml:space="preserve"> students of podiatry and</w:t>
            </w:r>
            <w:r w:rsidRPr="004653E7">
              <w:rPr>
                <w:sz w:val="20"/>
                <w:szCs w:val="20"/>
              </w:rPr>
              <w:t xml:space="preserve"> health practitioners within the curriculum of the </w:t>
            </w:r>
            <w:r>
              <w:rPr>
                <w:sz w:val="20"/>
                <w:szCs w:val="20"/>
              </w:rPr>
              <w:t>unit/subject</w:t>
            </w:r>
            <w:r w:rsidRPr="004653E7">
              <w:rPr>
                <w:sz w:val="20"/>
                <w:szCs w:val="20"/>
              </w:rPr>
              <w:t>.</w:t>
            </w:r>
          </w:p>
        </w:tc>
      </w:tr>
      <w:tr w:rsidR="00484EAD" w:rsidRPr="004653E7" w14:paraId="1CE7A3DF" w14:textId="77777777" w:rsidTr="00484EAD">
        <w:trPr>
          <w:trHeight w:val="192"/>
        </w:trPr>
        <w:tc>
          <w:tcPr>
            <w:tcW w:w="709" w:type="dxa"/>
            <w:shd w:val="clear" w:color="auto" w:fill="auto"/>
          </w:tcPr>
          <w:p w14:paraId="07AF35C4" w14:textId="1D407E6C" w:rsidR="00484EAD" w:rsidRPr="004653E7" w:rsidRDefault="00484EAD" w:rsidP="00BF1E99">
            <w:pPr>
              <w:rPr>
                <w:rFonts w:ascii="Arial" w:hAnsi="Arial" w:cs="Arial"/>
                <w:sz w:val="20"/>
                <w:szCs w:val="20"/>
                <w:lang w:eastAsia="en-AU"/>
              </w:rPr>
            </w:pPr>
            <w:bookmarkStart w:id="27" w:name="_Hlk55473765"/>
            <w:r w:rsidRPr="004653E7">
              <w:rPr>
                <w:rFonts w:ascii="Arial" w:hAnsi="Arial" w:cs="Arial"/>
                <w:sz w:val="20"/>
                <w:szCs w:val="20"/>
                <w:lang w:eastAsia="en-AU"/>
              </w:rPr>
              <w:lastRenderedPageBreak/>
              <w:t>2.1</w:t>
            </w:r>
            <w:r w:rsidR="00E21A05">
              <w:rPr>
                <w:rFonts w:ascii="Arial" w:hAnsi="Arial" w:cs="Arial"/>
                <w:sz w:val="20"/>
                <w:szCs w:val="20"/>
                <w:lang w:eastAsia="en-AU"/>
              </w:rPr>
              <w:t>0</w:t>
            </w:r>
          </w:p>
        </w:tc>
        <w:tc>
          <w:tcPr>
            <w:tcW w:w="3402" w:type="dxa"/>
            <w:shd w:val="clear" w:color="auto" w:fill="auto"/>
          </w:tcPr>
          <w:p w14:paraId="67AE557A" w14:textId="16FEF693" w:rsidR="00484EAD" w:rsidRPr="004653E7" w:rsidRDefault="00484EAD" w:rsidP="00BF1E99">
            <w:pPr>
              <w:rPr>
                <w:rFonts w:ascii="Arial" w:hAnsi="Arial" w:cs="Arial"/>
                <w:sz w:val="20"/>
                <w:szCs w:val="20"/>
                <w:lang w:eastAsia="en-AU"/>
              </w:rPr>
            </w:pPr>
            <w:r w:rsidRPr="004653E7">
              <w:rPr>
                <w:rFonts w:ascii="Arial" w:hAnsi="Arial" w:cs="Arial"/>
                <w:sz w:val="20"/>
                <w:szCs w:val="20"/>
                <w:lang w:eastAsia="en-AU"/>
              </w:rPr>
              <w:t xml:space="preserve">The education provider assesses and actively manages risks to </w:t>
            </w:r>
            <w:r w:rsidR="00FE225C">
              <w:rPr>
                <w:rFonts w:ascii="Arial" w:hAnsi="Arial" w:cs="Arial"/>
                <w:sz w:val="20"/>
                <w:szCs w:val="20"/>
                <w:lang w:eastAsia="en-AU"/>
              </w:rPr>
              <w:t>each</w:t>
            </w:r>
            <w:r w:rsidR="00FE225C" w:rsidRPr="004653E7">
              <w:rPr>
                <w:rFonts w:ascii="Arial" w:hAnsi="Arial" w:cs="Arial"/>
                <w:sz w:val="20"/>
                <w:szCs w:val="20"/>
                <w:lang w:eastAsia="en-AU"/>
              </w:rPr>
              <w:t xml:space="preserve"> </w:t>
            </w:r>
            <w:r w:rsidR="00322A34" w:rsidRPr="00322A34">
              <w:rPr>
                <w:rFonts w:ascii="Arial" w:hAnsi="Arial" w:cs="Arial"/>
                <w:sz w:val="20"/>
                <w:szCs w:val="20"/>
                <w:lang w:eastAsia="en-AU"/>
              </w:rPr>
              <w:t>unit/subject</w:t>
            </w:r>
            <w:r w:rsidR="00C273CB">
              <w:rPr>
                <w:rFonts w:ascii="Arial" w:hAnsi="Arial" w:cs="Arial"/>
                <w:sz w:val="20"/>
                <w:szCs w:val="20"/>
                <w:lang w:eastAsia="en-AU"/>
              </w:rPr>
              <w:t xml:space="preserve"> and</w:t>
            </w:r>
            <w:r w:rsidRPr="004653E7">
              <w:rPr>
                <w:rFonts w:ascii="Arial" w:hAnsi="Arial" w:cs="Arial"/>
                <w:sz w:val="20"/>
                <w:szCs w:val="20"/>
                <w:lang w:eastAsia="en-AU"/>
              </w:rPr>
              <w:t xml:space="preserve"> </w:t>
            </w:r>
            <w:r w:rsidR="00322A34" w:rsidRPr="00322A34">
              <w:rPr>
                <w:rFonts w:ascii="Arial" w:hAnsi="Arial" w:cs="Arial"/>
                <w:sz w:val="20"/>
                <w:szCs w:val="20"/>
                <w:lang w:eastAsia="en-AU"/>
              </w:rPr>
              <w:t xml:space="preserve">unit/subject </w:t>
            </w:r>
            <w:r w:rsidRPr="004653E7">
              <w:rPr>
                <w:rFonts w:ascii="Arial" w:hAnsi="Arial" w:cs="Arial"/>
                <w:sz w:val="20"/>
                <w:szCs w:val="20"/>
                <w:lang w:eastAsia="en-AU"/>
              </w:rPr>
              <w:t>outcomes.</w:t>
            </w:r>
          </w:p>
        </w:tc>
        <w:tc>
          <w:tcPr>
            <w:tcW w:w="5528" w:type="dxa"/>
          </w:tcPr>
          <w:p w14:paraId="0FB127FE" w14:textId="77B04EBC" w:rsidR="00EB6A5A" w:rsidRDefault="00484EAD" w:rsidP="006E5A72">
            <w:pPr>
              <w:pStyle w:val="ListParagraph"/>
              <w:numPr>
                <w:ilvl w:val="0"/>
                <w:numId w:val="23"/>
              </w:numPr>
              <w:tabs>
                <w:tab w:val="left" w:pos="1656"/>
              </w:tabs>
              <w:jc w:val="left"/>
              <w:rPr>
                <w:sz w:val="20"/>
                <w:szCs w:val="20"/>
              </w:rPr>
            </w:pPr>
            <w:r w:rsidRPr="004653E7">
              <w:rPr>
                <w:sz w:val="20"/>
                <w:szCs w:val="20"/>
              </w:rPr>
              <w:t xml:space="preserve">Examples of </w:t>
            </w:r>
            <w:r w:rsidR="005A4271">
              <w:rPr>
                <w:sz w:val="20"/>
                <w:szCs w:val="20"/>
              </w:rPr>
              <w:t xml:space="preserve">development and </w:t>
            </w:r>
            <w:r w:rsidRPr="004653E7">
              <w:rPr>
                <w:sz w:val="20"/>
                <w:szCs w:val="20"/>
              </w:rPr>
              <w:t>implementation of a risk management plan</w:t>
            </w:r>
          </w:p>
          <w:p w14:paraId="1DA5E93A" w14:textId="5CC7236C" w:rsidR="00484EAD" w:rsidRDefault="00EB6A5A" w:rsidP="006E5A72">
            <w:pPr>
              <w:pStyle w:val="ListParagraph"/>
              <w:numPr>
                <w:ilvl w:val="0"/>
                <w:numId w:val="23"/>
              </w:numPr>
              <w:tabs>
                <w:tab w:val="left" w:pos="1656"/>
              </w:tabs>
              <w:jc w:val="left"/>
              <w:rPr>
                <w:sz w:val="20"/>
                <w:szCs w:val="20"/>
              </w:rPr>
            </w:pPr>
            <w:r>
              <w:rPr>
                <w:sz w:val="20"/>
                <w:szCs w:val="20"/>
              </w:rPr>
              <w:t>Examples of</w:t>
            </w:r>
            <w:r w:rsidR="00484EAD" w:rsidRPr="004653E7">
              <w:rPr>
                <w:sz w:val="20"/>
                <w:szCs w:val="20"/>
              </w:rPr>
              <w:t xml:space="preserve"> formal mechanisms for assessing</w:t>
            </w:r>
            <w:r>
              <w:rPr>
                <w:sz w:val="20"/>
                <w:szCs w:val="20"/>
              </w:rPr>
              <w:t>,</w:t>
            </w:r>
            <w:r w:rsidR="00484EAD" w:rsidRPr="004653E7">
              <w:rPr>
                <w:sz w:val="20"/>
                <w:szCs w:val="20"/>
              </w:rPr>
              <w:t xml:space="preserve"> mitigating </w:t>
            </w:r>
            <w:r>
              <w:rPr>
                <w:sz w:val="20"/>
                <w:szCs w:val="20"/>
              </w:rPr>
              <w:t xml:space="preserve">and addressing </w:t>
            </w:r>
            <w:r w:rsidR="0034246E" w:rsidRPr="004653E7">
              <w:rPr>
                <w:sz w:val="20"/>
                <w:szCs w:val="20"/>
              </w:rPr>
              <w:t>risk</w:t>
            </w:r>
            <w:r w:rsidR="00C864CF">
              <w:rPr>
                <w:sz w:val="20"/>
                <w:szCs w:val="20"/>
              </w:rPr>
              <w:t xml:space="preserve">s to </w:t>
            </w:r>
            <w:r w:rsidR="00FE225C">
              <w:rPr>
                <w:sz w:val="20"/>
                <w:szCs w:val="20"/>
              </w:rPr>
              <w:t xml:space="preserve">each </w:t>
            </w:r>
            <w:r w:rsidR="00322A34">
              <w:rPr>
                <w:sz w:val="20"/>
                <w:szCs w:val="20"/>
              </w:rPr>
              <w:t>unit/subject</w:t>
            </w:r>
            <w:r w:rsidR="00C273CB">
              <w:rPr>
                <w:sz w:val="20"/>
                <w:szCs w:val="20"/>
              </w:rPr>
              <w:t xml:space="preserve"> and</w:t>
            </w:r>
            <w:r w:rsidR="00C864CF">
              <w:rPr>
                <w:sz w:val="20"/>
                <w:szCs w:val="20"/>
              </w:rPr>
              <w:t xml:space="preserve"> </w:t>
            </w:r>
            <w:r w:rsidR="00322A34">
              <w:rPr>
                <w:sz w:val="20"/>
                <w:szCs w:val="20"/>
              </w:rPr>
              <w:t>unit/subject</w:t>
            </w:r>
            <w:r w:rsidR="00322A34" w:rsidRPr="004653E7">
              <w:rPr>
                <w:sz w:val="20"/>
                <w:szCs w:val="20"/>
              </w:rPr>
              <w:t xml:space="preserve"> </w:t>
            </w:r>
            <w:r w:rsidR="00C864CF">
              <w:rPr>
                <w:sz w:val="20"/>
                <w:szCs w:val="20"/>
              </w:rPr>
              <w:t>outcomes</w:t>
            </w:r>
            <w:r w:rsidR="00484EAD" w:rsidRPr="004653E7">
              <w:rPr>
                <w:sz w:val="20"/>
                <w:szCs w:val="20"/>
              </w:rPr>
              <w:t>.</w:t>
            </w:r>
          </w:p>
          <w:p w14:paraId="00F12952" w14:textId="77777777" w:rsidR="005A4271" w:rsidRPr="004653E7" w:rsidRDefault="005A4271" w:rsidP="006E5A72">
            <w:pPr>
              <w:pStyle w:val="ListParagraph"/>
              <w:numPr>
                <w:ilvl w:val="0"/>
                <w:numId w:val="23"/>
              </w:numPr>
              <w:jc w:val="left"/>
              <w:rPr>
                <w:sz w:val="20"/>
                <w:szCs w:val="20"/>
              </w:rPr>
            </w:pPr>
            <w:r w:rsidRPr="004653E7">
              <w:rPr>
                <w:sz w:val="20"/>
                <w:szCs w:val="20"/>
              </w:rPr>
              <w:t>Examples of engagement between the education provider and practitioners who provide instruction and supervision to students during work-integrated learning.</w:t>
            </w:r>
          </w:p>
          <w:p w14:paraId="261208C8" w14:textId="3ECADAB3" w:rsidR="005A4271" w:rsidRPr="004653E7" w:rsidRDefault="005A4271" w:rsidP="006E5A72">
            <w:pPr>
              <w:pStyle w:val="ListParagraph"/>
              <w:numPr>
                <w:ilvl w:val="0"/>
                <w:numId w:val="23"/>
              </w:numPr>
              <w:tabs>
                <w:tab w:val="left" w:pos="1656"/>
              </w:tabs>
              <w:jc w:val="left"/>
              <w:rPr>
                <w:sz w:val="20"/>
                <w:szCs w:val="20"/>
              </w:rPr>
            </w:pPr>
            <w:r w:rsidRPr="004653E7">
              <w:rPr>
                <w:sz w:val="20"/>
                <w:szCs w:val="20"/>
              </w:rPr>
              <w:t>Examples of implementation of formal mechanisms used for training and monitoring work-integrated learning supervisors.</w:t>
            </w:r>
          </w:p>
        </w:tc>
      </w:tr>
      <w:bookmarkEnd w:id="27"/>
      <w:tr w:rsidR="00484EAD" w:rsidRPr="004653E7" w14:paraId="397E5545" w14:textId="77777777" w:rsidTr="00484EAD">
        <w:trPr>
          <w:trHeight w:val="489"/>
        </w:trPr>
        <w:tc>
          <w:tcPr>
            <w:tcW w:w="709" w:type="dxa"/>
            <w:shd w:val="clear" w:color="auto" w:fill="auto"/>
          </w:tcPr>
          <w:p w14:paraId="7D8652DD" w14:textId="4E3EBFF0" w:rsidR="00484EAD" w:rsidRPr="004653E7" w:rsidRDefault="00484EAD" w:rsidP="00BF1E99">
            <w:pPr>
              <w:rPr>
                <w:rFonts w:ascii="Arial" w:hAnsi="Arial" w:cs="Arial"/>
                <w:sz w:val="20"/>
                <w:szCs w:val="20"/>
                <w:lang w:eastAsia="en-AU"/>
              </w:rPr>
            </w:pPr>
            <w:r w:rsidRPr="004653E7">
              <w:rPr>
                <w:rFonts w:ascii="Arial" w:hAnsi="Arial" w:cs="Arial"/>
                <w:sz w:val="20"/>
                <w:szCs w:val="20"/>
                <w:lang w:eastAsia="en-AU"/>
              </w:rPr>
              <w:t>2.1</w:t>
            </w:r>
            <w:r w:rsidR="00E21A05">
              <w:rPr>
                <w:rFonts w:ascii="Arial" w:hAnsi="Arial" w:cs="Arial"/>
                <w:sz w:val="20"/>
                <w:szCs w:val="20"/>
                <w:lang w:eastAsia="en-AU"/>
              </w:rPr>
              <w:t>1</w:t>
            </w:r>
          </w:p>
        </w:tc>
        <w:tc>
          <w:tcPr>
            <w:tcW w:w="3402" w:type="dxa"/>
            <w:shd w:val="clear" w:color="auto" w:fill="auto"/>
          </w:tcPr>
          <w:p w14:paraId="2525D29C" w14:textId="68F6626A" w:rsidR="00484EAD" w:rsidRPr="004653E7" w:rsidRDefault="00484EAD" w:rsidP="00BF1E99">
            <w:pPr>
              <w:rPr>
                <w:rFonts w:ascii="Arial" w:hAnsi="Arial" w:cs="Arial"/>
                <w:sz w:val="20"/>
                <w:szCs w:val="20"/>
                <w:lang w:eastAsia="en-AU"/>
              </w:rPr>
            </w:pPr>
            <w:r w:rsidRPr="004653E7">
              <w:rPr>
                <w:rFonts w:ascii="Arial" w:hAnsi="Arial" w:cs="Arial"/>
                <w:sz w:val="20"/>
                <w:szCs w:val="20"/>
                <w:lang w:eastAsia="en-AU"/>
              </w:rPr>
              <w:t xml:space="preserve">The education provider appoints academic staff at an appropriate level to manage and lead the </w:t>
            </w:r>
            <w:r w:rsidR="00DF3FB8">
              <w:rPr>
                <w:rFonts w:ascii="Arial" w:hAnsi="Arial" w:cs="Arial"/>
                <w:sz w:val="20"/>
                <w:szCs w:val="20"/>
                <w:lang w:eastAsia="en-AU"/>
              </w:rPr>
              <w:t>program</w:t>
            </w:r>
            <w:r w:rsidRPr="004653E7">
              <w:rPr>
                <w:rFonts w:ascii="Arial" w:hAnsi="Arial" w:cs="Arial"/>
                <w:sz w:val="20"/>
                <w:szCs w:val="20"/>
                <w:lang w:eastAsia="en-AU"/>
              </w:rPr>
              <w:t>.</w:t>
            </w:r>
          </w:p>
        </w:tc>
        <w:tc>
          <w:tcPr>
            <w:tcW w:w="5528" w:type="dxa"/>
          </w:tcPr>
          <w:p w14:paraId="370D7AEC" w14:textId="06CDA29C" w:rsidR="00484EAD" w:rsidRPr="004653E7" w:rsidRDefault="00484EAD" w:rsidP="006E5A72">
            <w:pPr>
              <w:pStyle w:val="ListParagraph"/>
              <w:numPr>
                <w:ilvl w:val="0"/>
                <w:numId w:val="18"/>
              </w:numPr>
              <w:jc w:val="left"/>
              <w:rPr>
                <w:rFonts w:eastAsia="MS Mincho"/>
                <w:sz w:val="20"/>
                <w:szCs w:val="20"/>
              </w:rPr>
            </w:pPr>
            <w:r w:rsidRPr="004653E7">
              <w:rPr>
                <w:rFonts w:eastAsia="MS Mincho"/>
                <w:sz w:val="20"/>
                <w:szCs w:val="20"/>
              </w:rPr>
              <w:t xml:space="preserve">Staffing profile for </w:t>
            </w:r>
            <w:r w:rsidR="007F40B7" w:rsidRPr="004653E7">
              <w:rPr>
                <w:rFonts w:eastAsia="MS Mincho"/>
                <w:sz w:val="20"/>
                <w:szCs w:val="20"/>
              </w:rPr>
              <w:t xml:space="preserve">staff responsible for </w:t>
            </w:r>
            <w:r w:rsidRPr="004653E7">
              <w:rPr>
                <w:rFonts w:eastAsia="MS Mincho"/>
                <w:sz w:val="20"/>
                <w:szCs w:val="20"/>
              </w:rPr>
              <w:t xml:space="preserve">management and leadership of the </w:t>
            </w:r>
            <w:r w:rsidR="00322A34">
              <w:rPr>
                <w:sz w:val="20"/>
                <w:szCs w:val="20"/>
              </w:rPr>
              <w:t>unit/subject</w:t>
            </w:r>
            <w:r w:rsidRPr="004653E7">
              <w:rPr>
                <w:rFonts w:eastAsia="MS Mincho"/>
                <w:sz w:val="20"/>
                <w:szCs w:val="20"/>
              </w:rPr>
              <w:t>, identifying</w:t>
            </w:r>
            <w:r w:rsidR="009311C6">
              <w:rPr>
                <w:rFonts w:eastAsia="MS Mincho"/>
                <w:sz w:val="20"/>
                <w:szCs w:val="20"/>
              </w:rPr>
              <w:t xml:space="preserve"> </w:t>
            </w:r>
            <w:proofErr w:type="spellStart"/>
            <w:r w:rsidR="009311C6">
              <w:rPr>
                <w:rFonts w:eastAsia="MS Mincho"/>
                <w:sz w:val="20"/>
                <w:szCs w:val="20"/>
              </w:rPr>
              <w:t>their</w:t>
            </w:r>
            <w:proofErr w:type="spellEnd"/>
            <w:r w:rsidRPr="004653E7">
              <w:rPr>
                <w:rFonts w:eastAsia="MS Mincho"/>
                <w:sz w:val="20"/>
                <w:szCs w:val="20"/>
              </w:rPr>
              <w:t>:</w:t>
            </w:r>
          </w:p>
          <w:p w14:paraId="1B3177D1" w14:textId="4A1C2625" w:rsidR="00484EAD" w:rsidRPr="00D71A89" w:rsidRDefault="00484EAD" w:rsidP="006E5A72">
            <w:pPr>
              <w:pStyle w:val="AHPRAAUtablebulletlevel1"/>
              <w:numPr>
                <w:ilvl w:val="1"/>
                <w:numId w:val="18"/>
              </w:numPr>
              <w:spacing w:before="0" w:after="0"/>
              <w:ind w:left="720"/>
            </w:pPr>
            <w:r w:rsidRPr="00D71A89">
              <w:t xml:space="preserve">academic level of appointment </w:t>
            </w:r>
          </w:p>
          <w:p w14:paraId="53CE5CB9" w14:textId="4F2A6050" w:rsidR="00484EAD" w:rsidRPr="00D71A89" w:rsidRDefault="00484EAD" w:rsidP="006E5A72">
            <w:pPr>
              <w:pStyle w:val="AHPRAAUtablebulletlevel1"/>
              <w:numPr>
                <w:ilvl w:val="1"/>
                <w:numId w:val="18"/>
              </w:numPr>
              <w:spacing w:before="0" w:after="0"/>
              <w:ind w:left="720"/>
            </w:pPr>
            <w:r w:rsidRPr="00D71A89">
              <w:t xml:space="preserve">role in </w:t>
            </w:r>
            <w:r w:rsidR="00FE225C">
              <w:t>each</w:t>
            </w:r>
            <w:r w:rsidR="00FE225C" w:rsidRPr="00D71A89">
              <w:t xml:space="preserve"> </w:t>
            </w:r>
            <w:r w:rsidR="00322A34">
              <w:t>unit/subject</w:t>
            </w:r>
          </w:p>
          <w:p w14:paraId="2EC81035" w14:textId="6A545754" w:rsidR="00484EAD" w:rsidRPr="00D71A89" w:rsidRDefault="00484EAD" w:rsidP="006E5A72">
            <w:pPr>
              <w:pStyle w:val="AHPRAAUtablebulletlevel1"/>
              <w:numPr>
                <w:ilvl w:val="1"/>
                <w:numId w:val="18"/>
              </w:numPr>
              <w:spacing w:before="0" w:after="0"/>
              <w:ind w:left="720"/>
            </w:pPr>
            <w:r w:rsidRPr="00D71A89">
              <w:t xml:space="preserve">fraction (full-time, part-time) and type (ongoing, contract, casual) </w:t>
            </w:r>
            <w:r w:rsidR="00556249" w:rsidRPr="00D71A89">
              <w:t>of appointment</w:t>
            </w:r>
          </w:p>
          <w:p w14:paraId="4C22836A" w14:textId="63ECCDE9" w:rsidR="00484EAD" w:rsidRPr="00D71A89" w:rsidRDefault="00484EAD" w:rsidP="006E5A72">
            <w:pPr>
              <w:pStyle w:val="AHPRAAUtablebulletlevel1"/>
              <w:numPr>
                <w:ilvl w:val="1"/>
                <w:numId w:val="18"/>
              </w:numPr>
              <w:spacing w:before="0" w:after="0"/>
              <w:ind w:left="720"/>
            </w:pPr>
            <w:r w:rsidRPr="00D71A89">
              <w:t>qualifications and experience relevant to their responsibilities</w:t>
            </w:r>
          </w:p>
          <w:p w14:paraId="45904C06" w14:textId="7F9220C6" w:rsidR="004C7965" w:rsidRPr="004C7965" w:rsidRDefault="004C7965" w:rsidP="006E5A72">
            <w:pPr>
              <w:pStyle w:val="AHPRAAUtablebulletlevel1"/>
              <w:numPr>
                <w:ilvl w:val="1"/>
                <w:numId w:val="18"/>
              </w:numPr>
              <w:spacing w:before="0" w:after="0"/>
              <w:ind w:left="720"/>
              <w:rPr>
                <w:rFonts w:eastAsia="MS Mincho"/>
              </w:rPr>
            </w:pPr>
            <w:r>
              <w:t>relevant registration status</w:t>
            </w:r>
            <w:r w:rsidRPr="00D71A89">
              <w:t>, and</w:t>
            </w:r>
          </w:p>
          <w:p w14:paraId="10559AC4" w14:textId="77777777" w:rsidR="004C7965" w:rsidRPr="00496971" w:rsidRDefault="00484EAD" w:rsidP="006E5A72">
            <w:pPr>
              <w:pStyle w:val="AHPRAAUtablebulletlevel1"/>
              <w:numPr>
                <w:ilvl w:val="1"/>
                <w:numId w:val="18"/>
              </w:numPr>
              <w:spacing w:before="0" w:after="0"/>
              <w:ind w:left="720"/>
              <w:rPr>
                <w:rFonts w:eastAsia="MS Mincho"/>
              </w:rPr>
            </w:pPr>
            <w:r w:rsidRPr="00D71A89">
              <w:t xml:space="preserve">engagement in further learning related to </w:t>
            </w:r>
            <w:r w:rsidR="00556249" w:rsidRPr="00D71A89">
              <w:t xml:space="preserve">their </w:t>
            </w:r>
            <w:r w:rsidRPr="00D71A89">
              <w:t>role and responsibilities.</w:t>
            </w:r>
          </w:p>
          <w:p w14:paraId="63186241" w14:textId="03B265AD" w:rsidR="00496971" w:rsidRPr="004C7965" w:rsidRDefault="00496971" w:rsidP="006E5A72">
            <w:pPr>
              <w:pStyle w:val="AHPRAAUtablebulletlevel1"/>
              <w:numPr>
                <w:ilvl w:val="0"/>
                <w:numId w:val="18"/>
              </w:numPr>
              <w:spacing w:before="0" w:after="0"/>
              <w:rPr>
                <w:rFonts w:eastAsia="MS Mincho"/>
              </w:rPr>
            </w:pPr>
            <w:r w:rsidRPr="00FD02B9">
              <w:rPr>
                <w:rFonts w:eastAsia="MS Mincho"/>
              </w:rPr>
              <w:t>Description of and examples that show the mechanisms by which the education provider ensures staff demonstrate culturally safe practice in the delivery of programs.</w:t>
            </w:r>
          </w:p>
        </w:tc>
      </w:tr>
      <w:tr w:rsidR="000D1D8D" w:rsidRPr="004653E7" w14:paraId="7F127CC7" w14:textId="77777777" w:rsidTr="00484EAD">
        <w:trPr>
          <w:trHeight w:val="489"/>
        </w:trPr>
        <w:tc>
          <w:tcPr>
            <w:tcW w:w="709" w:type="dxa"/>
            <w:shd w:val="clear" w:color="auto" w:fill="auto"/>
          </w:tcPr>
          <w:p w14:paraId="3E9A02FF" w14:textId="585637B2" w:rsidR="000D1D8D" w:rsidRPr="004653E7" w:rsidRDefault="000D1D8D" w:rsidP="000D1D8D">
            <w:pPr>
              <w:rPr>
                <w:rFonts w:ascii="Arial" w:hAnsi="Arial" w:cs="Arial"/>
                <w:sz w:val="20"/>
                <w:szCs w:val="20"/>
                <w:lang w:eastAsia="en-AU"/>
              </w:rPr>
            </w:pPr>
            <w:r w:rsidRPr="004653E7">
              <w:rPr>
                <w:rFonts w:ascii="Arial" w:hAnsi="Arial" w:cs="Arial"/>
                <w:sz w:val="20"/>
                <w:szCs w:val="20"/>
                <w:lang w:eastAsia="en-AU"/>
              </w:rPr>
              <w:t>2.</w:t>
            </w:r>
            <w:r w:rsidR="001074EB" w:rsidRPr="004653E7">
              <w:rPr>
                <w:rFonts w:ascii="Arial" w:hAnsi="Arial" w:cs="Arial"/>
                <w:sz w:val="20"/>
                <w:szCs w:val="20"/>
                <w:lang w:eastAsia="en-AU"/>
              </w:rPr>
              <w:t>1</w:t>
            </w:r>
            <w:r w:rsidR="00E21A05">
              <w:rPr>
                <w:rFonts w:ascii="Arial" w:hAnsi="Arial" w:cs="Arial"/>
                <w:sz w:val="20"/>
                <w:szCs w:val="20"/>
                <w:lang w:eastAsia="en-AU"/>
              </w:rPr>
              <w:t>2</w:t>
            </w:r>
          </w:p>
        </w:tc>
        <w:tc>
          <w:tcPr>
            <w:tcW w:w="3402" w:type="dxa"/>
            <w:shd w:val="clear" w:color="auto" w:fill="auto"/>
          </w:tcPr>
          <w:p w14:paraId="3571BCB1" w14:textId="03771E4F" w:rsidR="000D1D8D" w:rsidRPr="004653E7" w:rsidRDefault="000D1D8D" w:rsidP="000D1D8D">
            <w:pPr>
              <w:rPr>
                <w:rFonts w:ascii="Arial" w:hAnsi="Arial" w:cs="Arial"/>
                <w:sz w:val="20"/>
                <w:szCs w:val="20"/>
                <w:lang w:eastAsia="en-AU"/>
              </w:rPr>
            </w:pPr>
            <w:r w:rsidRPr="004653E7">
              <w:rPr>
                <w:rFonts w:ascii="Arial" w:hAnsi="Arial" w:cs="Arial"/>
                <w:sz w:val="20"/>
                <w:szCs w:val="20"/>
                <w:lang w:eastAsia="en-AU"/>
              </w:rPr>
              <w:t xml:space="preserve">Staff managing and leading the </w:t>
            </w:r>
            <w:r w:rsidR="00322A34" w:rsidRPr="00322A34">
              <w:rPr>
                <w:rFonts w:ascii="Arial" w:hAnsi="Arial" w:cs="Arial"/>
                <w:sz w:val="20"/>
                <w:szCs w:val="20"/>
                <w:lang w:eastAsia="en-AU"/>
              </w:rPr>
              <w:t xml:space="preserve">unit/subject </w:t>
            </w:r>
            <w:r w:rsidRPr="004653E7">
              <w:rPr>
                <w:rFonts w:ascii="Arial" w:hAnsi="Arial" w:cs="Arial"/>
                <w:sz w:val="20"/>
                <w:szCs w:val="20"/>
                <w:lang w:eastAsia="en-AU"/>
              </w:rPr>
              <w:t xml:space="preserve">have </w:t>
            </w:r>
            <w:proofErr w:type="gramStart"/>
            <w:r w:rsidRPr="004653E7">
              <w:rPr>
                <w:rFonts w:ascii="Arial" w:hAnsi="Arial" w:cs="Arial"/>
                <w:sz w:val="20"/>
                <w:szCs w:val="20"/>
                <w:lang w:eastAsia="en-AU"/>
              </w:rPr>
              <w:t>sufficient</w:t>
            </w:r>
            <w:proofErr w:type="gramEnd"/>
            <w:r w:rsidRPr="004653E7">
              <w:rPr>
                <w:rFonts w:ascii="Arial" w:hAnsi="Arial" w:cs="Arial"/>
                <w:sz w:val="20"/>
                <w:szCs w:val="20"/>
                <w:lang w:eastAsia="en-AU"/>
              </w:rPr>
              <w:t xml:space="preserve"> autonomy to </w:t>
            </w:r>
            <w:r w:rsidR="00152D70">
              <w:rPr>
                <w:rFonts w:ascii="Arial" w:hAnsi="Arial" w:cs="Arial"/>
                <w:sz w:val="20"/>
                <w:szCs w:val="20"/>
                <w:lang w:eastAsia="en-AU"/>
              </w:rPr>
              <w:t>assure</w:t>
            </w:r>
            <w:r w:rsidR="003E48FA" w:rsidRPr="004653E7">
              <w:rPr>
                <w:rFonts w:ascii="Arial" w:hAnsi="Arial" w:cs="Arial"/>
                <w:sz w:val="20"/>
                <w:szCs w:val="20"/>
                <w:lang w:eastAsia="en-AU"/>
              </w:rPr>
              <w:t xml:space="preserve"> </w:t>
            </w:r>
            <w:r w:rsidRPr="004653E7">
              <w:rPr>
                <w:rFonts w:ascii="Arial" w:hAnsi="Arial" w:cs="Arial"/>
                <w:sz w:val="20"/>
                <w:szCs w:val="20"/>
                <w:lang w:eastAsia="en-AU"/>
              </w:rPr>
              <w:t>the level and range of human resources, facilities</w:t>
            </w:r>
            <w:r w:rsidR="000D1A18" w:rsidRPr="004653E7">
              <w:rPr>
                <w:rFonts w:ascii="Arial" w:hAnsi="Arial" w:cs="Arial"/>
                <w:sz w:val="20"/>
                <w:szCs w:val="20"/>
                <w:lang w:eastAsia="en-AU"/>
              </w:rPr>
              <w:t xml:space="preserve"> and</w:t>
            </w:r>
            <w:r w:rsidRPr="004653E7">
              <w:rPr>
                <w:rFonts w:ascii="Arial" w:hAnsi="Arial" w:cs="Arial"/>
                <w:sz w:val="20"/>
                <w:szCs w:val="20"/>
                <w:lang w:eastAsia="en-AU"/>
              </w:rPr>
              <w:t xml:space="preserve"> equipment </w:t>
            </w:r>
            <w:r w:rsidR="00FE225C">
              <w:rPr>
                <w:rFonts w:ascii="Arial" w:hAnsi="Arial" w:cs="Arial"/>
                <w:sz w:val="20"/>
                <w:szCs w:val="20"/>
                <w:lang w:eastAsia="en-AU"/>
              </w:rPr>
              <w:t>required</w:t>
            </w:r>
            <w:r w:rsidRPr="004653E7">
              <w:rPr>
                <w:rFonts w:ascii="Arial" w:hAnsi="Arial" w:cs="Arial"/>
                <w:sz w:val="20"/>
                <w:szCs w:val="20"/>
                <w:lang w:eastAsia="en-AU"/>
              </w:rPr>
              <w:t>.</w:t>
            </w:r>
          </w:p>
        </w:tc>
        <w:tc>
          <w:tcPr>
            <w:tcW w:w="5528" w:type="dxa"/>
          </w:tcPr>
          <w:p w14:paraId="676093C9" w14:textId="6DF34DD5" w:rsidR="000D1D8D" w:rsidRPr="004653E7" w:rsidRDefault="000D1D8D" w:rsidP="006E5A72">
            <w:pPr>
              <w:pStyle w:val="ListParagraph"/>
              <w:numPr>
                <w:ilvl w:val="0"/>
                <w:numId w:val="18"/>
              </w:numPr>
              <w:jc w:val="left"/>
              <w:rPr>
                <w:rFonts w:eastAsia="MS Mincho"/>
                <w:sz w:val="20"/>
                <w:szCs w:val="20"/>
              </w:rPr>
            </w:pPr>
            <w:r w:rsidRPr="004653E7">
              <w:rPr>
                <w:sz w:val="20"/>
                <w:szCs w:val="20"/>
              </w:rPr>
              <w:t>Examples of correspondence or meeting</w:t>
            </w:r>
            <w:r w:rsidR="004C7965">
              <w:rPr>
                <w:sz w:val="20"/>
                <w:szCs w:val="20"/>
              </w:rPr>
              <w:t xml:space="preserve"> minute</w:t>
            </w:r>
            <w:r w:rsidRPr="004653E7">
              <w:rPr>
                <w:sz w:val="20"/>
                <w:szCs w:val="20"/>
              </w:rPr>
              <w:t xml:space="preserve">s that show staff managing and leading the </w:t>
            </w:r>
            <w:r w:rsidR="00322A34">
              <w:rPr>
                <w:sz w:val="20"/>
                <w:szCs w:val="20"/>
              </w:rPr>
              <w:t>unit/subject</w:t>
            </w:r>
            <w:r w:rsidR="00322A34" w:rsidRPr="004653E7">
              <w:rPr>
                <w:sz w:val="20"/>
                <w:szCs w:val="20"/>
              </w:rPr>
              <w:t xml:space="preserve"> </w:t>
            </w:r>
            <w:r w:rsidRPr="004653E7">
              <w:rPr>
                <w:sz w:val="20"/>
                <w:szCs w:val="20"/>
              </w:rPr>
              <w:t>are requesting the allocation of human resources, facilities and equipment when necessary, and the response from the decision-makers.</w:t>
            </w:r>
          </w:p>
        </w:tc>
      </w:tr>
      <w:tr w:rsidR="000D1D8D" w:rsidRPr="004653E7" w14:paraId="3E2DD905" w14:textId="77777777" w:rsidTr="00484EAD">
        <w:trPr>
          <w:trHeight w:val="489"/>
        </w:trPr>
        <w:tc>
          <w:tcPr>
            <w:tcW w:w="709" w:type="dxa"/>
            <w:shd w:val="clear" w:color="auto" w:fill="auto"/>
          </w:tcPr>
          <w:p w14:paraId="0349DAAE" w14:textId="7EA39BE0" w:rsidR="000D1D8D" w:rsidRPr="004653E7" w:rsidRDefault="000D1D8D" w:rsidP="000D1D8D">
            <w:pPr>
              <w:rPr>
                <w:rFonts w:ascii="Arial" w:hAnsi="Arial" w:cs="Arial"/>
                <w:sz w:val="20"/>
                <w:szCs w:val="20"/>
                <w:lang w:eastAsia="en-AU"/>
              </w:rPr>
            </w:pPr>
            <w:r w:rsidRPr="004653E7">
              <w:rPr>
                <w:rFonts w:ascii="Arial" w:hAnsi="Arial" w:cs="Arial"/>
                <w:sz w:val="20"/>
                <w:szCs w:val="20"/>
                <w:lang w:eastAsia="en-AU"/>
              </w:rPr>
              <w:t>2.</w:t>
            </w:r>
            <w:r w:rsidR="001074EB" w:rsidRPr="004653E7">
              <w:rPr>
                <w:rFonts w:ascii="Arial" w:hAnsi="Arial" w:cs="Arial"/>
                <w:sz w:val="20"/>
                <w:szCs w:val="20"/>
                <w:lang w:eastAsia="en-AU"/>
              </w:rPr>
              <w:t>1</w:t>
            </w:r>
            <w:r w:rsidR="00E21A05">
              <w:rPr>
                <w:rFonts w:ascii="Arial" w:hAnsi="Arial" w:cs="Arial"/>
                <w:sz w:val="20"/>
                <w:szCs w:val="20"/>
                <w:lang w:eastAsia="en-AU"/>
              </w:rPr>
              <w:t>3</w:t>
            </w:r>
          </w:p>
        </w:tc>
        <w:tc>
          <w:tcPr>
            <w:tcW w:w="3402" w:type="dxa"/>
            <w:shd w:val="clear" w:color="auto" w:fill="auto"/>
          </w:tcPr>
          <w:p w14:paraId="4356E668" w14:textId="659FD603" w:rsidR="000D1D8D" w:rsidRPr="004653E7" w:rsidRDefault="000D1D8D" w:rsidP="000D1D8D">
            <w:pPr>
              <w:rPr>
                <w:rFonts w:ascii="Arial" w:hAnsi="Arial" w:cs="Arial"/>
                <w:sz w:val="20"/>
                <w:szCs w:val="20"/>
                <w:lang w:eastAsia="en-AU"/>
              </w:rPr>
            </w:pPr>
            <w:r w:rsidRPr="004653E7">
              <w:rPr>
                <w:rFonts w:ascii="Arial" w:hAnsi="Arial" w:cs="Arial"/>
                <w:sz w:val="20"/>
                <w:szCs w:val="20"/>
                <w:lang w:eastAsia="en-AU"/>
              </w:rPr>
              <w:t xml:space="preserve">The education provider actively recruits or draws on staff or other individuals with the knowledge, expertise and </w:t>
            </w:r>
            <w:r w:rsidR="00411057">
              <w:rPr>
                <w:rFonts w:ascii="Arial" w:hAnsi="Arial" w:cs="Arial"/>
                <w:sz w:val="20"/>
                <w:szCs w:val="20"/>
                <w:lang w:eastAsia="en-AU"/>
              </w:rPr>
              <w:t>culturally safe practice</w:t>
            </w:r>
            <w:r w:rsidRPr="004653E7">
              <w:rPr>
                <w:rFonts w:ascii="Arial" w:hAnsi="Arial" w:cs="Arial"/>
                <w:sz w:val="20"/>
                <w:szCs w:val="20"/>
                <w:lang w:eastAsia="en-AU"/>
              </w:rPr>
              <w:t xml:space="preserve"> to facilitate learning in Aboriginal and Torres Strait Islander health.</w:t>
            </w:r>
          </w:p>
        </w:tc>
        <w:tc>
          <w:tcPr>
            <w:tcW w:w="5528" w:type="dxa"/>
          </w:tcPr>
          <w:p w14:paraId="4AEAE8BE" w14:textId="6F1D6705" w:rsidR="000D1D8D" w:rsidRPr="004653E7" w:rsidRDefault="000D1D8D" w:rsidP="006E5A72">
            <w:pPr>
              <w:pStyle w:val="ListParagraph"/>
              <w:numPr>
                <w:ilvl w:val="0"/>
                <w:numId w:val="12"/>
              </w:numPr>
              <w:jc w:val="left"/>
              <w:rPr>
                <w:rFonts w:eastAsia="MS Mincho"/>
                <w:sz w:val="20"/>
                <w:szCs w:val="20"/>
              </w:rPr>
            </w:pPr>
            <w:r w:rsidRPr="004653E7">
              <w:rPr>
                <w:rFonts w:eastAsia="MS Mincho"/>
                <w:sz w:val="20"/>
                <w:szCs w:val="20"/>
              </w:rPr>
              <w:t xml:space="preserve">Examples of </w:t>
            </w:r>
            <w:r w:rsidR="00D4033D">
              <w:rPr>
                <w:rFonts w:eastAsia="MS Mincho"/>
                <w:sz w:val="20"/>
                <w:szCs w:val="20"/>
              </w:rPr>
              <w:t xml:space="preserve">any </w:t>
            </w:r>
            <w:r w:rsidRPr="004653E7">
              <w:rPr>
                <w:rFonts w:eastAsia="MS Mincho"/>
                <w:sz w:val="20"/>
                <w:szCs w:val="20"/>
              </w:rPr>
              <w:t>targeted recruitment of Aboriginal and Torres Strait Islander staff.</w:t>
            </w:r>
          </w:p>
          <w:p w14:paraId="30EF9DDC" w14:textId="77777777" w:rsidR="000D1D8D" w:rsidRPr="004653E7" w:rsidRDefault="000D1D8D" w:rsidP="006E5A72">
            <w:pPr>
              <w:pStyle w:val="ListParagraph"/>
              <w:numPr>
                <w:ilvl w:val="0"/>
                <w:numId w:val="18"/>
              </w:numPr>
              <w:jc w:val="left"/>
              <w:rPr>
                <w:rFonts w:eastAsia="MS Mincho"/>
                <w:sz w:val="20"/>
                <w:szCs w:val="20"/>
              </w:rPr>
            </w:pPr>
            <w:r w:rsidRPr="004653E7">
              <w:rPr>
                <w:rFonts w:eastAsia="MS Mincho"/>
                <w:sz w:val="20"/>
                <w:szCs w:val="20"/>
              </w:rPr>
              <w:t>Examples of implementation of formal mechanisms</w:t>
            </w:r>
            <w:r w:rsidR="00584474" w:rsidRPr="004653E7">
              <w:rPr>
                <w:rFonts w:eastAsia="MS Mincho"/>
                <w:sz w:val="20"/>
                <w:szCs w:val="20"/>
              </w:rPr>
              <w:t xml:space="preserve"> used to</w:t>
            </w:r>
            <w:r w:rsidRPr="004653E7">
              <w:rPr>
                <w:rFonts w:eastAsia="MS Mincho"/>
                <w:sz w:val="20"/>
                <w:szCs w:val="20"/>
              </w:rPr>
              <w:t xml:space="preserve"> recruit staff</w:t>
            </w:r>
            <w:r w:rsidR="00B9781B" w:rsidRPr="004653E7">
              <w:rPr>
                <w:rFonts w:eastAsia="MS Mincho"/>
                <w:sz w:val="20"/>
                <w:szCs w:val="20"/>
              </w:rPr>
              <w:t>,</w:t>
            </w:r>
            <w:r w:rsidRPr="004653E7">
              <w:rPr>
                <w:rFonts w:eastAsia="MS Mincho"/>
                <w:sz w:val="20"/>
                <w:szCs w:val="20"/>
              </w:rPr>
              <w:t xml:space="preserve"> including </w:t>
            </w:r>
            <w:r w:rsidR="00B9781B" w:rsidRPr="004653E7">
              <w:rPr>
                <w:rFonts w:eastAsia="MS Mincho"/>
                <w:sz w:val="20"/>
                <w:szCs w:val="20"/>
              </w:rPr>
              <w:t xml:space="preserve">an </w:t>
            </w:r>
            <w:r w:rsidRPr="004653E7">
              <w:rPr>
                <w:rFonts w:eastAsia="MS Mincho"/>
                <w:sz w:val="20"/>
                <w:szCs w:val="20"/>
              </w:rPr>
              <w:t>equal employment opportunity policy for employment of Aboriginal and Torres Strait Islander Peoples.</w:t>
            </w:r>
          </w:p>
          <w:p w14:paraId="167020F7" w14:textId="3FE211D3" w:rsidR="000D1D8D" w:rsidRDefault="000D1D8D" w:rsidP="006E5A72">
            <w:pPr>
              <w:pStyle w:val="ListParagraph"/>
              <w:numPr>
                <w:ilvl w:val="0"/>
                <w:numId w:val="18"/>
              </w:numPr>
              <w:jc w:val="left"/>
              <w:rPr>
                <w:rFonts w:eastAsia="MS Mincho"/>
                <w:sz w:val="20"/>
                <w:szCs w:val="20"/>
              </w:rPr>
            </w:pPr>
            <w:r w:rsidRPr="004653E7">
              <w:rPr>
                <w:rFonts w:eastAsia="MS Mincho"/>
                <w:sz w:val="20"/>
                <w:szCs w:val="20"/>
              </w:rPr>
              <w:t>Examples of implementation of formal mechanisms</w:t>
            </w:r>
            <w:r w:rsidR="00584474" w:rsidRPr="004653E7">
              <w:rPr>
                <w:rFonts w:eastAsia="MS Mincho"/>
                <w:sz w:val="20"/>
                <w:szCs w:val="20"/>
              </w:rPr>
              <w:t xml:space="preserve"> used to</w:t>
            </w:r>
            <w:r w:rsidRPr="004653E7">
              <w:rPr>
                <w:rFonts w:eastAsia="MS Mincho"/>
                <w:sz w:val="20"/>
                <w:szCs w:val="20"/>
              </w:rPr>
              <w:t xml:space="preserve"> draw on staff or other individuals with the knowledge, expertise and </w:t>
            </w:r>
            <w:r w:rsidR="00411057">
              <w:rPr>
                <w:sz w:val="20"/>
                <w:szCs w:val="20"/>
              </w:rPr>
              <w:t xml:space="preserve">culturally safe </w:t>
            </w:r>
            <w:proofErr w:type="spellStart"/>
            <w:r w:rsidR="00411057">
              <w:rPr>
                <w:sz w:val="20"/>
                <w:szCs w:val="20"/>
              </w:rPr>
              <w:t>practice</w:t>
            </w:r>
            <w:r w:rsidRPr="004653E7">
              <w:rPr>
                <w:rFonts w:eastAsia="MS Mincho"/>
                <w:sz w:val="20"/>
                <w:szCs w:val="20"/>
              </w:rPr>
              <w:t>to</w:t>
            </w:r>
            <w:proofErr w:type="spellEnd"/>
            <w:r w:rsidRPr="004653E7">
              <w:rPr>
                <w:rFonts w:eastAsia="MS Mincho"/>
                <w:sz w:val="20"/>
                <w:szCs w:val="20"/>
              </w:rPr>
              <w:t xml:space="preserve"> facilitate learning in Aboriginal and Torres Strait Islander health.</w:t>
            </w:r>
          </w:p>
          <w:p w14:paraId="7387DCC8" w14:textId="5ED2923C" w:rsidR="00CA4573" w:rsidRPr="004653E7" w:rsidRDefault="00CA4573" w:rsidP="006E5A72">
            <w:pPr>
              <w:pStyle w:val="ListParagraph"/>
              <w:numPr>
                <w:ilvl w:val="0"/>
                <w:numId w:val="18"/>
              </w:numPr>
              <w:jc w:val="left"/>
              <w:rPr>
                <w:rFonts w:eastAsia="MS Mincho"/>
                <w:sz w:val="20"/>
                <w:szCs w:val="20"/>
              </w:rPr>
            </w:pPr>
            <w:r w:rsidRPr="00317DA2">
              <w:rPr>
                <w:rFonts w:eastAsia="MS Mincho"/>
                <w:sz w:val="20"/>
                <w:szCs w:val="20"/>
              </w:rPr>
              <w:t>Education provider’s Reconciliation Action Plan, where available</w:t>
            </w:r>
            <w:r w:rsidR="005A4271">
              <w:rPr>
                <w:rFonts w:eastAsia="MS Mincho"/>
                <w:sz w:val="20"/>
                <w:szCs w:val="20"/>
              </w:rPr>
              <w:t>, including actions taken to comply with the Reconciliation Action Plan and the outcomes of instigation of actions</w:t>
            </w:r>
            <w:r w:rsidR="005A4271" w:rsidRPr="00317DA2">
              <w:rPr>
                <w:rFonts w:eastAsia="MS Mincho"/>
                <w:sz w:val="20"/>
                <w:szCs w:val="20"/>
              </w:rPr>
              <w:t>.</w:t>
            </w:r>
          </w:p>
        </w:tc>
      </w:tr>
      <w:tr w:rsidR="00D379D4" w:rsidRPr="004653E7" w14:paraId="28F7FC33" w14:textId="77777777" w:rsidTr="00D379D4">
        <w:trPr>
          <w:trHeight w:val="489"/>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427FB73" w14:textId="6B89CE5B" w:rsidR="00D379D4" w:rsidRPr="004653E7" w:rsidRDefault="00D379D4" w:rsidP="00C52773">
            <w:pPr>
              <w:rPr>
                <w:rFonts w:ascii="Arial" w:hAnsi="Arial" w:cs="Arial"/>
                <w:sz w:val="20"/>
                <w:szCs w:val="20"/>
                <w:lang w:eastAsia="en-AU"/>
              </w:rPr>
            </w:pPr>
            <w:r>
              <w:rPr>
                <w:rFonts w:ascii="Arial" w:hAnsi="Arial" w:cs="Arial"/>
                <w:sz w:val="20"/>
                <w:szCs w:val="20"/>
                <w:lang w:eastAsia="en-AU"/>
              </w:rPr>
              <w:t>2.1</w:t>
            </w:r>
            <w:r w:rsidR="00E21A05">
              <w:rPr>
                <w:rFonts w:ascii="Arial" w:hAnsi="Arial" w:cs="Arial"/>
                <w:sz w:val="20"/>
                <w:szCs w:val="20"/>
                <w:lang w:eastAsia="en-AU"/>
              </w:rPr>
              <w:t>4</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CE64238" w14:textId="77777777" w:rsidR="00D379D4" w:rsidRPr="004653E7" w:rsidRDefault="00D379D4" w:rsidP="00C52773">
            <w:pPr>
              <w:rPr>
                <w:rFonts w:ascii="Arial" w:hAnsi="Arial" w:cs="Arial"/>
                <w:sz w:val="20"/>
                <w:szCs w:val="20"/>
                <w:lang w:eastAsia="en-AU"/>
              </w:rPr>
            </w:pPr>
            <w:r>
              <w:rPr>
                <w:rFonts w:ascii="Arial" w:hAnsi="Arial" w:cs="Arial"/>
                <w:sz w:val="20"/>
                <w:szCs w:val="20"/>
                <w:lang w:eastAsia="en-AU"/>
              </w:rPr>
              <w:t xml:space="preserve">The education provider ensures it holds and maintains appropriate </w:t>
            </w:r>
            <w:r>
              <w:rPr>
                <w:rFonts w:ascii="Arial" w:hAnsi="Arial" w:cs="Arial"/>
                <w:sz w:val="20"/>
                <w:szCs w:val="20"/>
                <w:lang w:eastAsia="en-AU"/>
              </w:rPr>
              <w:lastRenderedPageBreak/>
              <w:t>insurance to indemnify all academic and clinical staff, students and clinical supervisors during all education activities, including work-integrated learning.</w:t>
            </w:r>
          </w:p>
        </w:tc>
        <w:tc>
          <w:tcPr>
            <w:tcW w:w="5528" w:type="dxa"/>
            <w:tcBorders>
              <w:top w:val="single" w:sz="4" w:space="0" w:color="auto"/>
              <w:left w:val="single" w:sz="4" w:space="0" w:color="auto"/>
              <w:bottom w:val="single" w:sz="4" w:space="0" w:color="auto"/>
              <w:right w:val="single" w:sz="4" w:space="0" w:color="auto"/>
            </w:tcBorders>
          </w:tcPr>
          <w:p w14:paraId="25C42C41" w14:textId="77777777" w:rsidR="0065343E" w:rsidRDefault="0065343E" w:rsidP="006B223F">
            <w:pPr>
              <w:pStyle w:val="ListParagraph"/>
              <w:numPr>
                <w:ilvl w:val="0"/>
                <w:numId w:val="12"/>
              </w:numPr>
              <w:jc w:val="left"/>
              <w:rPr>
                <w:rFonts w:eastAsia="MS Mincho"/>
                <w:sz w:val="20"/>
                <w:szCs w:val="20"/>
              </w:rPr>
            </w:pPr>
            <w:r>
              <w:rPr>
                <w:rFonts w:eastAsia="MS Mincho"/>
                <w:sz w:val="20"/>
                <w:szCs w:val="20"/>
              </w:rPr>
              <w:lastRenderedPageBreak/>
              <w:t xml:space="preserve">Evidence </w:t>
            </w:r>
            <w:r w:rsidRPr="009B0325">
              <w:rPr>
                <w:rFonts w:eastAsia="MS Mincho"/>
                <w:sz w:val="20"/>
                <w:szCs w:val="20"/>
              </w:rPr>
              <w:t xml:space="preserve">of </w:t>
            </w:r>
            <w:r>
              <w:rPr>
                <w:rFonts w:eastAsia="MS Mincho"/>
                <w:sz w:val="20"/>
                <w:szCs w:val="20"/>
              </w:rPr>
              <w:t xml:space="preserve">current </w:t>
            </w:r>
            <w:r w:rsidRPr="009B0325">
              <w:rPr>
                <w:rFonts w:eastAsia="MS Mincho"/>
                <w:sz w:val="20"/>
                <w:szCs w:val="20"/>
              </w:rPr>
              <w:t>insurance</w:t>
            </w:r>
            <w:r>
              <w:rPr>
                <w:rFonts w:eastAsia="MS Mincho"/>
                <w:sz w:val="20"/>
                <w:szCs w:val="20"/>
              </w:rPr>
              <w:t>, such as a</w:t>
            </w:r>
            <w:r w:rsidRPr="009B0325">
              <w:rPr>
                <w:rFonts w:eastAsia="MS Mincho"/>
                <w:sz w:val="20"/>
                <w:szCs w:val="20"/>
              </w:rPr>
              <w:t xml:space="preserve"> certificate</w:t>
            </w:r>
            <w:r>
              <w:rPr>
                <w:rFonts w:eastAsia="MS Mincho"/>
                <w:sz w:val="20"/>
                <w:szCs w:val="20"/>
              </w:rPr>
              <w:t xml:space="preserve"> of currency</w:t>
            </w:r>
            <w:r w:rsidRPr="009B0325">
              <w:rPr>
                <w:rFonts w:eastAsia="MS Mincho"/>
                <w:sz w:val="20"/>
                <w:szCs w:val="20"/>
              </w:rPr>
              <w:t>.</w:t>
            </w:r>
          </w:p>
          <w:p w14:paraId="165DD66E" w14:textId="77777777" w:rsidR="00D379D4" w:rsidRPr="009B0325" w:rsidRDefault="00D379D4" w:rsidP="006B223F">
            <w:pPr>
              <w:pStyle w:val="ListParagraph"/>
              <w:numPr>
                <w:ilvl w:val="0"/>
                <w:numId w:val="12"/>
              </w:numPr>
              <w:jc w:val="left"/>
              <w:rPr>
                <w:rFonts w:eastAsia="MS Mincho"/>
                <w:sz w:val="20"/>
                <w:szCs w:val="20"/>
              </w:rPr>
            </w:pPr>
            <w:r>
              <w:rPr>
                <w:rFonts w:eastAsia="MS Mincho"/>
                <w:sz w:val="20"/>
                <w:szCs w:val="20"/>
              </w:rPr>
              <w:lastRenderedPageBreak/>
              <w:t>Examples of the implementation of formal mechanisms to ensure that all relevant staff are informed of and understand the inclusions and limitations of the insurance policies.</w:t>
            </w:r>
          </w:p>
        </w:tc>
      </w:tr>
    </w:tbl>
    <w:p w14:paraId="3E5F7DC0" w14:textId="77777777" w:rsidR="002A24E3" w:rsidRPr="004653E7" w:rsidRDefault="006A6270" w:rsidP="00104BBF">
      <w:pPr>
        <w:spacing w:after="200" w:line="276" w:lineRule="auto"/>
        <w:rPr>
          <w:rFonts w:ascii="Arial" w:eastAsia="Cambria" w:hAnsi="Arial" w:cs="Arial"/>
          <w:b/>
          <w:color w:val="007DC3"/>
          <w:sz w:val="20"/>
          <w:szCs w:val="20"/>
        </w:rPr>
      </w:pPr>
      <w:r w:rsidRPr="004653E7">
        <w:rPr>
          <w:rFonts w:ascii="Arial" w:eastAsia="Cambria" w:hAnsi="Arial" w:cs="Arial"/>
          <w:b/>
          <w:color w:val="007DC3"/>
          <w:sz w:val="20"/>
          <w:szCs w:val="20"/>
        </w:rPr>
        <w:lastRenderedPageBreak/>
        <w:br w:type="page"/>
      </w:r>
      <w:r w:rsidR="002A24E3" w:rsidRPr="004653E7">
        <w:rPr>
          <w:rFonts w:ascii="Arial" w:eastAsia="Cambria" w:hAnsi="Arial" w:cs="Arial"/>
          <w:b/>
          <w:color w:val="007DC3"/>
          <w:sz w:val="20"/>
          <w:szCs w:val="20"/>
        </w:rPr>
        <w:lastRenderedPageBreak/>
        <w:t>Standard 2: Explanatory notes</w:t>
      </w:r>
    </w:p>
    <w:p w14:paraId="70680E35" w14:textId="75FAD0B4" w:rsidR="00B1425A" w:rsidRPr="004653E7" w:rsidRDefault="005C0EE2" w:rsidP="006F0181">
      <w:pPr>
        <w:rPr>
          <w:rFonts w:ascii="Arial" w:eastAsia="Cambria" w:hAnsi="Arial" w:cs="Arial"/>
          <w:sz w:val="20"/>
          <w:szCs w:val="20"/>
        </w:rPr>
      </w:pPr>
      <w:r w:rsidRPr="004653E7">
        <w:rPr>
          <w:rFonts w:ascii="Arial" w:eastAsia="Cambria" w:hAnsi="Arial" w:cs="Arial"/>
          <w:sz w:val="20"/>
          <w:szCs w:val="20"/>
        </w:rPr>
        <w:t>This s</w:t>
      </w:r>
      <w:r w:rsidR="002A24E3" w:rsidRPr="004653E7">
        <w:rPr>
          <w:rFonts w:ascii="Arial" w:eastAsia="Cambria" w:hAnsi="Arial" w:cs="Arial"/>
          <w:sz w:val="20"/>
          <w:szCs w:val="20"/>
        </w:rPr>
        <w:t xml:space="preserve">tandard addresses the organisation and governance of the </w:t>
      </w:r>
      <w:r w:rsidR="00BA3715">
        <w:rPr>
          <w:rFonts w:ascii="Arial" w:hAnsi="Arial" w:cs="Arial"/>
          <w:sz w:val="20"/>
          <w:szCs w:val="20"/>
        </w:rPr>
        <w:t>unit of study in ESM</w:t>
      </w:r>
      <w:r w:rsidR="00142FBF" w:rsidRPr="004653E7">
        <w:rPr>
          <w:rFonts w:ascii="Arial" w:eastAsia="Cambria" w:hAnsi="Arial" w:cs="Arial"/>
          <w:sz w:val="20"/>
          <w:szCs w:val="20"/>
        </w:rPr>
        <w:t xml:space="preserve">. </w:t>
      </w:r>
      <w:r w:rsidR="002A24E3" w:rsidRPr="004653E7">
        <w:rPr>
          <w:rFonts w:ascii="Arial" w:eastAsia="Cambria" w:hAnsi="Arial" w:cs="Arial"/>
          <w:sz w:val="20"/>
          <w:szCs w:val="20"/>
        </w:rPr>
        <w:t xml:space="preserve">The </w:t>
      </w:r>
      <w:r w:rsidR="00350A92" w:rsidRPr="004653E7">
        <w:rPr>
          <w:rFonts w:ascii="Arial" w:eastAsia="Cambria" w:hAnsi="Arial" w:cs="Arial"/>
          <w:sz w:val="20"/>
          <w:szCs w:val="20"/>
        </w:rPr>
        <w:t>Accreditation Committee</w:t>
      </w:r>
      <w:r w:rsidR="002A24E3" w:rsidRPr="004653E7">
        <w:rPr>
          <w:rFonts w:ascii="Arial" w:eastAsia="Cambria" w:hAnsi="Arial" w:cs="Arial"/>
          <w:sz w:val="20"/>
          <w:szCs w:val="20"/>
        </w:rPr>
        <w:t xml:space="preserve"> acknowledges TEQSA’s role in assessing the education provider’s governance as part of their registration application</w:t>
      </w:r>
      <w:r w:rsidR="00B1425A" w:rsidRPr="004653E7">
        <w:rPr>
          <w:rFonts w:ascii="Arial" w:eastAsia="Cambria" w:hAnsi="Arial" w:cs="Arial"/>
          <w:sz w:val="20"/>
          <w:szCs w:val="20"/>
        </w:rPr>
        <w:t>. The Accreditation Committee</w:t>
      </w:r>
      <w:r w:rsidR="002A24E3" w:rsidRPr="004653E7">
        <w:rPr>
          <w:rFonts w:ascii="Arial" w:eastAsia="Cambria" w:hAnsi="Arial" w:cs="Arial"/>
          <w:sz w:val="20"/>
          <w:szCs w:val="20"/>
        </w:rPr>
        <w:t xml:space="preserve"> seek</w:t>
      </w:r>
      <w:r w:rsidR="00B1425A" w:rsidRPr="004653E7">
        <w:rPr>
          <w:rFonts w:ascii="Arial" w:eastAsia="Cambria" w:hAnsi="Arial" w:cs="Arial"/>
          <w:sz w:val="20"/>
          <w:szCs w:val="20"/>
        </w:rPr>
        <w:t>s</w:t>
      </w:r>
      <w:r w:rsidR="002A24E3" w:rsidRPr="004653E7">
        <w:rPr>
          <w:rFonts w:ascii="Arial" w:eastAsia="Cambria" w:hAnsi="Arial" w:cs="Arial"/>
          <w:sz w:val="20"/>
          <w:szCs w:val="20"/>
        </w:rPr>
        <w:t xml:space="preserve"> evidence on how the </w:t>
      </w:r>
      <w:r w:rsidR="002242F4" w:rsidRPr="002242F4">
        <w:rPr>
          <w:rFonts w:ascii="Arial" w:eastAsia="Cambria" w:hAnsi="Arial" w:cs="Arial"/>
          <w:sz w:val="20"/>
          <w:szCs w:val="20"/>
        </w:rPr>
        <w:t xml:space="preserve">podiatry scheduled medicines education </w:t>
      </w:r>
      <w:r w:rsidR="002A24E3" w:rsidRPr="004653E7">
        <w:rPr>
          <w:rFonts w:ascii="Arial" w:eastAsia="Cambria" w:hAnsi="Arial" w:cs="Arial"/>
          <w:sz w:val="20"/>
          <w:szCs w:val="20"/>
        </w:rPr>
        <w:t>operates within the organisational governance.</w:t>
      </w:r>
      <w:r w:rsidR="006F0181" w:rsidRPr="004653E7">
        <w:rPr>
          <w:rFonts w:ascii="Arial" w:eastAsia="Cambria" w:hAnsi="Arial" w:cs="Arial"/>
          <w:sz w:val="20"/>
          <w:szCs w:val="20"/>
        </w:rPr>
        <w:t xml:space="preserve"> </w:t>
      </w:r>
    </w:p>
    <w:p w14:paraId="62F5F0D3" w14:textId="77777777" w:rsidR="00B1425A" w:rsidRPr="004653E7" w:rsidRDefault="00B1425A" w:rsidP="006F0181">
      <w:pPr>
        <w:rPr>
          <w:rFonts w:ascii="Arial" w:eastAsia="Cambria" w:hAnsi="Arial" w:cs="Arial"/>
          <w:sz w:val="20"/>
          <w:szCs w:val="20"/>
        </w:rPr>
      </w:pPr>
    </w:p>
    <w:p w14:paraId="267D958B" w14:textId="7B2796D1" w:rsidR="002A24E3" w:rsidRDefault="002A24E3" w:rsidP="002A24E3">
      <w:pPr>
        <w:rPr>
          <w:rFonts w:ascii="Arial" w:eastAsia="Cambria" w:hAnsi="Arial" w:cs="Arial"/>
          <w:sz w:val="20"/>
          <w:szCs w:val="20"/>
        </w:rPr>
      </w:pPr>
      <w:r w:rsidRPr="004653E7">
        <w:rPr>
          <w:rFonts w:ascii="Arial" w:eastAsia="Cambria" w:hAnsi="Arial" w:cs="Arial"/>
          <w:sz w:val="20"/>
          <w:szCs w:val="20"/>
        </w:rPr>
        <w:t>The focus</w:t>
      </w:r>
      <w:r w:rsidR="000A21BE" w:rsidRPr="004653E7">
        <w:rPr>
          <w:rFonts w:ascii="Arial" w:eastAsia="Cambria" w:hAnsi="Arial" w:cs="Arial"/>
          <w:sz w:val="20"/>
          <w:szCs w:val="20"/>
        </w:rPr>
        <w:t xml:space="preserve"> of this standard</w:t>
      </w:r>
      <w:r w:rsidRPr="004653E7">
        <w:rPr>
          <w:rFonts w:ascii="Arial" w:eastAsia="Cambria" w:hAnsi="Arial" w:cs="Arial"/>
          <w:sz w:val="20"/>
          <w:szCs w:val="20"/>
        </w:rPr>
        <w:t xml:space="preserve"> is on the overall context in which the </w:t>
      </w:r>
      <w:r w:rsidR="000E751F" w:rsidRPr="00FD2B92">
        <w:rPr>
          <w:rFonts w:ascii="Arial" w:hAnsi="Arial" w:cs="Arial"/>
          <w:sz w:val="20"/>
          <w:szCs w:val="20"/>
        </w:rPr>
        <w:t>podiatry scheduled medicines education</w:t>
      </w:r>
      <w:r w:rsidR="000E751F" w:rsidRPr="004653E7">
        <w:rPr>
          <w:rFonts w:ascii="Arial" w:eastAsia="Cambria" w:hAnsi="Arial" w:cs="Arial"/>
          <w:sz w:val="20"/>
          <w:szCs w:val="20"/>
        </w:rPr>
        <w:t xml:space="preserve"> </w:t>
      </w:r>
      <w:r w:rsidRPr="004653E7">
        <w:rPr>
          <w:rFonts w:ascii="Arial" w:eastAsia="Cambria" w:hAnsi="Arial" w:cs="Arial"/>
          <w:sz w:val="20"/>
          <w:szCs w:val="20"/>
        </w:rPr>
        <w:t xml:space="preserve">is </w:t>
      </w:r>
      <w:r w:rsidR="001151A0" w:rsidRPr="004653E7">
        <w:rPr>
          <w:rFonts w:ascii="Arial" w:eastAsia="Cambria" w:hAnsi="Arial" w:cs="Arial"/>
          <w:sz w:val="20"/>
          <w:szCs w:val="20"/>
        </w:rPr>
        <w:t>implemented</w:t>
      </w:r>
      <w:r w:rsidRPr="004653E7">
        <w:rPr>
          <w:rFonts w:ascii="Arial" w:eastAsia="Cambria" w:hAnsi="Arial" w:cs="Arial"/>
          <w:sz w:val="20"/>
          <w:szCs w:val="20"/>
        </w:rPr>
        <w:t xml:space="preserve">, specifically the administrative and academic organisational structure which supports the </w:t>
      </w:r>
      <w:r w:rsidR="000E751F" w:rsidRPr="00FD2B92">
        <w:rPr>
          <w:rFonts w:ascii="Arial" w:hAnsi="Arial" w:cs="Arial"/>
          <w:sz w:val="20"/>
          <w:szCs w:val="20"/>
        </w:rPr>
        <w:t>podiatry scheduled medicines education</w:t>
      </w:r>
      <w:r w:rsidR="000F5EE4" w:rsidRPr="004653E7">
        <w:rPr>
          <w:rFonts w:ascii="Arial" w:eastAsia="Cambria" w:hAnsi="Arial" w:cs="Arial"/>
          <w:sz w:val="20"/>
          <w:szCs w:val="20"/>
        </w:rPr>
        <w:t>. This standard also focuses on identifying</w:t>
      </w:r>
      <w:r w:rsidRPr="004653E7">
        <w:rPr>
          <w:rFonts w:ascii="Arial" w:eastAsia="Cambria" w:hAnsi="Arial" w:cs="Arial"/>
          <w:sz w:val="20"/>
          <w:szCs w:val="20"/>
        </w:rPr>
        <w:t xml:space="preserve"> the degree of control that the academics </w:t>
      </w:r>
      <w:r w:rsidR="000F5EE4" w:rsidRPr="004653E7">
        <w:rPr>
          <w:rFonts w:ascii="Arial" w:eastAsia="Cambria" w:hAnsi="Arial" w:cs="Arial"/>
          <w:sz w:val="20"/>
          <w:szCs w:val="20"/>
        </w:rPr>
        <w:t xml:space="preserve">who </w:t>
      </w:r>
      <w:r w:rsidRPr="004653E7">
        <w:rPr>
          <w:rFonts w:ascii="Arial" w:eastAsia="Cambria" w:hAnsi="Arial" w:cs="Arial"/>
          <w:sz w:val="20"/>
          <w:szCs w:val="20"/>
        </w:rPr>
        <w:t>manag</w:t>
      </w:r>
      <w:r w:rsidR="000F5EE4" w:rsidRPr="004653E7">
        <w:rPr>
          <w:rFonts w:ascii="Arial" w:eastAsia="Cambria" w:hAnsi="Arial" w:cs="Arial"/>
          <w:sz w:val="20"/>
          <w:szCs w:val="20"/>
        </w:rPr>
        <w:t>e</w:t>
      </w:r>
      <w:r w:rsidRPr="004653E7">
        <w:rPr>
          <w:rFonts w:ascii="Arial" w:eastAsia="Cambria" w:hAnsi="Arial" w:cs="Arial"/>
          <w:sz w:val="20"/>
          <w:szCs w:val="20"/>
        </w:rPr>
        <w:t xml:space="preserve"> and </w:t>
      </w:r>
      <w:r w:rsidR="00142FBF" w:rsidRPr="004653E7">
        <w:rPr>
          <w:rFonts w:ascii="Arial" w:eastAsia="Cambria" w:hAnsi="Arial" w:cs="Arial"/>
          <w:sz w:val="20"/>
          <w:szCs w:val="20"/>
        </w:rPr>
        <w:t>implement</w:t>
      </w:r>
      <w:r w:rsidRPr="004653E7">
        <w:rPr>
          <w:rFonts w:ascii="Arial" w:eastAsia="Cambria" w:hAnsi="Arial" w:cs="Arial"/>
          <w:sz w:val="20"/>
          <w:szCs w:val="20"/>
        </w:rPr>
        <w:t xml:space="preserve"> </w:t>
      </w:r>
      <w:r w:rsidR="000E751F">
        <w:rPr>
          <w:rFonts w:ascii="Arial" w:eastAsia="Cambria" w:hAnsi="Arial" w:cs="Arial"/>
          <w:sz w:val="20"/>
          <w:szCs w:val="20"/>
        </w:rPr>
        <w:t>each</w:t>
      </w:r>
      <w:r w:rsidRPr="004653E7">
        <w:rPr>
          <w:rFonts w:ascii="Arial" w:eastAsia="Cambria" w:hAnsi="Arial" w:cs="Arial"/>
          <w:sz w:val="20"/>
          <w:szCs w:val="20"/>
        </w:rPr>
        <w:t xml:space="preserve"> </w:t>
      </w:r>
      <w:r w:rsidR="002A0294" w:rsidRPr="002A0294">
        <w:rPr>
          <w:rFonts w:ascii="Arial" w:eastAsia="Cambria" w:hAnsi="Arial" w:cs="Arial"/>
          <w:sz w:val="20"/>
          <w:szCs w:val="20"/>
        </w:rPr>
        <w:t>unit/subject</w:t>
      </w:r>
      <w:r w:rsidRPr="004653E7">
        <w:rPr>
          <w:rFonts w:ascii="Arial" w:eastAsia="Cambria" w:hAnsi="Arial" w:cs="Arial"/>
          <w:sz w:val="20"/>
          <w:szCs w:val="20"/>
        </w:rPr>
        <w:t xml:space="preserve">, the </w:t>
      </w:r>
      <w:r w:rsidR="00095918">
        <w:rPr>
          <w:rFonts w:ascii="Arial" w:hAnsi="Arial" w:cs="Arial"/>
          <w:sz w:val="20"/>
          <w:szCs w:val="20"/>
        </w:rPr>
        <w:t xml:space="preserve">podiatry </w:t>
      </w:r>
      <w:r w:rsidR="00BA3715">
        <w:rPr>
          <w:rFonts w:ascii="Arial" w:hAnsi="Arial" w:cs="Arial"/>
          <w:sz w:val="20"/>
          <w:szCs w:val="20"/>
        </w:rPr>
        <w:t xml:space="preserve">and podiatric surgery </w:t>
      </w:r>
      <w:r w:rsidRPr="004653E7">
        <w:rPr>
          <w:rFonts w:ascii="Arial" w:hAnsi="Arial" w:cs="Arial"/>
          <w:sz w:val="20"/>
          <w:szCs w:val="20"/>
        </w:rPr>
        <w:t>profession</w:t>
      </w:r>
      <w:r w:rsidR="00BA3715">
        <w:rPr>
          <w:rFonts w:ascii="Arial" w:hAnsi="Arial" w:cs="Arial"/>
          <w:sz w:val="20"/>
          <w:szCs w:val="20"/>
        </w:rPr>
        <w:t>s</w:t>
      </w:r>
      <w:r w:rsidRPr="004653E7">
        <w:rPr>
          <w:rFonts w:ascii="Arial" w:eastAsia="Cambria" w:hAnsi="Arial" w:cs="Arial"/>
          <w:sz w:val="20"/>
          <w:szCs w:val="20"/>
        </w:rPr>
        <w:t xml:space="preserve"> and other external stakeholders have over the relevance and quality of </w:t>
      </w:r>
      <w:r w:rsidR="000E751F">
        <w:rPr>
          <w:rFonts w:ascii="Arial" w:eastAsia="Cambria" w:hAnsi="Arial" w:cs="Arial"/>
          <w:sz w:val="20"/>
          <w:szCs w:val="20"/>
        </w:rPr>
        <w:t>each</w:t>
      </w:r>
      <w:r w:rsidRPr="004653E7">
        <w:rPr>
          <w:rFonts w:ascii="Arial" w:eastAsia="Cambria" w:hAnsi="Arial" w:cs="Arial"/>
          <w:sz w:val="20"/>
          <w:szCs w:val="20"/>
        </w:rPr>
        <w:t xml:space="preserve"> </w:t>
      </w:r>
      <w:r w:rsidR="002A0294" w:rsidRPr="002A0294">
        <w:rPr>
          <w:rFonts w:ascii="Arial" w:eastAsia="Cambria" w:hAnsi="Arial" w:cs="Arial"/>
          <w:sz w:val="20"/>
          <w:szCs w:val="20"/>
        </w:rPr>
        <w:t>unit/subject</w:t>
      </w:r>
      <w:r w:rsidR="000F5EE4" w:rsidRPr="004653E7">
        <w:rPr>
          <w:rFonts w:ascii="Arial" w:eastAsia="Cambria" w:hAnsi="Arial" w:cs="Arial"/>
          <w:sz w:val="20"/>
          <w:szCs w:val="20"/>
        </w:rPr>
        <w:t>,</w:t>
      </w:r>
      <w:r w:rsidRPr="004653E7">
        <w:rPr>
          <w:rFonts w:ascii="Arial" w:eastAsia="Cambria" w:hAnsi="Arial" w:cs="Arial"/>
          <w:sz w:val="20"/>
          <w:szCs w:val="20"/>
        </w:rPr>
        <w:t xml:space="preserve"> to produce gradua</w:t>
      </w:r>
      <w:r w:rsidR="00142FBF" w:rsidRPr="004653E7">
        <w:rPr>
          <w:rFonts w:ascii="Arial" w:eastAsia="Cambria" w:hAnsi="Arial" w:cs="Arial"/>
          <w:sz w:val="20"/>
          <w:szCs w:val="20"/>
        </w:rPr>
        <w:t>tes who are</w:t>
      </w:r>
      <w:r w:rsidR="000A21BE" w:rsidRPr="004653E7">
        <w:rPr>
          <w:rFonts w:ascii="Arial" w:eastAsia="Cambria" w:hAnsi="Arial" w:cs="Arial"/>
          <w:sz w:val="20"/>
          <w:szCs w:val="20"/>
        </w:rPr>
        <w:t xml:space="preserve"> safe and</w:t>
      </w:r>
      <w:r w:rsidR="00142FBF" w:rsidRPr="004653E7">
        <w:rPr>
          <w:rFonts w:ascii="Arial" w:eastAsia="Cambria" w:hAnsi="Arial" w:cs="Arial"/>
          <w:sz w:val="20"/>
          <w:szCs w:val="20"/>
        </w:rPr>
        <w:t xml:space="preserve"> competent to </w:t>
      </w:r>
      <w:r w:rsidR="00BA3715" w:rsidRPr="00BA3715">
        <w:rPr>
          <w:rFonts w:ascii="Arial" w:eastAsia="Cambria" w:hAnsi="Arial" w:cs="Arial"/>
          <w:sz w:val="20"/>
          <w:szCs w:val="20"/>
        </w:rPr>
        <w:t>administer, obtain, possess, prescrib</w:t>
      </w:r>
      <w:r w:rsidR="00BA3715">
        <w:rPr>
          <w:rFonts w:ascii="Arial" w:eastAsia="Cambria" w:hAnsi="Arial" w:cs="Arial"/>
          <w:sz w:val="20"/>
          <w:szCs w:val="20"/>
        </w:rPr>
        <w:t>e</w:t>
      </w:r>
      <w:r w:rsidR="00BA3715" w:rsidRPr="00BA3715">
        <w:rPr>
          <w:rFonts w:ascii="Arial" w:eastAsia="Cambria" w:hAnsi="Arial" w:cs="Arial"/>
          <w:sz w:val="20"/>
          <w:szCs w:val="20"/>
        </w:rPr>
        <w:t>, sell, supply or us</w:t>
      </w:r>
      <w:r w:rsidR="00BA3715">
        <w:rPr>
          <w:rFonts w:ascii="Arial" w:eastAsia="Cambria" w:hAnsi="Arial" w:cs="Arial"/>
          <w:sz w:val="20"/>
          <w:szCs w:val="20"/>
        </w:rPr>
        <w:t>e</w:t>
      </w:r>
      <w:r w:rsidR="00BA3715" w:rsidRPr="00BA3715">
        <w:rPr>
          <w:rFonts w:ascii="Arial" w:eastAsia="Cambria" w:hAnsi="Arial" w:cs="Arial"/>
          <w:sz w:val="20"/>
          <w:szCs w:val="20"/>
        </w:rPr>
        <w:t xml:space="preserve"> Schedule 2, 3, 4 or 8 medicines for the treatment of podiatric conditions</w:t>
      </w:r>
      <w:r w:rsidRPr="004653E7">
        <w:rPr>
          <w:rFonts w:ascii="Arial" w:eastAsia="Cambria" w:hAnsi="Arial" w:cs="Arial"/>
          <w:sz w:val="20"/>
          <w:szCs w:val="20"/>
        </w:rPr>
        <w:t>.</w:t>
      </w:r>
    </w:p>
    <w:p w14:paraId="3B9B543A" w14:textId="30B9B7AD" w:rsidR="00C94D70" w:rsidRDefault="00C94D70" w:rsidP="002A24E3">
      <w:pPr>
        <w:rPr>
          <w:rFonts w:ascii="Arial" w:eastAsia="Cambria" w:hAnsi="Arial" w:cs="Arial"/>
          <w:sz w:val="20"/>
          <w:szCs w:val="20"/>
        </w:rPr>
      </w:pPr>
    </w:p>
    <w:p w14:paraId="2172C444" w14:textId="77777777" w:rsidR="00C94D70" w:rsidRPr="004653E7" w:rsidRDefault="00C94D70" w:rsidP="00C94D70">
      <w:pPr>
        <w:rPr>
          <w:rFonts w:ascii="Arial" w:eastAsia="Cambria" w:hAnsi="Arial" w:cs="Arial"/>
          <w:b/>
          <w:sz w:val="20"/>
          <w:szCs w:val="20"/>
        </w:rPr>
      </w:pPr>
      <w:r w:rsidRPr="004653E7">
        <w:rPr>
          <w:rFonts w:ascii="Arial" w:eastAsia="Cambria" w:hAnsi="Arial" w:cs="Arial"/>
          <w:b/>
          <w:sz w:val="20"/>
          <w:szCs w:val="20"/>
        </w:rPr>
        <w:t>Formal quality assurance mechanisms</w:t>
      </w:r>
    </w:p>
    <w:p w14:paraId="4AE02750" w14:textId="77777777" w:rsidR="00C94D70" w:rsidRPr="004653E7" w:rsidRDefault="00C94D70" w:rsidP="00C94D70">
      <w:pPr>
        <w:rPr>
          <w:rFonts w:ascii="Arial" w:eastAsia="Cambria" w:hAnsi="Arial" w:cs="Arial"/>
          <w:b/>
          <w:sz w:val="20"/>
          <w:szCs w:val="20"/>
        </w:rPr>
      </w:pPr>
    </w:p>
    <w:p w14:paraId="14511443" w14:textId="0BD28070" w:rsidR="00C94D70" w:rsidRPr="004653E7" w:rsidRDefault="00C94D70" w:rsidP="00C94D70">
      <w:pPr>
        <w:rPr>
          <w:rFonts w:ascii="Arial" w:eastAsia="Cambria" w:hAnsi="Arial" w:cs="Arial"/>
          <w:sz w:val="20"/>
          <w:szCs w:val="20"/>
        </w:rPr>
      </w:pPr>
      <w:r w:rsidRPr="004653E7">
        <w:rPr>
          <w:rFonts w:ascii="Arial" w:eastAsia="Cambria" w:hAnsi="Arial" w:cs="Arial"/>
          <w:sz w:val="20"/>
          <w:szCs w:val="20"/>
        </w:rPr>
        <w:t xml:space="preserve">The Accreditation Committee expects that the education provider will regularly </w:t>
      </w:r>
      <w:proofErr w:type="gramStart"/>
      <w:r w:rsidRPr="004653E7">
        <w:rPr>
          <w:rFonts w:ascii="Arial" w:eastAsia="Cambria" w:hAnsi="Arial" w:cs="Arial"/>
          <w:sz w:val="20"/>
          <w:szCs w:val="20"/>
        </w:rPr>
        <w:t>monitor</w:t>
      </w:r>
      <w:proofErr w:type="gramEnd"/>
      <w:r w:rsidRPr="004653E7">
        <w:rPr>
          <w:rFonts w:ascii="Arial" w:eastAsia="Cambria" w:hAnsi="Arial" w:cs="Arial"/>
          <w:sz w:val="20"/>
          <w:szCs w:val="20"/>
        </w:rPr>
        <w:t xml:space="preserve"> and review </w:t>
      </w:r>
      <w:r w:rsidR="000E751F" w:rsidRPr="00FD2B92">
        <w:rPr>
          <w:rFonts w:ascii="Arial" w:hAnsi="Arial" w:cs="Arial"/>
          <w:sz w:val="20"/>
          <w:szCs w:val="20"/>
        </w:rPr>
        <w:t>podiatry scheduled medicines education</w:t>
      </w:r>
      <w:r w:rsidR="000E751F" w:rsidRPr="004653E7">
        <w:rPr>
          <w:rFonts w:ascii="Arial" w:eastAsia="Cambria" w:hAnsi="Arial" w:cs="Arial"/>
          <w:sz w:val="20"/>
          <w:szCs w:val="20"/>
        </w:rPr>
        <w:t xml:space="preserve"> </w:t>
      </w:r>
      <w:r w:rsidRPr="004653E7">
        <w:rPr>
          <w:rFonts w:ascii="Arial" w:eastAsia="Cambria" w:hAnsi="Arial" w:cs="Arial"/>
          <w:sz w:val="20"/>
          <w:szCs w:val="20"/>
        </w:rPr>
        <w:t xml:space="preserve">and the effectiveness of its </w:t>
      </w:r>
      <w:r w:rsidRPr="004653E7">
        <w:rPr>
          <w:rFonts w:ascii="Arial" w:hAnsi="Arial" w:cs="Arial"/>
          <w:sz w:val="20"/>
          <w:szCs w:val="20"/>
        </w:rPr>
        <w:t>implementation. The education provider is expected to</w:t>
      </w:r>
      <w:r w:rsidRPr="004653E7">
        <w:rPr>
          <w:rFonts w:ascii="Arial" w:eastAsia="Cambria" w:hAnsi="Arial" w:cs="Arial"/>
          <w:sz w:val="20"/>
          <w:szCs w:val="20"/>
        </w:rPr>
        <w:t xml:space="preserve"> engage with, and consider the views of, representatives of the </w:t>
      </w:r>
      <w:r w:rsidR="00095918">
        <w:rPr>
          <w:rFonts w:ascii="Arial" w:eastAsia="Cambria" w:hAnsi="Arial" w:cs="Arial"/>
          <w:sz w:val="20"/>
          <w:szCs w:val="20"/>
        </w:rPr>
        <w:t xml:space="preserve">podiatry </w:t>
      </w:r>
      <w:r w:rsidR="00BA3715">
        <w:rPr>
          <w:rFonts w:ascii="Arial" w:eastAsia="Cambria" w:hAnsi="Arial" w:cs="Arial"/>
          <w:sz w:val="20"/>
          <w:szCs w:val="20"/>
        </w:rPr>
        <w:t xml:space="preserve">and podiatric surgery </w:t>
      </w:r>
      <w:r w:rsidRPr="004653E7">
        <w:rPr>
          <w:rFonts w:ascii="Arial" w:eastAsia="Cambria" w:hAnsi="Arial" w:cs="Arial"/>
          <w:sz w:val="20"/>
          <w:szCs w:val="20"/>
        </w:rPr>
        <w:t>profession</w:t>
      </w:r>
      <w:r w:rsidR="00BA3715">
        <w:rPr>
          <w:rFonts w:ascii="Arial" w:eastAsia="Cambria" w:hAnsi="Arial" w:cs="Arial"/>
          <w:sz w:val="20"/>
          <w:szCs w:val="20"/>
        </w:rPr>
        <w:t>s</w:t>
      </w:r>
      <w:r w:rsidRPr="004653E7">
        <w:rPr>
          <w:rFonts w:ascii="Arial" w:eastAsia="Cambria" w:hAnsi="Arial" w:cs="Arial"/>
          <w:sz w:val="20"/>
          <w:szCs w:val="20"/>
        </w:rPr>
        <w:t xml:space="preserve">, students, graduates, </w:t>
      </w:r>
      <w:r w:rsidR="005A4271">
        <w:rPr>
          <w:rFonts w:ascii="Arial" w:eastAsia="Cambria" w:hAnsi="Arial" w:cs="Arial"/>
          <w:sz w:val="20"/>
          <w:szCs w:val="20"/>
        </w:rPr>
        <w:t>academics</w:t>
      </w:r>
      <w:r w:rsidRPr="004653E7">
        <w:rPr>
          <w:rFonts w:ascii="Arial" w:eastAsia="Cambria" w:hAnsi="Arial" w:cs="Arial"/>
          <w:sz w:val="20"/>
          <w:szCs w:val="20"/>
        </w:rPr>
        <w:t xml:space="preserve">, work-integrated learning supervisors, employers and other health professionals </w:t>
      </w:r>
      <w:r w:rsidR="00BA3715" w:rsidRPr="004653E7">
        <w:rPr>
          <w:rFonts w:ascii="Arial" w:eastAsia="Cambria" w:hAnsi="Arial" w:cs="Arial"/>
          <w:sz w:val="20"/>
          <w:szCs w:val="20"/>
        </w:rPr>
        <w:t>whe</w:t>
      </w:r>
      <w:r w:rsidR="00BA3715">
        <w:rPr>
          <w:rFonts w:ascii="Arial" w:eastAsia="Cambria" w:hAnsi="Arial" w:cs="Arial"/>
          <w:sz w:val="20"/>
          <w:szCs w:val="20"/>
        </w:rPr>
        <w:t>re</w:t>
      </w:r>
      <w:r w:rsidR="00BA3715" w:rsidRPr="004653E7">
        <w:rPr>
          <w:rFonts w:ascii="Arial" w:eastAsia="Cambria" w:hAnsi="Arial" w:cs="Arial"/>
          <w:sz w:val="20"/>
          <w:szCs w:val="20"/>
        </w:rPr>
        <w:t xml:space="preserve"> </w:t>
      </w:r>
      <w:r w:rsidRPr="004653E7">
        <w:rPr>
          <w:rFonts w:ascii="Arial" w:eastAsia="Cambria" w:hAnsi="Arial" w:cs="Arial"/>
          <w:sz w:val="20"/>
          <w:szCs w:val="20"/>
        </w:rPr>
        <w:t xml:space="preserve">relevant. </w:t>
      </w:r>
    </w:p>
    <w:p w14:paraId="05830CE9" w14:textId="77777777" w:rsidR="00C94D70" w:rsidRPr="004653E7" w:rsidRDefault="00C94D70" w:rsidP="00C94D70">
      <w:pPr>
        <w:rPr>
          <w:rFonts w:ascii="Arial" w:eastAsia="Cambria" w:hAnsi="Arial" w:cs="Arial"/>
          <w:sz w:val="20"/>
          <w:szCs w:val="20"/>
        </w:rPr>
      </w:pPr>
    </w:p>
    <w:p w14:paraId="0F92ED76" w14:textId="25EB1D2E" w:rsidR="00C94D70" w:rsidRDefault="00C94D70" w:rsidP="00C94D70">
      <w:pPr>
        <w:rPr>
          <w:rFonts w:ascii="Arial" w:eastAsia="Cambria" w:hAnsi="Arial" w:cs="Arial"/>
          <w:sz w:val="20"/>
          <w:szCs w:val="20"/>
        </w:rPr>
      </w:pPr>
      <w:r w:rsidRPr="004653E7">
        <w:rPr>
          <w:rFonts w:ascii="Arial" w:eastAsia="Cambria" w:hAnsi="Arial" w:cs="Arial"/>
          <w:sz w:val="20"/>
          <w:szCs w:val="20"/>
        </w:rPr>
        <w:t xml:space="preserve">The Accreditation Committee also expects that the education provider will implement formal mechanisms to validate and evaluate improvements in the design, implementation and quality of </w:t>
      </w:r>
      <w:r w:rsidR="000E751F">
        <w:rPr>
          <w:rFonts w:ascii="Arial" w:eastAsia="Cambria" w:hAnsi="Arial" w:cs="Arial"/>
          <w:sz w:val="20"/>
          <w:szCs w:val="20"/>
        </w:rPr>
        <w:t>each</w:t>
      </w:r>
      <w:r w:rsidRPr="004653E7">
        <w:rPr>
          <w:rFonts w:ascii="Arial" w:eastAsia="Cambria" w:hAnsi="Arial" w:cs="Arial"/>
          <w:sz w:val="20"/>
          <w:szCs w:val="20"/>
        </w:rPr>
        <w:t xml:space="preserve"> </w:t>
      </w:r>
      <w:r w:rsidR="002A0294" w:rsidRPr="002A0294">
        <w:rPr>
          <w:rFonts w:ascii="Arial" w:eastAsia="Cambria" w:hAnsi="Arial" w:cs="Arial"/>
          <w:sz w:val="20"/>
          <w:szCs w:val="20"/>
        </w:rPr>
        <w:t>unit/subject</w:t>
      </w:r>
      <w:r w:rsidRPr="004653E7">
        <w:rPr>
          <w:rFonts w:ascii="Arial" w:eastAsia="Cambria" w:hAnsi="Arial" w:cs="Arial"/>
          <w:sz w:val="20"/>
          <w:szCs w:val="20"/>
        </w:rPr>
        <w:t>.</w:t>
      </w:r>
    </w:p>
    <w:p w14:paraId="68F0D133" w14:textId="761370C8" w:rsidR="00C94D70" w:rsidRDefault="00C94D70" w:rsidP="00C94D70">
      <w:pPr>
        <w:rPr>
          <w:rFonts w:ascii="Arial" w:eastAsia="Cambria" w:hAnsi="Arial" w:cs="Arial"/>
          <w:sz w:val="20"/>
          <w:szCs w:val="20"/>
        </w:rPr>
      </w:pPr>
    </w:p>
    <w:p w14:paraId="7AD482EC" w14:textId="77777777" w:rsidR="00C94D70" w:rsidRPr="004653E7" w:rsidRDefault="00C94D70" w:rsidP="00C94D70">
      <w:pPr>
        <w:rPr>
          <w:rFonts w:ascii="Arial" w:eastAsia="Cambria" w:hAnsi="Arial" w:cs="Arial"/>
          <w:b/>
          <w:sz w:val="20"/>
          <w:szCs w:val="20"/>
        </w:rPr>
      </w:pPr>
      <w:r w:rsidRPr="004653E7">
        <w:rPr>
          <w:rFonts w:ascii="Arial" w:eastAsia="Cambria" w:hAnsi="Arial" w:cs="Arial"/>
          <w:b/>
          <w:sz w:val="20"/>
          <w:szCs w:val="20"/>
        </w:rPr>
        <w:t xml:space="preserve">Evidence of effective engagement with external stakeholders </w:t>
      </w:r>
    </w:p>
    <w:p w14:paraId="45AF9504" w14:textId="77777777" w:rsidR="00C94D70" w:rsidRPr="004653E7" w:rsidRDefault="00C94D70" w:rsidP="00C94D70">
      <w:pPr>
        <w:rPr>
          <w:rFonts w:ascii="Arial" w:eastAsia="Cambria" w:hAnsi="Arial" w:cs="Arial"/>
          <w:b/>
          <w:sz w:val="20"/>
          <w:szCs w:val="20"/>
        </w:rPr>
      </w:pPr>
    </w:p>
    <w:p w14:paraId="7BF488E6" w14:textId="0A7F0C91" w:rsidR="00C94D70" w:rsidRPr="004653E7" w:rsidRDefault="00C94D70" w:rsidP="00C94D70">
      <w:pPr>
        <w:tabs>
          <w:tab w:val="left" w:pos="1418"/>
        </w:tabs>
        <w:rPr>
          <w:rFonts w:ascii="Arial" w:eastAsia="Cambria" w:hAnsi="Arial" w:cs="Arial"/>
          <w:sz w:val="20"/>
          <w:szCs w:val="20"/>
        </w:rPr>
      </w:pPr>
      <w:r w:rsidRPr="004653E7">
        <w:rPr>
          <w:rFonts w:ascii="Arial" w:eastAsia="Cambria" w:hAnsi="Arial" w:cs="Arial"/>
          <w:sz w:val="20"/>
          <w:szCs w:val="20"/>
        </w:rPr>
        <w:t xml:space="preserve">The Accreditation Committee acknowledges that there are numerous ways education providers engage with their stakeholders, for example through e-mail, video- and teleconferencing, questionnaires and surveys (verbal or written), online and physical forums, and face-to-face meetings. The Accreditation Committee expects that engagement with external stakeholders will occur </w:t>
      </w:r>
      <w:r w:rsidR="005A4271">
        <w:rPr>
          <w:rFonts w:ascii="Arial" w:eastAsia="Cambria" w:hAnsi="Arial" w:cs="Arial"/>
          <w:sz w:val="20"/>
          <w:szCs w:val="20"/>
        </w:rPr>
        <w:t xml:space="preserve">formally and all engagement will occur </w:t>
      </w:r>
      <w:r w:rsidR="00524B89">
        <w:rPr>
          <w:rFonts w:ascii="Arial" w:eastAsia="Cambria" w:hAnsi="Arial" w:cs="Arial"/>
          <w:sz w:val="20"/>
          <w:szCs w:val="20"/>
        </w:rPr>
        <w:t xml:space="preserve">regularly </w:t>
      </w:r>
      <w:r w:rsidRPr="004653E7">
        <w:rPr>
          <w:rFonts w:ascii="Arial" w:eastAsia="Cambria" w:hAnsi="Arial" w:cs="Arial"/>
          <w:sz w:val="20"/>
          <w:szCs w:val="20"/>
        </w:rPr>
        <w:t xml:space="preserve">through one or more of these mechanisms at least once every </w:t>
      </w:r>
      <w:r w:rsidR="004978DE">
        <w:rPr>
          <w:rFonts w:ascii="Arial" w:eastAsia="Cambria" w:hAnsi="Arial" w:cs="Arial"/>
          <w:sz w:val="20"/>
          <w:szCs w:val="20"/>
        </w:rPr>
        <w:t>semester or study period</w:t>
      </w:r>
      <w:r w:rsidRPr="004653E7">
        <w:rPr>
          <w:rFonts w:ascii="Arial" w:eastAsia="Cambria" w:hAnsi="Arial" w:cs="Arial"/>
          <w:sz w:val="20"/>
          <w:szCs w:val="20"/>
        </w:rPr>
        <w:t xml:space="preserve">. </w:t>
      </w:r>
    </w:p>
    <w:p w14:paraId="6F34E693" w14:textId="77777777" w:rsidR="00C94D70" w:rsidRPr="004653E7" w:rsidRDefault="00C94D70" w:rsidP="00C94D70">
      <w:r w:rsidRPr="004653E7">
        <w:rPr>
          <w:rFonts w:ascii="Arial" w:eastAsia="Cambria" w:hAnsi="Arial" w:cs="Arial"/>
          <w:sz w:val="20"/>
          <w:szCs w:val="20"/>
        </w:rPr>
        <w:t xml:space="preserve"> </w:t>
      </w:r>
    </w:p>
    <w:p w14:paraId="5B7E7B87" w14:textId="77777777" w:rsidR="00C94D70" w:rsidRPr="004653E7" w:rsidRDefault="00C94D70" w:rsidP="00C94D70">
      <w:pPr>
        <w:pStyle w:val="AHPRAbodyblue"/>
      </w:pPr>
      <w:r w:rsidRPr="004653E7">
        <w:t>External stakeholders</w:t>
      </w:r>
    </w:p>
    <w:p w14:paraId="5FC847AE" w14:textId="4F65919D" w:rsidR="00C94D70" w:rsidRDefault="00C94D70" w:rsidP="002A24E3">
      <w:pPr>
        <w:rPr>
          <w:rFonts w:ascii="Arial" w:eastAsia="Cambria" w:hAnsi="Arial" w:cs="Arial"/>
          <w:sz w:val="20"/>
          <w:szCs w:val="20"/>
        </w:rPr>
      </w:pPr>
      <w:r w:rsidRPr="004653E7">
        <w:rPr>
          <w:rFonts w:ascii="Arial" w:eastAsia="Cambria" w:hAnsi="Arial" w:cs="Arial"/>
          <w:sz w:val="20"/>
          <w:szCs w:val="20"/>
        </w:rPr>
        <w:t>The Accreditation Committee expects that the education provider will engage with any individuals, groups or organisations that are significantly affected by</w:t>
      </w:r>
      <w:r>
        <w:rPr>
          <w:rFonts w:ascii="Arial" w:eastAsia="Cambria" w:hAnsi="Arial" w:cs="Arial"/>
          <w:sz w:val="20"/>
          <w:szCs w:val="20"/>
        </w:rPr>
        <w:t>,</w:t>
      </w:r>
      <w:r w:rsidRPr="004653E7">
        <w:rPr>
          <w:rFonts w:ascii="Arial" w:eastAsia="Cambria" w:hAnsi="Arial" w:cs="Arial"/>
          <w:sz w:val="20"/>
          <w:szCs w:val="20"/>
        </w:rPr>
        <w:t xml:space="preserve"> and/or have considerable influence on the education provider, and its </w:t>
      </w:r>
      <w:r w:rsidR="002A0294" w:rsidRPr="002A0294">
        <w:rPr>
          <w:rFonts w:ascii="Arial" w:eastAsia="Cambria" w:hAnsi="Arial" w:cs="Arial"/>
          <w:sz w:val="20"/>
          <w:szCs w:val="20"/>
        </w:rPr>
        <w:t>unit/subject</w:t>
      </w:r>
      <w:r w:rsidR="002A0294" w:rsidRPr="004653E7" w:rsidDel="002A0294">
        <w:rPr>
          <w:rFonts w:ascii="Arial" w:eastAsia="Cambria" w:hAnsi="Arial" w:cs="Arial"/>
          <w:sz w:val="20"/>
          <w:szCs w:val="20"/>
        </w:rPr>
        <w:t xml:space="preserve"> </w:t>
      </w:r>
      <w:r w:rsidRPr="004653E7">
        <w:rPr>
          <w:rFonts w:ascii="Arial" w:eastAsia="Cambria" w:hAnsi="Arial" w:cs="Arial"/>
          <w:sz w:val="20"/>
          <w:szCs w:val="20"/>
        </w:rPr>
        <w:t>design and implementation. This may include, but is not limited to, representatives of the local community and relevant Aboriginal and Torres Strait Islander communities</w:t>
      </w:r>
      <w:r>
        <w:rPr>
          <w:rFonts w:ascii="Arial" w:eastAsia="Cambria" w:hAnsi="Arial" w:cs="Arial"/>
          <w:sz w:val="20"/>
          <w:szCs w:val="20"/>
        </w:rPr>
        <w:t>,</w:t>
      </w:r>
      <w:r w:rsidRPr="004653E7">
        <w:rPr>
          <w:rFonts w:ascii="Arial" w:eastAsia="Cambria" w:hAnsi="Arial" w:cs="Arial"/>
          <w:sz w:val="20"/>
          <w:szCs w:val="20"/>
        </w:rPr>
        <w:t xml:space="preserve"> </w:t>
      </w:r>
      <w:r w:rsidR="004C7965">
        <w:rPr>
          <w:rFonts w:ascii="Arial" w:eastAsia="Cambria" w:hAnsi="Arial" w:cs="Arial"/>
          <w:sz w:val="20"/>
          <w:szCs w:val="20"/>
        </w:rPr>
        <w:t xml:space="preserve">culturally and linguistically diverse communities, </w:t>
      </w:r>
      <w:r w:rsidR="00496971">
        <w:rPr>
          <w:rFonts w:ascii="Arial" w:eastAsia="Cambria" w:hAnsi="Arial" w:cs="Arial"/>
          <w:sz w:val="20"/>
          <w:szCs w:val="20"/>
        </w:rPr>
        <w:t xml:space="preserve">representatives from geographically diverse communities, </w:t>
      </w:r>
      <w:r w:rsidRPr="004653E7">
        <w:rPr>
          <w:rFonts w:ascii="Arial" w:eastAsia="Cambria" w:hAnsi="Arial" w:cs="Arial"/>
          <w:sz w:val="20"/>
          <w:szCs w:val="20"/>
        </w:rPr>
        <w:t>health consumers, relevant health services and health professionals, relevant peak bodies and industry</w:t>
      </w:r>
      <w:r>
        <w:rPr>
          <w:rFonts w:ascii="Arial" w:eastAsia="Cambria" w:hAnsi="Arial" w:cs="Arial"/>
          <w:sz w:val="20"/>
          <w:szCs w:val="20"/>
        </w:rPr>
        <w:t>.</w:t>
      </w:r>
    </w:p>
    <w:p w14:paraId="34CD519B" w14:textId="43C08797" w:rsidR="00496971" w:rsidRDefault="00496971" w:rsidP="002A24E3">
      <w:pPr>
        <w:rPr>
          <w:rFonts w:ascii="Arial" w:eastAsia="Cambria" w:hAnsi="Arial" w:cs="Arial"/>
          <w:sz w:val="20"/>
          <w:szCs w:val="20"/>
        </w:rPr>
      </w:pPr>
    </w:p>
    <w:p w14:paraId="4C1E955B" w14:textId="7ACA64DB" w:rsidR="00496971" w:rsidRDefault="00496971" w:rsidP="002A24E3">
      <w:pPr>
        <w:rPr>
          <w:rFonts w:ascii="Arial" w:eastAsia="Cambria" w:hAnsi="Arial" w:cs="Arial"/>
          <w:sz w:val="20"/>
          <w:szCs w:val="20"/>
        </w:rPr>
      </w:pPr>
      <w:r w:rsidRPr="00496971">
        <w:rPr>
          <w:rFonts w:ascii="Arial" w:eastAsia="Cambria" w:hAnsi="Arial" w:cs="Arial"/>
          <w:sz w:val="20"/>
          <w:szCs w:val="20"/>
        </w:rPr>
        <w:t>Education providers should be considered in their approach to stakeholders, ensuring that their engagement is diverse and does not burden any one stakeholder group.</w:t>
      </w:r>
    </w:p>
    <w:p w14:paraId="174C9777" w14:textId="37A270D4" w:rsidR="00CA4573" w:rsidRDefault="00CA4573" w:rsidP="002A24E3">
      <w:pPr>
        <w:rPr>
          <w:rFonts w:ascii="Arial" w:eastAsia="Cambria" w:hAnsi="Arial" w:cs="Arial"/>
          <w:sz w:val="20"/>
          <w:szCs w:val="20"/>
        </w:rPr>
      </w:pPr>
    </w:p>
    <w:p w14:paraId="417C027C" w14:textId="77777777" w:rsidR="00CA4573" w:rsidRPr="00317DA2" w:rsidRDefault="00CA4573" w:rsidP="00CA4573">
      <w:pPr>
        <w:rPr>
          <w:rFonts w:ascii="Arial" w:eastAsia="Cambria" w:hAnsi="Arial" w:cs="Arial"/>
          <w:b/>
          <w:sz w:val="20"/>
          <w:szCs w:val="20"/>
        </w:rPr>
      </w:pPr>
      <w:r w:rsidRPr="00317DA2">
        <w:rPr>
          <w:rFonts w:ascii="Arial" w:eastAsia="Cambria" w:hAnsi="Arial" w:cs="Arial"/>
          <w:b/>
          <w:sz w:val="20"/>
          <w:szCs w:val="20"/>
        </w:rPr>
        <w:t>Reconciliation Action Plan</w:t>
      </w:r>
    </w:p>
    <w:p w14:paraId="4D7832C7" w14:textId="77777777" w:rsidR="00CA4573" w:rsidRPr="00317DA2" w:rsidRDefault="00CA4573" w:rsidP="00CA4573">
      <w:pPr>
        <w:rPr>
          <w:rFonts w:ascii="Arial" w:eastAsia="Cambria" w:hAnsi="Arial" w:cs="Arial"/>
          <w:b/>
          <w:sz w:val="20"/>
          <w:szCs w:val="20"/>
        </w:rPr>
      </w:pPr>
    </w:p>
    <w:p w14:paraId="1740CD12" w14:textId="0D4BE861" w:rsidR="00CA4573" w:rsidRPr="00317DA2" w:rsidRDefault="00CA4573" w:rsidP="00CA4573">
      <w:pPr>
        <w:rPr>
          <w:rFonts w:ascii="Arial" w:eastAsia="Cambria" w:hAnsi="Arial" w:cs="Arial"/>
          <w:sz w:val="20"/>
          <w:szCs w:val="20"/>
        </w:rPr>
      </w:pPr>
      <w:r w:rsidRPr="00317DA2">
        <w:rPr>
          <w:rFonts w:ascii="Arial" w:eastAsia="Cambria" w:hAnsi="Arial" w:cs="Arial"/>
          <w:sz w:val="20"/>
          <w:szCs w:val="20"/>
        </w:rPr>
        <w:t>In recent years</w:t>
      </w:r>
      <w:r w:rsidR="002A44C2">
        <w:rPr>
          <w:rFonts w:ascii="Arial" w:eastAsia="Cambria" w:hAnsi="Arial" w:cs="Arial"/>
          <w:sz w:val="20"/>
          <w:szCs w:val="20"/>
        </w:rPr>
        <w:t>,</w:t>
      </w:r>
      <w:r w:rsidRPr="00317DA2">
        <w:rPr>
          <w:rFonts w:ascii="Arial" w:eastAsia="Cambria" w:hAnsi="Arial" w:cs="Arial"/>
          <w:sz w:val="20"/>
          <w:szCs w:val="20"/>
        </w:rPr>
        <w:t xml:space="preserve"> organisations have developed Reconciliation Action Plans (RAPs) to provide a framework for supporting the national reconciliation movement.</w:t>
      </w:r>
      <w:r w:rsidRPr="00317DA2">
        <w:t xml:space="preserve"> </w:t>
      </w:r>
      <w:r w:rsidRPr="00317DA2">
        <w:rPr>
          <w:rFonts w:ascii="Arial" w:eastAsia="Cambria" w:hAnsi="Arial" w:cs="Arial"/>
          <w:sz w:val="20"/>
          <w:szCs w:val="20"/>
        </w:rPr>
        <w:t>A RAP is a strategic document that supports an organisation’s business plan. It includes practical actions that will drive an organisation’s contribution to reconciliation both internally and in the communities in which it operates.</w:t>
      </w:r>
      <w:r w:rsidRPr="00317DA2">
        <w:rPr>
          <w:rStyle w:val="FootnoteReference"/>
          <w:rFonts w:eastAsia="Cambria" w:cs="Arial"/>
          <w:szCs w:val="20"/>
        </w:rPr>
        <w:footnoteReference w:id="14"/>
      </w:r>
    </w:p>
    <w:p w14:paraId="2C07D7AC" w14:textId="77777777" w:rsidR="00CA4573" w:rsidRPr="00317DA2" w:rsidRDefault="00CA4573" w:rsidP="00CA4573">
      <w:pPr>
        <w:rPr>
          <w:rFonts w:ascii="Arial" w:eastAsia="Cambria" w:hAnsi="Arial" w:cs="Arial"/>
          <w:sz w:val="20"/>
          <w:szCs w:val="20"/>
        </w:rPr>
      </w:pPr>
    </w:p>
    <w:p w14:paraId="43E9BACD" w14:textId="77777777" w:rsidR="00CA4573" w:rsidRPr="00317DA2" w:rsidRDefault="00CA4573" w:rsidP="00CA4573">
      <w:pPr>
        <w:pStyle w:val="ListParagraph"/>
        <w:ind w:left="0"/>
        <w:jc w:val="left"/>
        <w:rPr>
          <w:sz w:val="20"/>
          <w:szCs w:val="20"/>
        </w:rPr>
      </w:pPr>
      <w:r w:rsidRPr="00317DA2">
        <w:rPr>
          <w:sz w:val="20"/>
          <w:szCs w:val="20"/>
        </w:rPr>
        <w:t>The Accreditation Committee acknowledges that developing a RAP is a new concept for many education providers and not all providers will have yet developed a RAP.</w:t>
      </w:r>
    </w:p>
    <w:p w14:paraId="3ADEB70F" w14:textId="77777777" w:rsidR="00B23502" w:rsidRPr="004653E7" w:rsidRDefault="00B23502" w:rsidP="000A21BE">
      <w:pPr>
        <w:rPr>
          <w:rFonts w:ascii="Arial" w:eastAsia="Cambria" w:hAnsi="Arial" w:cs="Arial"/>
          <w:b/>
          <w:sz w:val="20"/>
          <w:szCs w:val="20"/>
        </w:rPr>
      </w:pPr>
    </w:p>
    <w:p w14:paraId="0D2191D2" w14:textId="41C2C56B" w:rsidR="000A21BE" w:rsidRPr="004653E7" w:rsidRDefault="00C94D70" w:rsidP="000A21BE">
      <w:pPr>
        <w:rPr>
          <w:rFonts w:ascii="Arial" w:eastAsia="Cambria" w:hAnsi="Arial" w:cs="Arial"/>
          <w:b/>
          <w:sz w:val="20"/>
          <w:szCs w:val="20"/>
        </w:rPr>
      </w:pPr>
      <w:r>
        <w:rPr>
          <w:rFonts w:ascii="Arial" w:eastAsia="Cambria" w:hAnsi="Arial" w:cs="Arial"/>
          <w:b/>
          <w:sz w:val="20"/>
          <w:szCs w:val="20"/>
        </w:rPr>
        <w:t>The s</w:t>
      </w:r>
      <w:r w:rsidR="000A21BE" w:rsidRPr="004653E7">
        <w:rPr>
          <w:rFonts w:ascii="Arial" w:eastAsia="Cambria" w:hAnsi="Arial" w:cs="Arial"/>
          <w:b/>
          <w:sz w:val="20"/>
          <w:szCs w:val="20"/>
        </w:rPr>
        <w:t>taff and student work and learning environment</w:t>
      </w:r>
    </w:p>
    <w:p w14:paraId="5BE3D0D2" w14:textId="77777777" w:rsidR="007D0263" w:rsidRPr="004653E7" w:rsidRDefault="007D0263" w:rsidP="000A21BE">
      <w:pPr>
        <w:rPr>
          <w:rFonts w:ascii="Arial" w:eastAsia="Cambria" w:hAnsi="Arial" w:cs="Arial"/>
          <w:b/>
          <w:sz w:val="20"/>
          <w:szCs w:val="20"/>
        </w:rPr>
      </w:pPr>
    </w:p>
    <w:p w14:paraId="4DCEF695" w14:textId="55B3907A" w:rsidR="000A21BE" w:rsidRPr="004653E7" w:rsidRDefault="000A21BE" w:rsidP="000A21BE">
      <w:pPr>
        <w:rPr>
          <w:rFonts w:ascii="Arial" w:eastAsia="Cambria" w:hAnsi="Arial" w:cs="Arial"/>
          <w:sz w:val="20"/>
          <w:szCs w:val="20"/>
        </w:rPr>
      </w:pPr>
      <w:r w:rsidRPr="004653E7">
        <w:rPr>
          <w:rFonts w:ascii="Arial" w:eastAsia="Cambria" w:hAnsi="Arial" w:cs="Arial"/>
          <w:sz w:val="20"/>
          <w:szCs w:val="20"/>
        </w:rPr>
        <w:t>The work environment includes any physical or virtual place staff attend to carry out their role in teaching, supervising</w:t>
      </w:r>
      <w:r w:rsidR="00910A52">
        <w:rPr>
          <w:rFonts w:ascii="Arial" w:eastAsia="Cambria" w:hAnsi="Arial" w:cs="Arial"/>
          <w:sz w:val="20"/>
          <w:szCs w:val="20"/>
        </w:rPr>
        <w:t xml:space="preserve"> </w:t>
      </w:r>
      <w:r w:rsidRPr="004653E7">
        <w:rPr>
          <w:rFonts w:ascii="Arial" w:eastAsia="Cambria" w:hAnsi="Arial" w:cs="Arial"/>
          <w:sz w:val="20"/>
          <w:szCs w:val="20"/>
        </w:rPr>
        <w:t xml:space="preserve">and/or assessing students in </w:t>
      </w:r>
      <w:r w:rsidR="000E751F" w:rsidRPr="00FD2B92">
        <w:rPr>
          <w:rFonts w:ascii="Arial" w:hAnsi="Arial" w:cs="Arial"/>
          <w:sz w:val="20"/>
          <w:szCs w:val="20"/>
        </w:rPr>
        <w:t>podiatry scheduled medicines education</w:t>
      </w:r>
      <w:r w:rsidRPr="004653E7">
        <w:rPr>
          <w:rFonts w:ascii="Arial" w:eastAsia="Cambria" w:hAnsi="Arial" w:cs="Arial"/>
          <w:sz w:val="20"/>
          <w:szCs w:val="20"/>
        </w:rPr>
        <w:t xml:space="preserve">. The learning environment includes any physical or virtual place students attend to learn and/or gain clinical experience in </w:t>
      </w:r>
      <w:r w:rsidR="000E751F" w:rsidRPr="00FD2B92">
        <w:rPr>
          <w:rFonts w:ascii="Arial" w:hAnsi="Arial" w:cs="Arial"/>
          <w:sz w:val="20"/>
          <w:szCs w:val="20"/>
        </w:rPr>
        <w:t>podiatry scheduled medicines education</w:t>
      </w:r>
      <w:r w:rsidRPr="004653E7">
        <w:rPr>
          <w:rFonts w:ascii="Arial" w:eastAsia="Cambria" w:hAnsi="Arial" w:cs="Arial"/>
          <w:sz w:val="20"/>
          <w:szCs w:val="20"/>
        </w:rPr>
        <w:t xml:space="preserve">. Examples include offices, classrooms, lecture theatres </w:t>
      </w:r>
      <w:r w:rsidR="00BA3715">
        <w:rPr>
          <w:rFonts w:ascii="Arial" w:eastAsia="Cambria" w:hAnsi="Arial" w:cs="Arial"/>
          <w:sz w:val="20"/>
          <w:szCs w:val="20"/>
        </w:rPr>
        <w:t xml:space="preserve">and </w:t>
      </w:r>
      <w:r w:rsidRPr="004653E7">
        <w:rPr>
          <w:rFonts w:ascii="Arial" w:eastAsia="Cambria" w:hAnsi="Arial" w:cs="Arial"/>
          <w:sz w:val="20"/>
          <w:szCs w:val="20"/>
        </w:rPr>
        <w:t xml:space="preserve">online learning portals, simulated environments, </w:t>
      </w:r>
      <w:r w:rsidR="00E84B18">
        <w:rPr>
          <w:rFonts w:ascii="Arial" w:eastAsia="Cambria" w:hAnsi="Arial" w:cs="Arial"/>
          <w:sz w:val="20"/>
          <w:szCs w:val="20"/>
        </w:rPr>
        <w:t>clinical teaching and</w:t>
      </w:r>
      <w:r w:rsidRPr="004653E7">
        <w:rPr>
          <w:rFonts w:ascii="Arial" w:eastAsia="Cambria" w:hAnsi="Arial" w:cs="Arial"/>
          <w:sz w:val="20"/>
          <w:szCs w:val="20"/>
        </w:rPr>
        <w:t xml:space="preserve"> learning </w:t>
      </w:r>
      <w:r w:rsidR="00E84B18">
        <w:rPr>
          <w:rFonts w:ascii="Arial" w:eastAsia="Cambria" w:hAnsi="Arial" w:cs="Arial"/>
          <w:sz w:val="20"/>
          <w:szCs w:val="20"/>
        </w:rPr>
        <w:t>spaces</w:t>
      </w:r>
      <w:r w:rsidRPr="004653E7">
        <w:rPr>
          <w:rFonts w:ascii="Arial" w:eastAsia="Cambria" w:hAnsi="Arial" w:cs="Arial"/>
          <w:sz w:val="20"/>
          <w:szCs w:val="20"/>
        </w:rPr>
        <w:t>.</w:t>
      </w:r>
    </w:p>
    <w:p w14:paraId="17D69A5B" w14:textId="77777777" w:rsidR="000A21BE" w:rsidRPr="004653E7" w:rsidRDefault="000A21BE" w:rsidP="000A21BE">
      <w:pPr>
        <w:rPr>
          <w:rFonts w:ascii="Arial" w:eastAsia="Cambria" w:hAnsi="Arial" w:cs="Arial"/>
          <w:sz w:val="20"/>
          <w:szCs w:val="20"/>
        </w:rPr>
      </w:pPr>
    </w:p>
    <w:p w14:paraId="1EEC61F0" w14:textId="44BCBDF9" w:rsidR="000A21BE" w:rsidRPr="004653E7" w:rsidRDefault="000A21BE" w:rsidP="000A21BE">
      <w:pPr>
        <w:rPr>
          <w:rFonts w:ascii="Arial" w:eastAsia="Cambria" w:hAnsi="Arial" w:cs="Arial"/>
          <w:sz w:val="20"/>
          <w:szCs w:val="20"/>
        </w:rPr>
      </w:pPr>
      <w:r w:rsidRPr="004653E7">
        <w:rPr>
          <w:rFonts w:ascii="Arial" w:eastAsia="Cambria" w:hAnsi="Arial" w:cs="Arial"/>
          <w:sz w:val="20"/>
          <w:szCs w:val="20"/>
        </w:rPr>
        <w:t xml:space="preserve">All environments related to </w:t>
      </w:r>
      <w:r w:rsidR="000E751F" w:rsidRPr="00FD2B92">
        <w:rPr>
          <w:rFonts w:ascii="Arial" w:hAnsi="Arial" w:cs="Arial"/>
          <w:sz w:val="20"/>
          <w:szCs w:val="20"/>
        </w:rPr>
        <w:t>podiatry scheduled medicines education</w:t>
      </w:r>
      <w:r w:rsidR="000E751F" w:rsidRPr="004653E7">
        <w:rPr>
          <w:rFonts w:ascii="Arial" w:eastAsia="Cambria" w:hAnsi="Arial" w:cs="Arial"/>
          <w:sz w:val="20"/>
          <w:szCs w:val="20"/>
        </w:rPr>
        <w:t xml:space="preserve"> </w:t>
      </w:r>
      <w:r w:rsidRPr="004653E7">
        <w:rPr>
          <w:rFonts w:ascii="Arial" w:eastAsia="Cambria" w:hAnsi="Arial" w:cs="Arial"/>
          <w:sz w:val="20"/>
          <w:szCs w:val="20"/>
        </w:rPr>
        <w:t xml:space="preserve">must be physically and culturally safe for both staff and students. </w:t>
      </w:r>
    </w:p>
    <w:p w14:paraId="6D75F599" w14:textId="77777777" w:rsidR="000A21BE" w:rsidRPr="004653E7" w:rsidRDefault="000A21BE" w:rsidP="002A24E3">
      <w:pPr>
        <w:rPr>
          <w:rFonts w:ascii="Arial" w:eastAsia="Cambria" w:hAnsi="Arial" w:cs="Arial"/>
          <w:sz w:val="20"/>
          <w:szCs w:val="20"/>
        </w:rPr>
      </w:pPr>
    </w:p>
    <w:p w14:paraId="07D5EF7C" w14:textId="15A502CF" w:rsidR="001A7366" w:rsidRPr="00C94D70" w:rsidRDefault="001A7366" w:rsidP="002A24E3">
      <w:pPr>
        <w:rPr>
          <w:rFonts w:ascii="Arial" w:eastAsia="Cambria" w:hAnsi="Arial" w:cs="Arial"/>
          <w:sz w:val="20"/>
          <w:szCs w:val="20"/>
        </w:rPr>
      </w:pPr>
      <w:bookmarkStart w:id="28" w:name="_Hlk533072073"/>
      <w:r w:rsidRPr="004653E7">
        <w:rPr>
          <w:rFonts w:ascii="Arial" w:hAnsi="Arial" w:cs="Arial"/>
          <w:b/>
          <w:sz w:val="20"/>
          <w:szCs w:val="20"/>
        </w:rPr>
        <w:t>S</w:t>
      </w:r>
      <w:r w:rsidR="002A24E3" w:rsidRPr="004653E7">
        <w:rPr>
          <w:rFonts w:ascii="Arial" w:hAnsi="Arial" w:cs="Arial"/>
          <w:b/>
          <w:sz w:val="20"/>
          <w:szCs w:val="20"/>
        </w:rPr>
        <w:t xml:space="preserve">taffing profile for staff responsible for management and leadership of the </w:t>
      </w:r>
      <w:r w:rsidR="00350A92" w:rsidRPr="004653E7">
        <w:rPr>
          <w:rFonts w:ascii="Arial" w:hAnsi="Arial" w:cs="Arial"/>
          <w:b/>
          <w:sz w:val="20"/>
          <w:szCs w:val="20"/>
        </w:rPr>
        <w:t>program</w:t>
      </w:r>
    </w:p>
    <w:p w14:paraId="3551172E" w14:textId="77777777" w:rsidR="007D0263" w:rsidRPr="004653E7" w:rsidRDefault="007D0263" w:rsidP="002A24E3">
      <w:pPr>
        <w:rPr>
          <w:rFonts w:ascii="Arial" w:hAnsi="Arial" w:cs="Arial"/>
          <w:b/>
          <w:sz w:val="20"/>
          <w:szCs w:val="20"/>
        </w:rPr>
      </w:pPr>
    </w:p>
    <w:p w14:paraId="02F2FCDB" w14:textId="0F349839" w:rsidR="002A24E3" w:rsidRPr="004653E7" w:rsidRDefault="002A24E3" w:rsidP="002A24E3">
      <w:pPr>
        <w:rPr>
          <w:rFonts w:ascii="Arial" w:hAnsi="Arial" w:cs="Arial"/>
          <w:b/>
          <w:sz w:val="20"/>
          <w:szCs w:val="20"/>
        </w:rPr>
      </w:pPr>
      <w:bookmarkStart w:id="29" w:name="_Hlk35940097"/>
      <w:r w:rsidRPr="004653E7">
        <w:rPr>
          <w:rFonts w:ascii="Arial" w:hAnsi="Arial" w:cs="Arial"/>
          <w:sz w:val="20"/>
          <w:szCs w:val="20"/>
        </w:rPr>
        <w:t>A template for the staffing profile is available</w:t>
      </w:r>
      <w:r w:rsidR="000D1D8D" w:rsidRPr="004653E7">
        <w:rPr>
          <w:rFonts w:ascii="Arial" w:hAnsi="Arial" w:cs="Arial"/>
          <w:sz w:val="20"/>
          <w:szCs w:val="20"/>
        </w:rPr>
        <w:t xml:space="preserve"> </w:t>
      </w:r>
      <w:r w:rsidR="007D0263" w:rsidRPr="004653E7">
        <w:rPr>
          <w:rFonts w:ascii="Arial" w:hAnsi="Arial" w:cs="Arial"/>
          <w:sz w:val="20"/>
          <w:szCs w:val="20"/>
        </w:rPr>
        <w:t xml:space="preserve">for </w:t>
      </w:r>
      <w:r w:rsidRPr="004653E7">
        <w:rPr>
          <w:rFonts w:ascii="Arial" w:hAnsi="Arial" w:cs="Arial"/>
          <w:sz w:val="20"/>
          <w:szCs w:val="20"/>
        </w:rPr>
        <w:t xml:space="preserve">education providers </w:t>
      </w:r>
      <w:r w:rsidR="00EF5000" w:rsidRPr="004653E7">
        <w:rPr>
          <w:rFonts w:ascii="Arial" w:hAnsi="Arial" w:cs="Arial"/>
          <w:sz w:val="20"/>
          <w:szCs w:val="20"/>
        </w:rPr>
        <w:t>to complete</w:t>
      </w:r>
      <w:r w:rsidR="003A4EE9" w:rsidRPr="004653E7">
        <w:rPr>
          <w:rFonts w:ascii="Arial" w:hAnsi="Arial" w:cs="Arial"/>
          <w:sz w:val="20"/>
          <w:szCs w:val="20"/>
        </w:rPr>
        <w:t>.</w:t>
      </w:r>
      <w:r w:rsidR="00FB2135" w:rsidRPr="004653E7">
        <w:rPr>
          <w:rStyle w:val="FootnoteReference"/>
          <w:rFonts w:eastAsia="Batang" w:cs="Arial"/>
        </w:rPr>
        <w:footnoteReference w:id="15"/>
      </w:r>
      <w:r w:rsidRPr="004653E7">
        <w:rPr>
          <w:rFonts w:ascii="Arial" w:hAnsi="Arial" w:cs="Arial"/>
          <w:sz w:val="20"/>
          <w:szCs w:val="20"/>
        </w:rPr>
        <w:t xml:space="preserve"> </w:t>
      </w:r>
      <w:r w:rsidR="003A4EE9" w:rsidRPr="004653E7">
        <w:rPr>
          <w:rFonts w:ascii="Arial" w:hAnsi="Arial" w:cs="Arial"/>
          <w:sz w:val="20"/>
          <w:szCs w:val="20"/>
        </w:rPr>
        <w:t>U</w:t>
      </w:r>
      <w:r w:rsidRPr="004653E7">
        <w:rPr>
          <w:rFonts w:ascii="Arial" w:hAnsi="Arial" w:cs="Arial"/>
          <w:sz w:val="20"/>
          <w:szCs w:val="20"/>
        </w:rPr>
        <w:t>s</w:t>
      </w:r>
      <w:r w:rsidR="003A4EE9" w:rsidRPr="004653E7">
        <w:rPr>
          <w:rFonts w:ascii="Arial" w:hAnsi="Arial" w:cs="Arial"/>
          <w:sz w:val="20"/>
          <w:szCs w:val="20"/>
        </w:rPr>
        <w:t>e of</w:t>
      </w:r>
      <w:r w:rsidRPr="004653E7">
        <w:rPr>
          <w:rFonts w:ascii="Arial" w:hAnsi="Arial" w:cs="Arial"/>
          <w:sz w:val="20"/>
          <w:szCs w:val="20"/>
        </w:rPr>
        <w:t xml:space="preserve"> this template is </w:t>
      </w:r>
      <w:r w:rsidRPr="000F3133">
        <w:rPr>
          <w:rFonts w:ascii="Arial" w:hAnsi="Arial" w:cs="Arial"/>
          <w:sz w:val="20"/>
          <w:szCs w:val="20"/>
        </w:rPr>
        <w:t>optional</w:t>
      </w:r>
      <w:r w:rsidR="00D45846" w:rsidRPr="000F3133">
        <w:rPr>
          <w:rFonts w:ascii="Arial" w:hAnsi="Arial" w:cs="Arial"/>
          <w:sz w:val="20"/>
          <w:szCs w:val="20"/>
        </w:rPr>
        <w:t>,</w:t>
      </w:r>
      <w:r w:rsidRPr="000F3133">
        <w:rPr>
          <w:rFonts w:ascii="Arial" w:hAnsi="Arial" w:cs="Arial"/>
          <w:sz w:val="20"/>
          <w:szCs w:val="20"/>
        </w:rPr>
        <w:t xml:space="preserve"> and the information can be set out in a different format, </w:t>
      </w:r>
      <w:proofErr w:type="gramStart"/>
      <w:r w:rsidRPr="000F3133">
        <w:rPr>
          <w:rFonts w:ascii="Arial" w:hAnsi="Arial" w:cs="Arial"/>
          <w:sz w:val="20"/>
          <w:szCs w:val="20"/>
        </w:rPr>
        <w:t>as long as</w:t>
      </w:r>
      <w:proofErr w:type="gramEnd"/>
      <w:r w:rsidRPr="000F3133">
        <w:rPr>
          <w:rFonts w:ascii="Arial" w:hAnsi="Arial" w:cs="Arial"/>
          <w:sz w:val="20"/>
          <w:szCs w:val="20"/>
        </w:rPr>
        <w:t xml:space="preserve"> it includes the details identified in the expected information </w:t>
      </w:r>
      <w:r w:rsidR="00524B89" w:rsidRPr="000F3133">
        <w:rPr>
          <w:rFonts w:ascii="Arial" w:hAnsi="Arial" w:cs="Arial"/>
          <w:sz w:val="20"/>
          <w:szCs w:val="20"/>
        </w:rPr>
        <w:t>for Criterion 2.</w:t>
      </w:r>
      <w:r w:rsidR="009445ED" w:rsidRPr="000F3133">
        <w:rPr>
          <w:rFonts w:ascii="Arial" w:hAnsi="Arial" w:cs="Arial"/>
          <w:sz w:val="20"/>
          <w:szCs w:val="20"/>
        </w:rPr>
        <w:t>1</w:t>
      </w:r>
      <w:r w:rsidR="009445ED">
        <w:rPr>
          <w:rFonts w:ascii="Arial" w:hAnsi="Arial" w:cs="Arial"/>
          <w:sz w:val="20"/>
          <w:szCs w:val="20"/>
        </w:rPr>
        <w:t>1</w:t>
      </w:r>
      <w:r w:rsidR="00524B89" w:rsidRPr="000F3133">
        <w:rPr>
          <w:rFonts w:ascii="Arial" w:hAnsi="Arial" w:cs="Arial"/>
          <w:sz w:val="20"/>
          <w:szCs w:val="20"/>
        </w:rPr>
        <w:t>.</w:t>
      </w:r>
      <w:r w:rsidR="004978DE" w:rsidRPr="000F3133">
        <w:rPr>
          <w:rFonts w:ascii="Arial" w:hAnsi="Arial" w:cs="Arial"/>
          <w:sz w:val="20"/>
          <w:szCs w:val="20"/>
        </w:rPr>
        <w:t xml:space="preserve"> The same template can also be used for </w:t>
      </w:r>
      <w:r w:rsidR="004978DE" w:rsidRPr="009445ED">
        <w:rPr>
          <w:rFonts w:ascii="Arial" w:hAnsi="Arial" w:cs="Arial"/>
          <w:sz w:val="20"/>
          <w:szCs w:val="20"/>
        </w:rPr>
        <w:t xml:space="preserve">Criteria </w:t>
      </w:r>
      <w:r w:rsidR="002E33AC">
        <w:rPr>
          <w:rFonts w:ascii="Arial" w:hAnsi="Arial" w:cs="Arial"/>
          <w:sz w:val="20"/>
          <w:szCs w:val="20"/>
        </w:rPr>
        <w:t xml:space="preserve">3.11 and </w:t>
      </w:r>
      <w:r w:rsidR="004978DE" w:rsidRPr="009445ED">
        <w:rPr>
          <w:rFonts w:ascii="Arial" w:hAnsi="Arial" w:cs="Arial"/>
          <w:sz w:val="20"/>
          <w:szCs w:val="20"/>
        </w:rPr>
        <w:t>5.4.</w:t>
      </w:r>
    </w:p>
    <w:bookmarkEnd w:id="29"/>
    <w:p w14:paraId="3EDB196D" w14:textId="77777777" w:rsidR="001A7366" w:rsidRPr="004653E7" w:rsidRDefault="001A7366" w:rsidP="002A24E3">
      <w:pPr>
        <w:rPr>
          <w:rFonts w:ascii="Arial" w:hAnsi="Arial" w:cs="Arial"/>
          <w:sz w:val="20"/>
          <w:szCs w:val="20"/>
        </w:rPr>
      </w:pPr>
    </w:p>
    <w:p w14:paraId="766B4975" w14:textId="73C8105C" w:rsidR="002A24E3" w:rsidRPr="004653E7" w:rsidRDefault="002A24E3" w:rsidP="002A24E3">
      <w:pPr>
        <w:rPr>
          <w:rFonts w:ascii="Arial" w:hAnsi="Arial" w:cs="Arial"/>
          <w:sz w:val="20"/>
          <w:szCs w:val="20"/>
        </w:rPr>
      </w:pPr>
      <w:r w:rsidRPr="004653E7">
        <w:rPr>
          <w:rFonts w:ascii="Arial" w:hAnsi="Arial" w:cs="Arial"/>
          <w:sz w:val="20"/>
          <w:szCs w:val="20"/>
        </w:rPr>
        <w:t xml:space="preserve">The </w:t>
      </w:r>
      <w:r w:rsidR="00350A92" w:rsidRPr="004653E7">
        <w:rPr>
          <w:rFonts w:ascii="Arial" w:hAnsi="Arial" w:cs="Arial"/>
          <w:sz w:val="20"/>
          <w:szCs w:val="20"/>
        </w:rPr>
        <w:t>Accreditation Committee</w:t>
      </w:r>
      <w:r w:rsidRPr="004653E7">
        <w:rPr>
          <w:rFonts w:ascii="Arial" w:hAnsi="Arial" w:cs="Arial"/>
          <w:sz w:val="20"/>
          <w:szCs w:val="20"/>
        </w:rPr>
        <w:t xml:space="preserve"> does not assess against the </w:t>
      </w:r>
      <w:r w:rsidR="00581C28" w:rsidRPr="00866076">
        <w:rPr>
          <w:rFonts w:ascii="Arial" w:hAnsi="Arial" w:cs="Arial"/>
          <w:sz w:val="20"/>
          <w:szCs w:val="20"/>
        </w:rPr>
        <w:t>threshold HES</w:t>
      </w:r>
      <w:r w:rsidRPr="004653E7">
        <w:rPr>
          <w:rFonts w:ascii="Arial" w:hAnsi="Arial" w:cs="Arial"/>
          <w:i/>
          <w:sz w:val="20"/>
          <w:szCs w:val="20"/>
        </w:rPr>
        <w:t>,</w:t>
      </w:r>
      <w:r w:rsidRPr="004653E7">
        <w:rPr>
          <w:rFonts w:ascii="Arial" w:hAnsi="Arial" w:cs="Arial"/>
          <w:sz w:val="20"/>
          <w:szCs w:val="20"/>
        </w:rPr>
        <w:t xml:space="preserve"> but it expects the education provider to submit clear evidence that all staff with responsibilities for management and leadership of </w:t>
      </w:r>
      <w:r w:rsidR="000E751F" w:rsidRPr="00FD2B92">
        <w:rPr>
          <w:rFonts w:ascii="Arial" w:hAnsi="Arial" w:cs="Arial"/>
          <w:sz w:val="20"/>
          <w:szCs w:val="20"/>
        </w:rPr>
        <w:t>podiatry scheduled medicines education</w:t>
      </w:r>
      <w:r w:rsidR="000E751F" w:rsidRPr="004653E7">
        <w:rPr>
          <w:rFonts w:ascii="Arial" w:hAnsi="Arial" w:cs="Arial"/>
          <w:sz w:val="20"/>
          <w:szCs w:val="20"/>
        </w:rPr>
        <w:t xml:space="preserve"> </w:t>
      </w:r>
      <w:r w:rsidRPr="004653E7">
        <w:rPr>
          <w:rFonts w:ascii="Arial" w:hAnsi="Arial" w:cs="Arial"/>
          <w:sz w:val="20"/>
          <w:szCs w:val="20"/>
        </w:rPr>
        <w:t>have:</w:t>
      </w:r>
    </w:p>
    <w:p w14:paraId="0CEDFCB3" w14:textId="77777777" w:rsidR="002A24E3" w:rsidRPr="004653E7" w:rsidRDefault="002A24E3" w:rsidP="002A24E3">
      <w:pPr>
        <w:rPr>
          <w:rFonts w:ascii="Arial" w:hAnsi="Arial" w:cs="Arial"/>
          <w:sz w:val="20"/>
          <w:szCs w:val="20"/>
        </w:rPr>
      </w:pPr>
    </w:p>
    <w:p w14:paraId="210427C9" w14:textId="2516B36F" w:rsidR="002A24E3" w:rsidRPr="004653E7" w:rsidRDefault="002A24E3" w:rsidP="006B223F">
      <w:pPr>
        <w:pStyle w:val="ListParagraph"/>
        <w:numPr>
          <w:ilvl w:val="0"/>
          <w:numId w:val="31"/>
        </w:numPr>
        <w:jc w:val="left"/>
        <w:rPr>
          <w:sz w:val="20"/>
          <w:szCs w:val="20"/>
        </w:rPr>
      </w:pPr>
      <w:r w:rsidRPr="004653E7">
        <w:rPr>
          <w:sz w:val="20"/>
          <w:szCs w:val="20"/>
        </w:rPr>
        <w:t>knowledge of contemporary developments in</w:t>
      </w:r>
      <w:r w:rsidR="008971CA">
        <w:rPr>
          <w:sz w:val="20"/>
          <w:szCs w:val="20"/>
        </w:rPr>
        <w:t xml:space="preserve"> </w:t>
      </w:r>
      <w:r w:rsidR="00095918">
        <w:rPr>
          <w:sz w:val="20"/>
          <w:szCs w:val="20"/>
        </w:rPr>
        <w:t>podiatry</w:t>
      </w:r>
      <w:r w:rsidR="00371415">
        <w:rPr>
          <w:sz w:val="20"/>
          <w:szCs w:val="20"/>
        </w:rPr>
        <w:t xml:space="preserve"> </w:t>
      </w:r>
      <w:r w:rsidR="007106DE">
        <w:rPr>
          <w:sz w:val="20"/>
          <w:szCs w:val="20"/>
        </w:rPr>
        <w:t xml:space="preserve">and/or podiatric surgery </w:t>
      </w:r>
      <w:r w:rsidR="00371415">
        <w:rPr>
          <w:sz w:val="20"/>
          <w:szCs w:val="20"/>
        </w:rPr>
        <w:t>practice</w:t>
      </w:r>
      <w:r w:rsidR="006E459B" w:rsidRPr="004653E7">
        <w:rPr>
          <w:sz w:val="20"/>
          <w:szCs w:val="20"/>
        </w:rPr>
        <w:t>, which is informed by</w:t>
      </w:r>
      <w:r w:rsidRPr="004653E7">
        <w:rPr>
          <w:sz w:val="20"/>
          <w:szCs w:val="20"/>
        </w:rPr>
        <w:t xml:space="preserve"> current and continuing scholarship or research or advances in practice</w:t>
      </w:r>
    </w:p>
    <w:p w14:paraId="37770BCF" w14:textId="6E78A441" w:rsidR="005627D5" w:rsidRPr="004653E7" w:rsidRDefault="002B73C3" w:rsidP="006B223F">
      <w:pPr>
        <w:pStyle w:val="ListParagraph"/>
        <w:numPr>
          <w:ilvl w:val="0"/>
          <w:numId w:val="31"/>
        </w:numPr>
        <w:jc w:val="left"/>
        <w:rPr>
          <w:sz w:val="20"/>
          <w:szCs w:val="20"/>
        </w:rPr>
      </w:pPr>
      <w:r>
        <w:rPr>
          <w:sz w:val="20"/>
          <w:szCs w:val="20"/>
        </w:rPr>
        <w:t xml:space="preserve">high-level </w:t>
      </w:r>
      <w:r w:rsidR="002A24E3" w:rsidRPr="004653E7">
        <w:rPr>
          <w:sz w:val="20"/>
          <w:szCs w:val="20"/>
        </w:rPr>
        <w:t>skills in contemporary teaching, learning and assessment principles relevant to</w:t>
      </w:r>
      <w:r w:rsidR="008971CA">
        <w:rPr>
          <w:sz w:val="20"/>
          <w:szCs w:val="20"/>
        </w:rPr>
        <w:t xml:space="preserve"> </w:t>
      </w:r>
      <w:r w:rsidR="00095918">
        <w:rPr>
          <w:sz w:val="20"/>
          <w:szCs w:val="20"/>
        </w:rPr>
        <w:t>podiatry</w:t>
      </w:r>
      <w:r w:rsidR="00371415">
        <w:rPr>
          <w:sz w:val="20"/>
          <w:szCs w:val="20"/>
        </w:rPr>
        <w:t xml:space="preserve"> practice</w:t>
      </w:r>
      <w:r w:rsidR="007106DE" w:rsidRPr="007106DE">
        <w:rPr>
          <w:sz w:val="20"/>
          <w:szCs w:val="20"/>
        </w:rPr>
        <w:t xml:space="preserve"> </w:t>
      </w:r>
      <w:r w:rsidR="007106DE">
        <w:rPr>
          <w:sz w:val="20"/>
          <w:szCs w:val="20"/>
        </w:rPr>
        <w:t>and/or podiatric surgery</w:t>
      </w:r>
      <w:r w:rsidR="002A24E3" w:rsidRPr="004653E7">
        <w:rPr>
          <w:sz w:val="20"/>
          <w:szCs w:val="20"/>
        </w:rPr>
        <w:t xml:space="preserve">, their role, modes of implementation and the needs of </w:t>
      </w:r>
      <w:proofErr w:type="gramStart"/>
      <w:r w:rsidR="002A24E3" w:rsidRPr="004653E7">
        <w:rPr>
          <w:sz w:val="20"/>
          <w:szCs w:val="20"/>
        </w:rPr>
        <w:t>particular student</w:t>
      </w:r>
      <w:proofErr w:type="gramEnd"/>
      <w:r w:rsidR="002A24E3" w:rsidRPr="004653E7">
        <w:rPr>
          <w:sz w:val="20"/>
          <w:szCs w:val="20"/>
        </w:rPr>
        <w:t xml:space="preserve"> cohorts, and </w:t>
      </w:r>
      <w:r w:rsidR="00371415">
        <w:rPr>
          <w:sz w:val="20"/>
          <w:szCs w:val="20"/>
        </w:rPr>
        <w:t xml:space="preserve"> </w:t>
      </w:r>
    </w:p>
    <w:p w14:paraId="6D0CCA1B" w14:textId="5AF245EB" w:rsidR="005627D5" w:rsidRPr="004653E7" w:rsidRDefault="002A24E3" w:rsidP="006B223F">
      <w:pPr>
        <w:pStyle w:val="ListParagraph"/>
        <w:numPr>
          <w:ilvl w:val="0"/>
          <w:numId w:val="31"/>
        </w:numPr>
        <w:jc w:val="left"/>
        <w:rPr>
          <w:sz w:val="20"/>
          <w:szCs w:val="20"/>
        </w:rPr>
      </w:pPr>
      <w:r w:rsidRPr="004653E7">
        <w:rPr>
          <w:sz w:val="20"/>
          <w:szCs w:val="20"/>
        </w:rPr>
        <w:t xml:space="preserve">a qualification in a relevant discipline at least one level higher than the </w:t>
      </w:r>
      <w:r w:rsidR="002A0294" w:rsidRPr="002A0294">
        <w:rPr>
          <w:rFonts w:eastAsia="Cambria"/>
          <w:sz w:val="20"/>
          <w:szCs w:val="20"/>
        </w:rPr>
        <w:t>unit/subject</w:t>
      </w:r>
      <w:r w:rsidRPr="004653E7">
        <w:rPr>
          <w:sz w:val="20"/>
          <w:szCs w:val="20"/>
        </w:rPr>
        <w:t>, or equivalent relevant academic or professional or practice-based experience and expertise.</w:t>
      </w:r>
    </w:p>
    <w:p w14:paraId="1EB259B5" w14:textId="77777777" w:rsidR="005627D5" w:rsidRPr="004653E7" w:rsidRDefault="005627D5" w:rsidP="005627D5">
      <w:pPr>
        <w:rPr>
          <w:rFonts w:ascii="Arial" w:hAnsi="Arial" w:cs="Arial"/>
          <w:sz w:val="20"/>
          <w:szCs w:val="20"/>
        </w:rPr>
      </w:pPr>
    </w:p>
    <w:p w14:paraId="3B283DCF" w14:textId="612B6167" w:rsidR="005627D5" w:rsidRDefault="005627D5" w:rsidP="005627D5">
      <w:pPr>
        <w:rPr>
          <w:rFonts w:ascii="Arial" w:hAnsi="Arial" w:cs="Arial"/>
          <w:sz w:val="20"/>
          <w:szCs w:val="20"/>
        </w:rPr>
      </w:pPr>
      <w:r w:rsidRPr="004653E7">
        <w:rPr>
          <w:rFonts w:ascii="Arial" w:hAnsi="Arial" w:cs="Arial"/>
          <w:sz w:val="20"/>
          <w:szCs w:val="20"/>
        </w:rPr>
        <w:t xml:space="preserve">If information at the level of the </w:t>
      </w:r>
      <w:bookmarkStart w:id="30" w:name="_Hlk37425341"/>
      <w:r w:rsidR="002A0294" w:rsidRPr="002A0294">
        <w:rPr>
          <w:rFonts w:ascii="Arial" w:eastAsia="Cambria" w:hAnsi="Arial" w:cs="Arial"/>
          <w:sz w:val="20"/>
          <w:szCs w:val="20"/>
        </w:rPr>
        <w:t>unit/subject</w:t>
      </w:r>
      <w:r w:rsidR="002A0294" w:rsidRPr="004653E7" w:rsidDel="002A0294">
        <w:rPr>
          <w:rFonts w:ascii="Arial" w:hAnsi="Arial" w:cs="Arial"/>
          <w:sz w:val="20"/>
          <w:szCs w:val="20"/>
        </w:rPr>
        <w:t xml:space="preserve"> </w:t>
      </w:r>
      <w:bookmarkEnd w:id="30"/>
      <w:r w:rsidRPr="004653E7">
        <w:rPr>
          <w:rFonts w:ascii="Arial" w:hAnsi="Arial" w:cs="Arial"/>
          <w:sz w:val="20"/>
          <w:szCs w:val="20"/>
        </w:rPr>
        <w:t>has been provided to and assessed by TEQSA, evidence of the outcome of TEQSA</w:t>
      </w:r>
      <w:r w:rsidR="00556249" w:rsidRPr="004653E7">
        <w:rPr>
          <w:rFonts w:ascii="Arial" w:hAnsi="Arial" w:cs="Arial"/>
          <w:sz w:val="20"/>
          <w:szCs w:val="20"/>
        </w:rPr>
        <w:t>’s</w:t>
      </w:r>
      <w:r w:rsidRPr="004653E7">
        <w:rPr>
          <w:rFonts w:ascii="Arial" w:hAnsi="Arial" w:cs="Arial"/>
          <w:sz w:val="20"/>
          <w:szCs w:val="20"/>
        </w:rPr>
        <w:t xml:space="preserve"> assessment is </w:t>
      </w:r>
      <w:proofErr w:type="gramStart"/>
      <w:r w:rsidRPr="004653E7">
        <w:rPr>
          <w:rFonts w:ascii="Arial" w:hAnsi="Arial" w:cs="Arial"/>
          <w:sz w:val="20"/>
          <w:szCs w:val="20"/>
        </w:rPr>
        <w:t>sufficient</w:t>
      </w:r>
      <w:proofErr w:type="gramEnd"/>
      <w:r w:rsidR="00E84B18">
        <w:rPr>
          <w:rFonts w:ascii="Arial" w:hAnsi="Arial" w:cs="Arial"/>
          <w:sz w:val="20"/>
          <w:szCs w:val="20"/>
        </w:rPr>
        <w:t xml:space="preserve">, noting however that it is unlikely TEQSA will collect information on staffing at the </w:t>
      </w:r>
      <w:r w:rsidR="00416B87" w:rsidRPr="002A0294">
        <w:rPr>
          <w:rFonts w:ascii="Arial" w:eastAsia="Cambria" w:hAnsi="Arial" w:cs="Arial"/>
          <w:sz w:val="20"/>
          <w:szCs w:val="20"/>
        </w:rPr>
        <w:t>unit/subject</w:t>
      </w:r>
      <w:r w:rsidR="00416B87" w:rsidRPr="004653E7" w:rsidDel="002A0294">
        <w:rPr>
          <w:rFonts w:ascii="Arial" w:hAnsi="Arial" w:cs="Arial"/>
          <w:sz w:val="20"/>
          <w:szCs w:val="20"/>
        </w:rPr>
        <w:t xml:space="preserve"> </w:t>
      </w:r>
      <w:r w:rsidR="00E84B18">
        <w:rPr>
          <w:rFonts w:ascii="Arial" w:hAnsi="Arial" w:cs="Arial"/>
          <w:sz w:val="20"/>
          <w:szCs w:val="20"/>
        </w:rPr>
        <w:t>level</w:t>
      </w:r>
      <w:r w:rsidRPr="004653E7">
        <w:rPr>
          <w:rFonts w:ascii="Arial" w:hAnsi="Arial" w:cs="Arial"/>
          <w:sz w:val="20"/>
          <w:szCs w:val="20"/>
        </w:rPr>
        <w:t>.</w:t>
      </w:r>
    </w:p>
    <w:p w14:paraId="0531F454" w14:textId="6876FFD2" w:rsidR="00D4033D" w:rsidRDefault="00D4033D" w:rsidP="005627D5">
      <w:pPr>
        <w:rPr>
          <w:rFonts w:ascii="Arial" w:hAnsi="Arial" w:cs="Arial"/>
          <w:sz w:val="20"/>
          <w:szCs w:val="20"/>
        </w:rPr>
      </w:pPr>
    </w:p>
    <w:p w14:paraId="38411C2B" w14:textId="4032F954" w:rsidR="00D4033D" w:rsidRPr="00D4033D" w:rsidRDefault="00D4033D" w:rsidP="005627D5">
      <w:pPr>
        <w:rPr>
          <w:rFonts w:ascii="Arial" w:hAnsi="Arial" w:cs="Arial"/>
          <w:b/>
          <w:sz w:val="20"/>
          <w:szCs w:val="20"/>
        </w:rPr>
      </w:pPr>
      <w:r w:rsidRPr="00D4033D">
        <w:rPr>
          <w:rFonts w:ascii="Arial" w:hAnsi="Arial" w:cs="Arial"/>
          <w:b/>
          <w:sz w:val="20"/>
          <w:szCs w:val="20"/>
        </w:rPr>
        <w:t>Staff with knowledge, expertise and cultural capabilities to facilitate learning in Aboriginal and Torres Strait Islander health</w:t>
      </w:r>
    </w:p>
    <w:p w14:paraId="7E93E9B2" w14:textId="0B795E3C" w:rsidR="00D4033D" w:rsidRDefault="00D4033D" w:rsidP="005627D5">
      <w:pPr>
        <w:rPr>
          <w:rFonts w:ascii="Arial" w:hAnsi="Arial" w:cs="Arial"/>
          <w:sz w:val="20"/>
          <w:szCs w:val="20"/>
        </w:rPr>
      </w:pPr>
    </w:p>
    <w:p w14:paraId="4A20CDFB" w14:textId="543BC284" w:rsidR="00D4033D" w:rsidRPr="004653E7" w:rsidRDefault="00D4033D" w:rsidP="005627D5">
      <w:pPr>
        <w:rPr>
          <w:rFonts w:ascii="Arial" w:hAnsi="Arial" w:cs="Arial"/>
          <w:sz w:val="20"/>
          <w:szCs w:val="20"/>
        </w:rPr>
      </w:pPr>
      <w:r>
        <w:rPr>
          <w:rFonts w:ascii="Arial" w:hAnsi="Arial" w:cs="Arial"/>
          <w:sz w:val="20"/>
          <w:szCs w:val="20"/>
        </w:rPr>
        <w:t xml:space="preserve">The Accreditation Committee recognises that it may be difficult for all education providers to recruit Aboriginal and Torres Strait Islander Peoples as staff who can facilitate learning in Aboriginal and Torres Strait Islander Health. </w:t>
      </w:r>
      <w:r w:rsidR="00E420AA">
        <w:rPr>
          <w:rFonts w:ascii="Arial" w:hAnsi="Arial" w:cs="Arial"/>
          <w:sz w:val="20"/>
          <w:szCs w:val="20"/>
        </w:rPr>
        <w:t>In the first instance the Committee will be looking for demonstratable efforts by education providers to improve recruitment and retention of Aboriginal and Torres Strait Islander Peoples. It will also be looking for creative efforts by education providers to meet the intent of this criterion (e</w:t>
      </w:r>
      <w:r w:rsidR="00EE5C32">
        <w:rPr>
          <w:rFonts w:ascii="Arial" w:hAnsi="Arial" w:cs="Arial"/>
          <w:sz w:val="20"/>
          <w:szCs w:val="20"/>
        </w:rPr>
        <w:t>.</w:t>
      </w:r>
      <w:r w:rsidR="00E420AA">
        <w:rPr>
          <w:rFonts w:ascii="Arial" w:hAnsi="Arial" w:cs="Arial"/>
          <w:sz w:val="20"/>
          <w:szCs w:val="20"/>
        </w:rPr>
        <w:t xml:space="preserve">g. </w:t>
      </w:r>
      <w:r w:rsidR="00EE5C32">
        <w:rPr>
          <w:rFonts w:ascii="Arial" w:hAnsi="Arial" w:cs="Arial"/>
          <w:sz w:val="20"/>
          <w:szCs w:val="20"/>
        </w:rPr>
        <w:t>b</w:t>
      </w:r>
      <w:r w:rsidR="00E420AA">
        <w:rPr>
          <w:rFonts w:ascii="Arial" w:hAnsi="Arial" w:cs="Arial"/>
          <w:sz w:val="20"/>
          <w:szCs w:val="20"/>
        </w:rPr>
        <w:t xml:space="preserve">y </w:t>
      </w:r>
      <w:r w:rsidR="00EE5C32">
        <w:rPr>
          <w:rFonts w:ascii="Arial" w:hAnsi="Arial" w:cs="Arial"/>
          <w:sz w:val="20"/>
          <w:szCs w:val="20"/>
        </w:rPr>
        <w:t>engaging with</w:t>
      </w:r>
      <w:r w:rsidR="00E420AA">
        <w:rPr>
          <w:rFonts w:ascii="Arial" w:hAnsi="Arial" w:cs="Arial"/>
          <w:sz w:val="20"/>
          <w:szCs w:val="20"/>
        </w:rPr>
        <w:t xml:space="preserve"> guest speakers from local communities where Aboriginal and Torres Strait Islanders are not on staff.)</w:t>
      </w:r>
    </w:p>
    <w:bookmarkEnd w:id="28"/>
    <w:p w14:paraId="284BD2B6" w14:textId="104E6E4D" w:rsidR="002A24E3" w:rsidRPr="004653E7" w:rsidRDefault="000E751F" w:rsidP="002838B3">
      <w:pPr>
        <w:pStyle w:val="Heading2"/>
        <w:spacing w:before="200" w:after="200"/>
        <w:rPr>
          <w:rFonts w:ascii="Arial" w:eastAsia="Cambria" w:hAnsi="Arial" w:cs="Arial"/>
          <w:b w:val="0"/>
          <w:color w:val="007DC3"/>
        </w:rPr>
      </w:pPr>
      <w:r>
        <w:rPr>
          <w:rFonts w:eastAsia="Cambria"/>
          <w:b w:val="0"/>
          <w:color w:val="007DC3"/>
          <w:sz w:val="20"/>
          <w:szCs w:val="20"/>
        </w:rPr>
        <w:br w:type="page"/>
      </w:r>
      <w:bookmarkStart w:id="31" w:name="_Toc55994918"/>
      <w:r w:rsidR="002A24E3" w:rsidRPr="002838B3">
        <w:rPr>
          <w:rFonts w:ascii="Arial" w:hAnsi="Arial"/>
          <w:i w:val="0"/>
          <w:color w:val="007DC3"/>
        </w:rPr>
        <w:lastRenderedPageBreak/>
        <w:t xml:space="preserve">Standard 3: </w:t>
      </w:r>
      <w:r w:rsidR="002242F4" w:rsidRPr="002838B3">
        <w:rPr>
          <w:rFonts w:ascii="Arial" w:hAnsi="Arial"/>
          <w:i w:val="0"/>
          <w:color w:val="007DC3"/>
        </w:rPr>
        <w:t xml:space="preserve">Education </w:t>
      </w:r>
      <w:r w:rsidR="002A24E3" w:rsidRPr="002838B3">
        <w:rPr>
          <w:rFonts w:ascii="Arial" w:hAnsi="Arial"/>
          <w:i w:val="0"/>
          <w:color w:val="007DC3"/>
        </w:rPr>
        <w:t>design, implementation and resourcing</w:t>
      </w:r>
      <w:bookmarkEnd w:id="31"/>
    </w:p>
    <w:p w14:paraId="361F2E23" w14:textId="32D0FDC3" w:rsidR="002A24E3" w:rsidRPr="004653E7" w:rsidRDefault="00634109" w:rsidP="00484EAD">
      <w:pPr>
        <w:pStyle w:val="AHPRAbodybold"/>
        <w:rPr>
          <w:sz w:val="22"/>
          <w:szCs w:val="22"/>
        </w:rPr>
      </w:pPr>
      <w:r>
        <w:rPr>
          <w:sz w:val="22"/>
          <w:szCs w:val="22"/>
          <w:lang w:eastAsia="en-AU"/>
        </w:rPr>
        <w:t xml:space="preserve">Standard statement: </w:t>
      </w:r>
      <w:r w:rsidR="002242F4">
        <w:rPr>
          <w:sz w:val="22"/>
          <w:szCs w:val="22"/>
        </w:rPr>
        <w:t>Education</w:t>
      </w:r>
      <w:r w:rsidR="001B4E3E" w:rsidRPr="004653E7">
        <w:rPr>
          <w:sz w:val="22"/>
          <w:szCs w:val="22"/>
        </w:rPr>
        <w:t xml:space="preserve"> </w:t>
      </w:r>
      <w:r w:rsidR="00484EAD" w:rsidRPr="004653E7">
        <w:rPr>
          <w:sz w:val="22"/>
          <w:szCs w:val="22"/>
        </w:rPr>
        <w:t xml:space="preserve">design, implementation and resourcing enable students to achieve all the professional capabilities for </w:t>
      </w:r>
      <w:r w:rsidR="002242F4">
        <w:rPr>
          <w:sz w:val="22"/>
          <w:szCs w:val="22"/>
        </w:rPr>
        <w:t>prescribing scheduled medicines</w:t>
      </w:r>
      <w:r w:rsidR="0053740B">
        <w:rPr>
          <w:sz w:val="22"/>
          <w:szCs w:val="22"/>
        </w:rPr>
        <w:t xml:space="preserve"> for podiatric conditions</w:t>
      </w:r>
      <w:r w:rsidR="00484EAD" w:rsidRPr="004653E7">
        <w:rPr>
          <w:sz w:val="22"/>
          <w:szCs w:val="22"/>
        </w:rPr>
        <w:t>.</w:t>
      </w:r>
    </w:p>
    <w:tbl>
      <w:tblPr>
        <w:tblW w:w="9639" w:type="dxa"/>
        <w:tblInd w:w="-5" w:type="dxa"/>
        <w:tblLayout w:type="fixed"/>
        <w:tblLook w:val="04A0" w:firstRow="1" w:lastRow="0" w:firstColumn="1" w:lastColumn="0" w:noHBand="0" w:noVBand="1"/>
      </w:tblPr>
      <w:tblGrid>
        <w:gridCol w:w="700"/>
        <w:gridCol w:w="3411"/>
        <w:gridCol w:w="5528"/>
      </w:tblGrid>
      <w:tr w:rsidR="00484EAD" w:rsidRPr="004653E7" w14:paraId="090EA2FE" w14:textId="77777777" w:rsidTr="002A44C2">
        <w:trPr>
          <w:trHeight w:val="410"/>
          <w:tblHeader/>
        </w:trPr>
        <w:tc>
          <w:tcPr>
            <w:tcW w:w="411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39CCC1" w14:textId="77777777" w:rsidR="00484EAD" w:rsidRPr="004653E7" w:rsidRDefault="00484EAD" w:rsidP="00F23E41">
            <w:pPr>
              <w:spacing w:before="120" w:after="120"/>
              <w:rPr>
                <w:rFonts w:ascii="Arial" w:hAnsi="Arial" w:cs="Arial"/>
                <w:b/>
                <w:bCs/>
                <w:sz w:val="20"/>
                <w:szCs w:val="20"/>
                <w:lang w:eastAsia="en-AU"/>
              </w:rPr>
            </w:pPr>
            <w:r w:rsidRPr="004653E7">
              <w:rPr>
                <w:rFonts w:ascii="Arial" w:hAnsi="Arial" w:cs="Arial"/>
                <w:b/>
                <w:bCs/>
                <w:sz w:val="20"/>
                <w:szCs w:val="20"/>
                <w:lang w:eastAsia="en-AU"/>
              </w:rPr>
              <w:t>Criteria</w:t>
            </w:r>
          </w:p>
        </w:tc>
        <w:tc>
          <w:tcPr>
            <w:tcW w:w="552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70F25C" w14:textId="77777777" w:rsidR="00484EAD" w:rsidRPr="004653E7" w:rsidRDefault="00484EAD" w:rsidP="00F23E41">
            <w:pPr>
              <w:spacing w:before="120" w:after="120"/>
              <w:rPr>
                <w:rFonts w:ascii="Arial" w:hAnsi="Arial" w:cs="Arial"/>
                <w:b/>
                <w:bCs/>
                <w:sz w:val="20"/>
                <w:szCs w:val="20"/>
                <w:lang w:eastAsia="en-AU"/>
              </w:rPr>
            </w:pPr>
            <w:r w:rsidRPr="004653E7">
              <w:rPr>
                <w:rFonts w:ascii="Arial" w:hAnsi="Arial" w:cs="Arial"/>
                <w:b/>
                <w:bCs/>
                <w:sz w:val="20"/>
                <w:szCs w:val="20"/>
                <w:lang w:eastAsia="en-AU"/>
              </w:rPr>
              <w:t>Expected information for inclusion with accreditation application/monitoring response</w:t>
            </w:r>
          </w:p>
        </w:tc>
      </w:tr>
      <w:tr w:rsidR="00653EA9" w:rsidRPr="004653E7" w14:paraId="23473DBB" w14:textId="77777777" w:rsidTr="006A4865">
        <w:trPr>
          <w:trHeight w:val="416"/>
        </w:trPr>
        <w:tc>
          <w:tcPr>
            <w:tcW w:w="700" w:type="dxa"/>
            <w:tcBorders>
              <w:top w:val="single" w:sz="4" w:space="0" w:color="auto"/>
              <w:left w:val="single" w:sz="4" w:space="0" w:color="auto"/>
              <w:bottom w:val="single" w:sz="4" w:space="0" w:color="auto"/>
              <w:right w:val="single" w:sz="4" w:space="0" w:color="auto"/>
            </w:tcBorders>
            <w:shd w:val="clear" w:color="auto" w:fill="auto"/>
          </w:tcPr>
          <w:p w14:paraId="410B8EBC" w14:textId="733C076D" w:rsidR="00653EA9" w:rsidRPr="004653E7" w:rsidRDefault="00653EA9" w:rsidP="006A4865">
            <w:pPr>
              <w:rPr>
                <w:rFonts w:ascii="Arial" w:hAnsi="Arial" w:cs="Arial"/>
                <w:sz w:val="20"/>
                <w:szCs w:val="20"/>
                <w:lang w:eastAsia="en-AU"/>
              </w:rPr>
            </w:pPr>
            <w:r w:rsidRPr="004653E7">
              <w:rPr>
                <w:rFonts w:ascii="Arial" w:hAnsi="Arial" w:cs="Arial"/>
                <w:sz w:val="20"/>
                <w:szCs w:val="20"/>
                <w:lang w:eastAsia="en-AU"/>
              </w:rPr>
              <w:t>3.</w:t>
            </w:r>
            <w:r>
              <w:rPr>
                <w:rFonts w:ascii="Arial" w:hAnsi="Arial" w:cs="Arial"/>
                <w:sz w:val="20"/>
                <w:szCs w:val="20"/>
                <w:lang w:eastAsia="en-AU"/>
              </w:rPr>
              <w:t>1</w:t>
            </w:r>
          </w:p>
        </w:tc>
        <w:tc>
          <w:tcPr>
            <w:tcW w:w="3411" w:type="dxa"/>
            <w:tcBorders>
              <w:top w:val="single" w:sz="4" w:space="0" w:color="auto"/>
              <w:left w:val="nil"/>
              <w:bottom w:val="single" w:sz="4" w:space="0" w:color="auto"/>
              <w:right w:val="single" w:sz="4" w:space="0" w:color="auto"/>
            </w:tcBorders>
            <w:shd w:val="clear" w:color="auto" w:fill="auto"/>
          </w:tcPr>
          <w:p w14:paraId="736FA427" w14:textId="16A3E1E8" w:rsidR="00653EA9" w:rsidRPr="004653E7" w:rsidRDefault="00653EA9" w:rsidP="006A4865">
            <w:pPr>
              <w:rPr>
                <w:rFonts w:ascii="Arial" w:hAnsi="Arial" w:cs="Arial"/>
                <w:sz w:val="20"/>
                <w:szCs w:val="20"/>
                <w:lang w:eastAsia="en-AU"/>
              </w:rPr>
            </w:pPr>
            <w:r w:rsidRPr="004653E7">
              <w:rPr>
                <w:rFonts w:ascii="Arial" w:hAnsi="Arial" w:cs="Arial"/>
                <w:sz w:val="20"/>
                <w:szCs w:val="20"/>
                <w:lang w:eastAsia="en-AU"/>
              </w:rPr>
              <w:t xml:space="preserve">A coherent educational philosophy informs </w:t>
            </w:r>
            <w:r w:rsidRPr="002A0294">
              <w:rPr>
                <w:rFonts w:ascii="Arial" w:eastAsia="Cambria" w:hAnsi="Arial" w:cs="Arial"/>
                <w:sz w:val="20"/>
                <w:szCs w:val="20"/>
              </w:rPr>
              <w:t>unit/subject</w:t>
            </w:r>
            <w:r w:rsidRPr="004653E7" w:rsidDel="002A0294">
              <w:rPr>
                <w:rFonts w:ascii="Arial" w:hAnsi="Arial" w:cs="Arial"/>
                <w:sz w:val="20"/>
                <w:szCs w:val="20"/>
                <w:lang w:eastAsia="en-AU"/>
              </w:rPr>
              <w:t xml:space="preserve"> </w:t>
            </w:r>
            <w:r w:rsidRPr="004653E7">
              <w:rPr>
                <w:rFonts w:ascii="Arial" w:hAnsi="Arial" w:cs="Arial"/>
                <w:sz w:val="20"/>
                <w:szCs w:val="20"/>
                <w:lang w:eastAsia="en-AU"/>
              </w:rPr>
              <w:t>design and implementation.</w:t>
            </w:r>
          </w:p>
        </w:tc>
        <w:tc>
          <w:tcPr>
            <w:tcW w:w="5528" w:type="dxa"/>
            <w:tcBorders>
              <w:top w:val="single" w:sz="4" w:space="0" w:color="auto"/>
              <w:left w:val="nil"/>
              <w:bottom w:val="single" w:sz="4" w:space="0" w:color="auto"/>
              <w:right w:val="single" w:sz="4" w:space="0" w:color="auto"/>
            </w:tcBorders>
          </w:tcPr>
          <w:p w14:paraId="1CF94E8D" w14:textId="281E405F" w:rsidR="00653EA9" w:rsidRPr="004653E7" w:rsidRDefault="00653EA9" w:rsidP="006B223F">
            <w:pPr>
              <w:pStyle w:val="ListParagraph"/>
              <w:numPr>
                <w:ilvl w:val="0"/>
                <w:numId w:val="12"/>
              </w:numPr>
              <w:jc w:val="left"/>
              <w:rPr>
                <w:sz w:val="20"/>
                <w:szCs w:val="20"/>
              </w:rPr>
            </w:pPr>
            <w:r w:rsidRPr="004653E7">
              <w:rPr>
                <w:sz w:val="20"/>
                <w:szCs w:val="20"/>
              </w:rPr>
              <w:t xml:space="preserve">Statement of the overall educational philosophy which informs </w:t>
            </w:r>
            <w:r w:rsidRPr="002A0294">
              <w:rPr>
                <w:rFonts w:eastAsia="Cambria"/>
                <w:sz w:val="20"/>
                <w:szCs w:val="20"/>
              </w:rPr>
              <w:t>unit/subject</w:t>
            </w:r>
            <w:r w:rsidRPr="004653E7" w:rsidDel="002A0294">
              <w:rPr>
                <w:sz w:val="20"/>
                <w:szCs w:val="20"/>
              </w:rPr>
              <w:t xml:space="preserve"> </w:t>
            </w:r>
            <w:r w:rsidRPr="004653E7">
              <w:rPr>
                <w:sz w:val="20"/>
                <w:szCs w:val="20"/>
              </w:rPr>
              <w:t>design and implementation.</w:t>
            </w:r>
          </w:p>
        </w:tc>
      </w:tr>
      <w:tr w:rsidR="00484EAD" w:rsidRPr="004653E7" w14:paraId="00949246" w14:textId="77777777" w:rsidTr="00863470">
        <w:trPr>
          <w:trHeight w:val="416"/>
        </w:trPr>
        <w:tc>
          <w:tcPr>
            <w:tcW w:w="700" w:type="dxa"/>
            <w:tcBorders>
              <w:top w:val="single" w:sz="4" w:space="0" w:color="auto"/>
              <w:left w:val="single" w:sz="4" w:space="0" w:color="auto"/>
              <w:bottom w:val="single" w:sz="4" w:space="0" w:color="auto"/>
              <w:right w:val="single" w:sz="4" w:space="0" w:color="auto"/>
            </w:tcBorders>
            <w:shd w:val="clear" w:color="auto" w:fill="auto"/>
          </w:tcPr>
          <w:p w14:paraId="118FAF96" w14:textId="60F5C4B3" w:rsidR="00484EAD" w:rsidRPr="004653E7" w:rsidRDefault="00484EAD" w:rsidP="00624DC5">
            <w:pPr>
              <w:rPr>
                <w:rFonts w:ascii="Arial" w:hAnsi="Arial" w:cs="Arial"/>
                <w:sz w:val="20"/>
                <w:szCs w:val="20"/>
                <w:lang w:eastAsia="en-AU"/>
              </w:rPr>
            </w:pPr>
            <w:r w:rsidRPr="004653E7">
              <w:rPr>
                <w:rFonts w:ascii="Arial" w:hAnsi="Arial" w:cs="Arial"/>
                <w:sz w:val="20"/>
                <w:szCs w:val="20"/>
                <w:lang w:eastAsia="en-AU"/>
              </w:rPr>
              <w:t>3.</w:t>
            </w:r>
            <w:r w:rsidR="00653EA9">
              <w:rPr>
                <w:rFonts w:ascii="Arial" w:hAnsi="Arial" w:cs="Arial"/>
                <w:sz w:val="20"/>
                <w:szCs w:val="20"/>
                <w:lang w:eastAsia="en-AU"/>
              </w:rPr>
              <w:t>2</w:t>
            </w:r>
          </w:p>
        </w:tc>
        <w:tc>
          <w:tcPr>
            <w:tcW w:w="3411" w:type="dxa"/>
            <w:tcBorders>
              <w:top w:val="single" w:sz="4" w:space="0" w:color="auto"/>
              <w:left w:val="nil"/>
              <w:bottom w:val="single" w:sz="4" w:space="0" w:color="auto"/>
              <w:right w:val="single" w:sz="4" w:space="0" w:color="auto"/>
            </w:tcBorders>
            <w:shd w:val="clear" w:color="auto" w:fill="auto"/>
          </w:tcPr>
          <w:p w14:paraId="504FC1A4" w14:textId="43DA3D21" w:rsidR="00484EAD" w:rsidRPr="004653E7" w:rsidRDefault="00411057" w:rsidP="00624DC5">
            <w:pPr>
              <w:rPr>
                <w:rFonts w:ascii="Arial" w:hAnsi="Arial" w:cs="Arial"/>
                <w:sz w:val="20"/>
                <w:szCs w:val="20"/>
                <w:lang w:eastAsia="en-AU"/>
              </w:rPr>
            </w:pPr>
            <w:r>
              <w:rPr>
                <w:rFonts w:ascii="Arial" w:hAnsi="Arial" w:cs="Arial"/>
                <w:sz w:val="20"/>
                <w:szCs w:val="20"/>
                <w:lang w:eastAsia="en-AU"/>
              </w:rPr>
              <w:t>Culturally safe practice</w:t>
            </w:r>
            <w:r w:rsidR="00B41F35">
              <w:rPr>
                <w:rFonts w:ascii="Arial" w:hAnsi="Arial" w:cs="Arial"/>
                <w:sz w:val="20"/>
                <w:szCs w:val="20"/>
                <w:lang w:eastAsia="en-AU"/>
              </w:rPr>
              <w:t xml:space="preserve"> </w:t>
            </w:r>
            <w:r w:rsidR="00484EAD" w:rsidRPr="004653E7">
              <w:rPr>
                <w:rFonts w:ascii="Arial" w:hAnsi="Arial" w:cs="Arial"/>
                <w:sz w:val="20"/>
                <w:szCs w:val="20"/>
                <w:lang w:eastAsia="en-AU"/>
              </w:rPr>
              <w:t xml:space="preserve">is integrated in the design and implementation of </w:t>
            </w:r>
            <w:r w:rsidR="00FE225C">
              <w:rPr>
                <w:rFonts w:ascii="Arial" w:hAnsi="Arial" w:cs="Arial"/>
                <w:sz w:val="20"/>
                <w:szCs w:val="20"/>
                <w:lang w:eastAsia="en-AU"/>
              </w:rPr>
              <w:t>each</w:t>
            </w:r>
            <w:r w:rsidR="00FE225C" w:rsidRPr="004653E7">
              <w:rPr>
                <w:rFonts w:ascii="Arial" w:hAnsi="Arial" w:cs="Arial"/>
                <w:sz w:val="20"/>
                <w:szCs w:val="20"/>
                <w:lang w:eastAsia="en-AU"/>
              </w:rPr>
              <w:t xml:space="preserve"> </w:t>
            </w:r>
            <w:r w:rsidR="002A0294" w:rsidRPr="002A0294">
              <w:rPr>
                <w:rFonts w:ascii="Arial" w:eastAsia="Cambria" w:hAnsi="Arial" w:cs="Arial"/>
                <w:sz w:val="20"/>
                <w:szCs w:val="20"/>
              </w:rPr>
              <w:t>unit/subject</w:t>
            </w:r>
            <w:r w:rsidR="002A0294" w:rsidRPr="004653E7" w:rsidDel="002A0294">
              <w:rPr>
                <w:rFonts w:ascii="Arial" w:hAnsi="Arial" w:cs="Arial"/>
                <w:sz w:val="20"/>
                <w:szCs w:val="20"/>
                <w:lang w:eastAsia="en-AU"/>
              </w:rPr>
              <w:t xml:space="preserve"> </w:t>
            </w:r>
            <w:r w:rsidR="00484EAD" w:rsidRPr="004653E7">
              <w:rPr>
                <w:rFonts w:ascii="Arial" w:hAnsi="Arial" w:cs="Arial"/>
                <w:sz w:val="20"/>
                <w:szCs w:val="20"/>
                <w:lang w:eastAsia="en-AU"/>
              </w:rPr>
              <w:t>and is articulated in learning outcomes, with an emphasis on Aboriginal and Torres Strait Islander cultures and cultural safety in the Australian healthcare setting.</w:t>
            </w:r>
          </w:p>
        </w:tc>
        <w:tc>
          <w:tcPr>
            <w:tcW w:w="5528" w:type="dxa"/>
            <w:tcBorders>
              <w:top w:val="single" w:sz="4" w:space="0" w:color="auto"/>
              <w:left w:val="nil"/>
              <w:bottom w:val="single" w:sz="4" w:space="0" w:color="auto"/>
              <w:right w:val="single" w:sz="4" w:space="0" w:color="auto"/>
            </w:tcBorders>
          </w:tcPr>
          <w:p w14:paraId="1EC49A9B" w14:textId="0DDF5040" w:rsidR="00484EAD" w:rsidRPr="004653E7" w:rsidRDefault="00D45846" w:rsidP="006B223F">
            <w:pPr>
              <w:pStyle w:val="ListParagraph"/>
              <w:numPr>
                <w:ilvl w:val="0"/>
                <w:numId w:val="25"/>
              </w:numPr>
              <w:jc w:val="left"/>
              <w:rPr>
                <w:rFonts w:eastAsia="MS Mincho"/>
                <w:sz w:val="20"/>
                <w:szCs w:val="20"/>
              </w:rPr>
            </w:pPr>
            <w:r w:rsidRPr="004653E7">
              <w:rPr>
                <w:sz w:val="20"/>
                <w:szCs w:val="20"/>
              </w:rPr>
              <w:t>E</w:t>
            </w:r>
            <w:r w:rsidR="00484EAD" w:rsidRPr="004653E7">
              <w:rPr>
                <w:sz w:val="20"/>
                <w:szCs w:val="20"/>
              </w:rPr>
              <w:t xml:space="preserve">xplanation of how </w:t>
            </w:r>
            <w:r w:rsidR="00411057">
              <w:rPr>
                <w:sz w:val="20"/>
                <w:szCs w:val="20"/>
              </w:rPr>
              <w:t>culturally safe practice</w:t>
            </w:r>
            <w:r w:rsidR="00653EA9">
              <w:rPr>
                <w:sz w:val="20"/>
                <w:szCs w:val="20"/>
              </w:rPr>
              <w:t xml:space="preserve"> </w:t>
            </w:r>
            <w:r w:rsidR="00484EAD" w:rsidRPr="004653E7">
              <w:rPr>
                <w:sz w:val="20"/>
                <w:szCs w:val="20"/>
              </w:rPr>
              <w:t xml:space="preserve">is integrated in the design and implementation of </w:t>
            </w:r>
            <w:r w:rsidR="00FE225C">
              <w:rPr>
                <w:sz w:val="20"/>
                <w:szCs w:val="20"/>
              </w:rPr>
              <w:t>each</w:t>
            </w:r>
            <w:r w:rsidR="00FE225C" w:rsidRPr="004653E7">
              <w:rPr>
                <w:sz w:val="20"/>
                <w:szCs w:val="20"/>
              </w:rPr>
              <w:t xml:space="preserve"> </w:t>
            </w:r>
            <w:r w:rsidR="002A0294" w:rsidRPr="002A0294">
              <w:rPr>
                <w:rFonts w:eastAsia="Cambria"/>
                <w:sz w:val="20"/>
                <w:szCs w:val="20"/>
              </w:rPr>
              <w:t>unit/subject</w:t>
            </w:r>
            <w:r w:rsidR="00484EAD" w:rsidRPr="004653E7">
              <w:rPr>
                <w:sz w:val="20"/>
                <w:szCs w:val="20"/>
              </w:rPr>
              <w:t>.</w:t>
            </w:r>
          </w:p>
          <w:p w14:paraId="52CEBBBE" w14:textId="4B1662D1" w:rsidR="00484EAD" w:rsidRDefault="00484EAD" w:rsidP="006B223F">
            <w:pPr>
              <w:pStyle w:val="ListParagraph"/>
              <w:numPr>
                <w:ilvl w:val="0"/>
                <w:numId w:val="25"/>
              </w:numPr>
              <w:jc w:val="left"/>
              <w:rPr>
                <w:sz w:val="20"/>
                <w:szCs w:val="20"/>
              </w:rPr>
            </w:pPr>
            <w:r w:rsidRPr="004653E7">
              <w:rPr>
                <w:sz w:val="20"/>
                <w:szCs w:val="20"/>
              </w:rPr>
              <w:t>Details of learning outcomes that articulate</w:t>
            </w:r>
            <w:r w:rsidR="00941902" w:rsidRPr="004653E7">
              <w:rPr>
                <w:sz w:val="20"/>
                <w:szCs w:val="20"/>
              </w:rPr>
              <w:t xml:space="preserve"> how</w:t>
            </w:r>
            <w:r w:rsidRPr="004653E7">
              <w:rPr>
                <w:sz w:val="20"/>
                <w:szCs w:val="20"/>
              </w:rPr>
              <w:t xml:space="preserve"> </w:t>
            </w:r>
            <w:r w:rsidR="00411057">
              <w:rPr>
                <w:sz w:val="20"/>
                <w:szCs w:val="20"/>
              </w:rPr>
              <w:t>culturally safe practice</w:t>
            </w:r>
            <w:r w:rsidR="00653EA9">
              <w:rPr>
                <w:sz w:val="20"/>
                <w:szCs w:val="20"/>
              </w:rPr>
              <w:t xml:space="preserve"> </w:t>
            </w:r>
            <w:r w:rsidR="000D1D8D" w:rsidRPr="004653E7">
              <w:rPr>
                <w:sz w:val="20"/>
                <w:szCs w:val="20"/>
              </w:rPr>
              <w:t xml:space="preserve">is integrated in </w:t>
            </w:r>
            <w:r w:rsidR="00FE225C">
              <w:rPr>
                <w:sz w:val="20"/>
                <w:szCs w:val="20"/>
              </w:rPr>
              <w:t>each</w:t>
            </w:r>
            <w:r w:rsidR="00FE225C" w:rsidRPr="004653E7">
              <w:rPr>
                <w:sz w:val="20"/>
                <w:szCs w:val="20"/>
              </w:rPr>
              <w:t xml:space="preserve"> </w:t>
            </w:r>
            <w:r w:rsidR="002A0294" w:rsidRPr="002A0294">
              <w:rPr>
                <w:rFonts w:eastAsia="Cambria"/>
                <w:sz w:val="20"/>
                <w:szCs w:val="20"/>
              </w:rPr>
              <w:t>unit/subject</w:t>
            </w:r>
            <w:r w:rsidR="000D1D8D" w:rsidRPr="004653E7">
              <w:rPr>
                <w:sz w:val="20"/>
                <w:szCs w:val="20"/>
              </w:rPr>
              <w:t xml:space="preserve">, </w:t>
            </w:r>
            <w:r w:rsidRPr="004653E7">
              <w:rPr>
                <w:sz w:val="20"/>
                <w:szCs w:val="20"/>
              </w:rPr>
              <w:t>with emphasis on Aboriginal and Torres Strait Islander cultures and cultural safety in the Australian healthcare setting</w:t>
            </w:r>
            <w:r w:rsidR="000D1D8D" w:rsidRPr="004653E7">
              <w:rPr>
                <w:sz w:val="20"/>
                <w:szCs w:val="20"/>
              </w:rPr>
              <w:t>.</w:t>
            </w:r>
            <w:r w:rsidR="006D15D4">
              <w:rPr>
                <w:sz w:val="20"/>
                <w:szCs w:val="20"/>
              </w:rPr>
              <w:t xml:space="preserve"> </w:t>
            </w:r>
          </w:p>
          <w:p w14:paraId="776BE09B" w14:textId="6B55BA08" w:rsidR="006D15D4" w:rsidRPr="006D15D4" w:rsidRDefault="006D15D4" w:rsidP="006D15D4">
            <w:pPr>
              <w:pStyle w:val="ListParagraph"/>
              <w:ind w:left="360"/>
              <w:jc w:val="left"/>
              <w:rPr>
                <w:sz w:val="20"/>
                <w:szCs w:val="20"/>
              </w:rPr>
            </w:pPr>
          </w:p>
        </w:tc>
      </w:tr>
      <w:tr w:rsidR="00484EAD" w:rsidRPr="004653E7" w14:paraId="293F54C8" w14:textId="77777777" w:rsidTr="00863470">
        <w:trPr>
          <w:trHeight w:val="416"/>
        </w:trPr>
        <w:tc>
          <w:tcPr>
            <w:tcW w:w="700" w:type="dxa"/>
            <w:tcBorders>
              <w:top w:val="single" w:sz="4" w:space="0" w:color="auto"/>
              <w:left w:val="single" w:sz="4" w:space="0" w:color="auto"/>
              <w:bottom w:val="single" w:sz="4" w:space="0" w:color="auto"/>
              <w:right w:val="single" w:sz="4" w:space="0" w:color="auto"/>
            </w:tcBorders>
            <w:shd w:val="clear" w:color="auto" w:fill="auto"/>
          </w:tcPr>
          <w:p w14:paraId="2336954A" w14:textId="77777777" w:rsidR="00484EAD" w:rsidRPr="004653E7" w:rsidRDefault="00484EAD" w:rsidP="00316469">
            <w:pPr>
              <w:rPr>
                <w:rFonts w:ascii="Arial" w:hAnsi="Arial" w:cs="Arial"/>
                <w:sz w:val="20"/>
                <w:szCs w:val="20"/>
                <w:lang w:eastAsia="en-AU"/>
              </w:rPr>
            </w:pPr>
            <w:r w:rsidRPr="004653E7">
              <w:rPr>
                <w:rFonts w:ascii="Arial" w:hAnsi="Arial" w:cs="Arial"/>
                <w:sz w:val="20"/>
                <w:szCs w:val="20"/>
                <w:lang w:eastAsia="en-AU"/>
              </w:rPr>
              <w:t>3.3</w:t>
            </w:r>
          </w:p>
        </w:tc>
        <w:tc>
          <w:tcPr>
            <w:tcW w:w="3411" w:type="dxa"/>
            <w:tcBorders>
              <w:top w:val="single" w:sz="4" w:space="0" w:color="auto"/>
              <w:left w:val="nil"/>
              <w:bottom w:val="single" w:sz="4" w:space="0" w:color="auto"/>
              <w:right w:val="single" w:sz="4" w:space="0" w:color="auto"/>
            </w:tcBorders>
            <w:shd w:val="clear" w:color="auto" w:fill="auto"/>
          </w:tcPr>
          <w:p w14:paraId="000A0FDA" w14:textId="15CCA8DD" w:rsidR="00484EAD" w:rsidRPr="004653E7" w:rsidRDefault="00484EAD" w:rsidP="00316469">
            <w:pPr>
              <w:rPr>
                <w:rFonts w:ascii="Arial" w:hAnsi="Arial" w:cs="Arial"/>
                <w:sz w:val="20"/>
                <w:szCs w:val="20"/>
              </w:rPr>
            </w:pPr>
            <w:r w:rsidRPr="004653E7">
              <w:rPr>
                <w:rFonts w:ascii="Arial" w:hAnsi="Arial" w:cs="Arial"/>
                <w:sz w:val="20"/>
                <w:szCs w:val="20"/>
                <w:lang w:eastAsia="en-AU"/>
              </w:rPr>
              <w:t xml:space="preserve">Unit/subject learning outcomes address the </w:t>
            </w:r>
            <w:r w:rsidR="005E566E">
              <w:rPr>
                <w:rFonts w:ascii="Arial" w:hAnsi="Arial" w:cs="Arial"/>
                <w:sz w:val="20"/>
                <w:szCs w:val="20"/>
                <w:lang w:eastAsia="en-AU"/>
              </w:rPr>
              <w:t xml:space="preserve">relevant </w:t>
            </w:r>
            <w:r w:rsidRPr="004653E7">
              <w:rPr>
                <w:rFonts w:ascii="Arial" w:hAnsi="Arial" w:cs="Arial"/>
                <w:sz w:val="20"/>
                <w:szCs w:val="20"/>
              </w:rPr>
              <w:t xml:space="preserve">professional capabilities </w:t>
            </w:r>
            <w:r w:rsidR="00371415">
              <w:rPr>
                <w:rFonts w:ascii="Arial" w:hAnsi="Arial" w:cs="Arial"/>
                <w:sz w:val="20"/>
                <w:szCs w:val="20"/>
              </w:rPr>
              <w:t>for podiatrists</w:t>
            </w:r>
            <w:r w:rsidR="007106DE">
              <w:rPr>
                <w:rFonts w:ascii="Arial" w:hAnsi="Arial" w:cs="Arial"/>
                <w:sz w:val="20"/>
                <w:szCs w:val="20"/>
              </w:rPr>
              <w:t xml:space="preserve"> and podiatric surgeons required for endorsement of registration through Pathway </w:t>
            </w:r>
            <w:r w:rsidR="00EC2CC3">
              <w:rPr>
                <w:rFonts w:ascii="Arial" w:hAnsi="Arial" w:cs="Arial"/>
                <w:sz w:val="20"/>
                <w:szCs w:val="20"/>
              </w:rPr>
              <w:t>A</w:t>
            </w:r>
            <w:r w:rsidR="007106DE">
              <w:rPr>
                <w:rFonts w:ascii="Arial" w:hAnsi="Arial" w:cs="Arial"/>
                <w:sz w:val="20"/>
                <w:szCs w:val="20"/>
              </w:rPr>
              <w:t xml:space="preserve">. </w:t>
            </w:r>
          </w:p>
        </w:tc>
        <w:tc>
          <w:tcPr>
            <w:tcW w:w="5528" w:type="dxa"/>
            <w:tcBorders>
              <w:top w:val="single" w:sz="4" w:space="0" w:color="auto"/>
              <w:left w:val="nil"/>
              <w:bottom w:val="single" w:sz="4" w:space="0" w:color="auto"/>
              <w:right w:val="single" w:sz="4" w:space="0" w:color="auto"/>
            </w:tcBorders>
          </w:tcPr>
          <w:p w14:paraId="1D0EDB1D" w14:textId="28C98B6D" w:rsidR="00484EAD" w:rsidRPr="004653E7" w:rsidRDefault="00484EAD" w:rsidP="006B223F">
            <w:pPr>
              <w:pStyle w:val="ListParagraph"/>
              <w:numPr>
                <w:ilvl w:val="0"/>
                <w:numId w:val="19"/>
              </w:numPr>
              <w:jc w:val="left"/>
              <w:rPr>
                <w:sz w:val="20"/>
                <w:szCs w:val="20"/>
              </w:rPr>
            </w:pPr>
            <w:r w:rsidRPr="004653E7">
              <w:rPr>
                <w:sz w:val="20"/>
                <w:szCs w:val="20"/>
              </w:rPr>
              <w:t xml:space="preserve">Curriculum map </w:t>
            </w:r>
            <w:r w:rsidR="008064DD">
              <w:rPr>
                <w:sz w:val="20"/>
                <w:szCs w:val="20"/>
              </w:rPr>
              <w:t>that shows</w:t>
            </w:r>
            <w:r w:rsidR="00F65CC4">
              <w:rPr>
                <w:sz w:val="20"/>
                <w:szCs w:val="20"/>
              </w:rPr>
              <w:t xml:space="preserve"> alignment and mapping </w:t>
            </w:r>
            <w:r w:rsidR="00EA3A76">
              <w:rPr>
                <w:sz w:val="20"/>
                <w:szCs w:val="20"/>
              </w:rPr>
              <w:t xml:space="preserve">of </w:t>
            </w:r>
            <w:r w:rsidR="00EA3A76" w:rsidRPr="004653E7">
              <w:rPr>
                <w:sz w:val="20"/>
                <w:szCs w:val="20"/>
              </w:rPr>
              <w:t>unit</w:t>
            </w:r>
            <w:r w:rsidRPr="004653E7">
              <w:rPr>
                <w:sz w:val="20"/>
                <w:szCs w:val="20"/>
              </w:rPr>
              <w:t>/subject learning outcomes to all the professional capabilities</w:t>
            </w:r>
            <w:r w:rsidR="008D0EB1" w:rsidRPr="004653E7">
              <w:rPr>
                <w:sz w:val="20"/>
                <w:szCs w:val="20"/>
              </w:rPr>
              <w:t>.</w:t>
            </w:r>
            <w:r w:rsidRPr="004653E7">
              <w:rPr>
                <w:sz w:val="20"/>
                <w:szCs w:val="20"/>
              </w:rPr>
              <w:t xml:space="preserve"> </w:t>
            </w:r>
          </w:p>
          <w:p w14:paraId="5DF8B4DC" w14:textId="287C5D9E" w:rsidR="00484EAD" w:rsidRPr="004653E7" w:rsidRDefault="00484EAD" w:rsidP="006B223F">
            <w:pPr>
              <w:pStyle w:val="ListParagraph"/>
              <w:numPr>
                <w:ilvl w:val="0"/>
                <w:numId w:val="12"/>
              </w:numPr>
              <w:jc w:val="left"/>
              <w:rPr>
                <w:sz w:val="20"/>
                <w:szCs w:val="20"/>
              </w:rPr>
            </w:pPr>
            <w:r w:rsidRPr="004653E7">
              <w:rPr>
                <w:sz w:val="20"/>
                <w:szCs w:val="20"/>
              </w:rPr>
              <w:t>Detailed profiles/outlines for each unit/subject.</w:t>
            </w:r>
          </w:p>
        </w:tc>
      </w:tr>
      <w:tr w:rsidR="00484EAD" w:rsidRPr="004653E7" w14:paraId="558FD288" w14:textId="77777777" w:rsidTr="00863470">
        <w:trPr>
          <w:trHeight w:val="416"/>
        </w:trPr>
        <w:tc>
          <w:tcPr>
            <w:tcW w:w="700" w:type="dxa"/>
            <w:tcBorders>
              <w:top w:val="single" w:sz="4" w:space="0" w:color="auto"/>
              <w:left w:val="single" w:sz="4" w:space="0" w:color="auto"/>
              <w:bottom w:val="single" w:sz="4" w:space="0" w:color="auto"/>
              <w:right w:val="single" w:sz="4" w:space="0" w:color="auto"/>
            </w:tcBorders>
            <w:shd w:val="clear" w:color="auto" w:fill="auto"/>
          </w:tcPr>
          <w:p w14:paraId="7DA455F8" w14:textId="0E2718CC" w:rsidR="00484EAD" w:rsidRPr="007F1839" w:rsidRDefault="000E751F" w:rsidP="00316469">
            <w:pPr>
              <w:rPr>
                <w:rFonts w:ascii="Arial" w:hAnsi="Arial" w:cs="Arial"/>
                <w:sz w:val="20"/>
                <w:szCs w:val="20"/>
                <w:lang w:eastAsia="en-AU"/>
              </w:rPr>
            </w:pPr>
            <w:r w:rsidRPr="007F1839">
              <w:rPr>
                <w:rFonts w:ascii="Arial" w:hAnsi="Arial" w:cs="Arial"/>
                <w:sz w:val="20"/>
                <w:szCs w:val="20"/>
                <w:lang w:eastAsia="en-AU"/>
              </w:rPr>
              <w:t>3.4</w:t>
            </w:r>
          </w:p>
        </w:tc>
        <w:tc>
          <w:tcPr>
            <w:tcW w:w="3411" w:type="dxa"/>
            <w:tcBorders>
              <w:top w:val="single" w:sz="4" w:space="0" w:color="auto"/>
              <w:left w:val="nil"/>
              <w:bottom w:val="single" w:sz="4" w:space="0" w:color="auto"/>
              <w:right w:val="single" w:sz="4" w:space="0" w:color="auto"/>
            </w:tcBorders>
            <w:shd w:val="clear" w:color="auto" w:fill="auto"/>
          </w:tcPr>
          <w:p w14:paraId="2482F8B7" w14:textId="34D9D547" w:rsidR="00484EAD" w:rsidRPr="007F1839" w:rsidRDefault="00484EAD" w:rsidP="00316469">
            <w:pPr>
              <w:rPr>
                <w:rFonts w:ascii="Arial" w:hAnsi="Arial" w:cs="Arial"/>
                <w:sz w:val="20"/>
                <w:szCs w:val="20"/>
                <w:lang w:eastAsia="en-AU"/>
              </w:rPr>
            </w:pPr>
            <w:r w:rsidRPr="007F1839">
              <w:rPr>
                <w:rFonts w:ascii="Arial" w:hAnsi="Arial" w:cs="Arial"/>
                <w:sz w:val="20"/>
                <w:szCs w:val="20"/>
                <w:lang w:eastAsia="en-AU"/>
              </w:rPr>
              <w:t xml:space="preserve">The </w:t>
            </w:r>
            <w:r w:rsidR="005E1932" w:rsidRPr="007F1839">
              <w:rPr>
                <w:rFonts w:ascii="Arial" w:hAnsi="Arial" w:cs="Arial"/>
                <w:sz w:val="20"/>
                <w:szCs w:val="20"/>
                <w:lang w:eastAsia="en-AU"/>
              </w:rPr>
              <w:t xml:space="preserve">sequencing of </w:t>
            </w:r>
            <w:r w:rsidR="00D17B66" w:rsidRPr="007F1839">
              <w:rPr>
                <w:rFonts w:ascii="Arial" w:hAnsi="Arial" w:cs="Arial"/>
                <w:sz w:val="20"/>
                <w:szCs w:val="20"/>
                <w:lang w:eastAsia="en-AU"/>
              </w:rPr>
              <w:t>unit</w:t>
            </w:r>
            <w:r w:rsidR="005E1932" w:rsidRPr="007F1839">
              <w:rPr>
                <w:rFonts w:ascii="Arial" w:hAnsi="Arial" w:cs="Arial"/>
                <w:sz w:val="20"/>
                <w:szCs w:val="20"/>
                <w:lang w:eastAsia="en-AU"/>
              </w:rPr>
              <w:t>s</w:t>
            </w:r>
            <w:r w:rsidR="00D17B66" w:rsidRPr="007F1839">
              <w:rPr>
                <w:rFonts w:ascii="Arial" w:hAnsi="Arial" w:cs="Arial"/>
                <w:sz w:val="20"/>
                <w:szCs w:val="20"/>
                <w:lang w:eastAsia="en-AU"/>
              </w:rPr>
              <w:t>/subject</w:t>
            </w:r>
            <w:r w:rsidR="005E1932" w:rsidRPr="007F1839">
              <w:rPr>
                <w:rFonts w:ascii="Arial" w:hAnsi="Arial" w:cs="Arial"/>
                <w:sz w:val="20"/>
                <w:szCs w:val="20"/>
                <w:lang w:eastAsia="en-AU"/>
              </w:rPr>
              <w:t>s</w:t>
            </w:r>
            <w:r w:rsidR="00D17B66" w:rsidRPr="007F1839">
              <w:rPr>
                <w:rFonts w:ascii="Arial" w:hAnsi="Arial" w:cs="Arial"/>
                <w:sz w:val="20"/>
                <w:szCs w:val="20"/>
                <w:lang w:eastAsia="en-AU"/>
              </w:rPr>
              <w:t xml:space="preserve"> </w:t>
            </w:r>
            <w:r w:rsidRPr="007F1839">
              <w:rPr>
                <w:rFonts w:ascii="Arial" w:hAnsi="Arial" w:cs="Arial"/>
                <w:sz w:val="20"/>
                <w:szCs w:val="20"/>
                <w:lang w:eastAsia="en-AU"/>
              </w:rPr>
              <w:t>includes vertical and horizontal integration of theoretical concepts and practical application including work-integrated learning experiences.</w:t>
            </w:r>
          </w:p>
        </w:tc>
        <w:tc>
          <w:tcPr>
            <w:tcW w:w="5528" w:type="dxa"/>
            <w:tcBorders>
              <w:top w:val="single" w:sz="4" w:space="0" w:color="auto"/>
              <w:left w:val="nil"/>
              <w:bottom w:val="single" w:sz="4" w:space="0" w:color="auto"/>
              <w:right w:val="single" w:sz="4" w:space="0" w:color="auto"/>
            </w:tcBorders>
          </w:tcPr>
          <w:p w14:paraId="4F8C546E" w14:textId="2CAA95C8" w:rsidR="00484EAD" w:rsidRPr="007F1839" w:rsidRDefault="00D45846" w:rsidP="006E5A72">
            <w:pPr>
              <w:pStyle w:val="ListParagraph"/>
              <w:numPr>
                <w:ilvl w:val="0"/>
                <w:numId w:val="13"/>
              </w:numPr>
              <w:jc w:val="left"/>
              <w:rPr>
                <w:sz w:val="20"/>
                <w:szCs w:val="20"/>
              </w:rPr>
            </w:pPr>
            <w:r w:rsidRPr="007F1839">
              <w:rPr>
                <w:sz w:val="20"/>
                <w:szCs w:val="20"/>
              </w:rPr>
              <w:t>O</w:t>
            </w:r>
            <w:r w:rsidR="00484EAD" w:rsidRPr="007F1839">
              <w:rPr>
                <w:sz w:val="20"/>
                <w:szCs w:val="20"/>
              </w:rPr>
              <w:t xml:space="preserve">verview of the </w:t>
            </w:r>
            <w:r w:rsidR="002242F4" w:rsidRPr="007F1839">
              <w:rPr>
                <w:sz w:val="20"/>
                <w:szCs w:val="20"/>
              </w:rPr>
              <w:t xml:space="preserve">sequence of education </w:t>
            </w:r>
            <w:r w:rsidR="00484EAD" w:rsidRPr="007F1839">
              <w:rPr>
                <w:sz w:val="20"/>
                <w:szCs w:val="20"/>
              </w:rPr>
              <w:t xml:space="preserve">identifying relationships between </w:t>
            </w:r>
            <w:r w:rsidR="008807AD" w:rsidRPr="007F1839">
              <w:rPr>
                <w:sz w:val="20"/>
                <w:szCs w:val="20"/>
              </w:rPr>
              <w:t>units/</w:t>
            </w:r>
            <w:r w:rsidR="00484EAD" w:rsidRPr="007F1839">
              <w:rPr>
                <w:sz w:val="20"/>
                <w:szCs w:val="20"/>
              </w:rPr>
              <w:t>subjects.</w:t>
            </w:r>
          </w:p>
        </w:tc>
      </w:tr>
      <w:tr w:rsidR="00484EAD" w:rsidRPr="004653E7" w14:paraId="3094FF58" w14:textId="77777777" w:rsidTr="00863470">
        <w:trPr>
          <w:trHeight w:val="416"/>
        </w:trPr>
        <w:tc>
          <w:tcPr>
            <w:tcW w:w="700" w:type="dxa"/>
            <w:tcBorders>
              <w:top w:val="single" w:sz="4" w:space="0" w:color="auto"/>
              <w:left w:val="single" w:sz="4" w:space="0" w:color="auto"/>
              <w:bottom w:val="single" w:sz="4" w:space="0" w:color="auto"/>
              <w:right w:val="single" w:sz="4" w:space="0" w:color="auto"/>
            </w:tcBorders>
            <w:shd w:val="clear" w:color="auto" w:fill="auto"/>
          </w:tcPr>
          <w:p w14:paraId="098C8BB1" w14:textId="77777777" w:rsidR="00484EAD" w:rsidRPr="004653E7" w:rsidRDefault="00484EAD" w:rsidP="00316469">
            <w:pPr>
              <w:rPr>
                <w:rFonts w:ascii="Arial" w:hAnsi="Arial" w:cs="Arial"/>
                <w:sz w:val="20"/>
                <w:szCs w:val="20"/>
                <w:lang w:eastAsia="en-AU"/>
              </w:rPr>
            </w:pPr>
            <w:r w:rsidRPr="004653E7">
              <w:rPr>
                <w:rFonts w:ascii="Arial" w:hAnsi="Arial" w:cs="Arial"/>
                <w:sz w:val="20"/>
                <w:szCs w:val="20"/>
                <w:lang w:eastAsia="en-AU"/>
              </w:rPr>
              <w:t>3.5</w:t>
            </w:r>
          </w:p>
        </w:tc>
        <w:tc>
          <w:tcPr>
            <w:tcW w:w="3411" w:type="dxa"/>
            <w:tcBorders>
              <w:top w:val="single" w:sz="4" w:space="0" w:color="auto"/>
              <w:left w:val="nil"/>
              <w:bottom w:val="single" w:sz="4" w:space="0" w:color="auto"/>
              <w:right w:val="single" w:sz="4" w:space="0" w:color="auto"/>
            </w:tcBorders>
            <w:shd w:val="clear" w:color="auto" w:fill="auto"/>
          </w:tcPr>
          <w:p w14:paraId="6FD7C86F" w14:textId="2FEEA200" w:rsidR="00484EAD" w:rsidRPr="004653E7" w:rsidRDefault="000D1D8D" w:rsidP="00316469">
            <w:pPr>
              <w:rPr>
                <w:rFonts w:ascii="Arial" w:hAnsi="Arial" w:cs="Arial"/>
                <w:sz w:val="20"/>
                <w:szCs w:val="20"/>
                <w:lang w:eastAsia="en-AU"/>
              </w:rPr>
            </w:pPr>
            <w:r w:rsidRPr="004653E7">
              <w:rPr>
                <w:rFonts w:ascii="Arial" w:hAnsi="Arial" w:cs="Arial"/>
                <w:sz w:val="20"/>
                <w:szCs w:val="20"/>
              </w:rPr>
              <w:t xml:space="preserve">Unit/subject learning outcomes address </w:t>
            </w:r>
            <w:r w:rsidRPr="004653E7">
              <w:rPr>
                <w:rFonts w:ascii="Arial" w:hAnsi="Arial" w:cs="Arial"/>
                <w:sz w:val="20"/>
                <w:szCs w:val="20"/>
                <w:lang w:eastAsia="en-AU"/>
              </w:rPr>
              <w:t>c</w:t>
            </w:r>
            <w:r w:rsidR="00484EAD" w:rsidRPr="004653E7">
              <w:rPr>
                <w:rFonts w:ascii="Arial" w:hAnsi="Arial" w:cs="Arial"/>
                <w:sz w:val="20"/>
                <w:szCs w:val="20"/>
                <w:lang w:eastAsia="en-AU"/>
              </w:rPr>
              <w:t>ontemporary principles of interprofessional education</w:t>
            </w:r>
            <w:r w:rsidR="00CC5A3E">
              <w:rPr>
                <w:rFonts w:ascii="Arial" w:hAnsi="Arial" w:cs="Arial"/>
                <w:sz w:val="20"/>
                <w:szCs w:val="20"/>
                <w:lang w:eastAsia="en-AU"/>
              </w:rPr>
              <w:t>, collaborative practice</w:t>
            </w:r>
            <w:r w:rsidR="00484EAD" w:rsidRPr="004653E7">
              <w:rPr>
                <w:rFonts w:ascii="Arial" w:hAnsi="Arial" w:cs="Arial"/>
                <w:sz w:val="20"/>
                <w:szCs w:val="20"/>
                <w:lang w:eastAsia="en-AU"/>
              </w:rPr>
              <w:t xml:space="preserve"> and reflective practice</w:t>
            </w:r>
            <w:r w:rsidR="00766D50" w:rsidRPr="004653E7">
              <w:rPr>
                <w:rFonts w:ascii="Arial" w:hAnsi="Arial" w:cs="Arial"/>
                <w:sz w:val="20"/>
                <w:szCs w:val="20"/>
                <w:lang w:eastAsia="en-AU"/>
              </w:rPr>
              <w:t>.</w:t>
            </w:r>
          </w:p>
        </w:tc>
        <w:tc>
          <w:tcPr>
            <w:tcW w:w="5528" w:type="dxa"/>
            <w:tcBorders>
              <w:top w:val="single" w:sz="4" w:space="0" w:color="auto"/>
              <w:left w:val="nil"/>
              <w:bottom w:val="single" w:sz="4" w:space="0" w:color="auto"/>
              <w:right w:val="single" w:sz="4" w:space="0" w:color="auto"/>
            </w:tcBorders>
          </w:tcPr>
          <w:p w14:paraId="443140F0" w14:textId="3A36C0C3" w:rsidR="00484EAD" w:rsidRPr="004653E7" w:rsidRDefault="006C5B3C" w:rsidP="006B223F">
            <w:pPr>
              <w:pStyle w:val="ListParagraph"/>
              <w:numPr>
                <w:ilvl w:val="0"/>
                <w:numId w:val="12"/>
              </w:numPr>
              <w:jc w:val="left"/>
              <w:rPr>
                <w:sz w:val="20"/>
                <w:szCs w:val="20"/>
              </w:rPr>
            </w:pPr>
            <w:r>
              <w:rPr>
                <w:sz w:val="20"/>
                <w:szCs w:val="20"/>
              </w:rPr>
              <w:t>U</w:t>
            </w:r>
            <w:r w:rsidR="00941902" w:rsidRPr="004653E7">
              <w:rPr>
                <w:sz w:val="20"/>
                <w:szCs w:val="20"/>
              </w:rPr>
              <w:t>nit</w:t>
            </w:r>
            <w:r w:rsidR="008B534F" w:rsidRPr="004653E7">
              <w:rPr>
                <w:sz w:val="20"/>
                <w:szCs w:val="20"/>
              </w:rPr>
              <w:t>/subject</w:t>
            </w:r>
            <w:r w:rsidR="00941902" w:rsidRPr="004653E7">
              <w:rPr>
                <w:sz w:val="20"/>
                <w:szCs w:val="20"/>
              </w:rPr>
              <w:t xml:space="preserve"> profiles/outlines </w:t>
            </w:r>
            <w:r w:rsidR="00766D50" w:rsidRPr="004653E7">
              <w:rPr>
                <w:sz w:val="20"/>
                <w:szCs w:val="20"/>
              </w:rPr>
              <w:t xml:space="preserve">that </w:t>
            </w:r>
            <w:r w:rsidR="00941902" w:rsidRPr="004653E7">
              <w:rPr>
                <w:sz w:val="20"/>
                <w:szCs w:val="20"/>
              </w:rPr>
              <w:t xml:space="preserve">show </w:t>
            </w:r>
            <w:r w:rsidR="00484EAD" w:rsidRPr="004653E7">
              <w:rPr>
                <w:sz w:val="20"/>
                <w:szCs w:val="20"/>
              </w:rPr>
              <w:t xml:space="preserve">where </w:t>
            </w:r>
            <w:r w:rsidR="00CC5A3E">
              <w:rPr>
                <w:sz w:val="20"/>
                <w:szCs w:val="20"/>
              </w:rPr>
              <w:t xml:space="preserve">the principles of </w:t>
            </w:r>
            <w:r w:rsidR="00484EAD" w:rsidRPr="004653E7">
              <w:rPr>
                <w:sz w:val="20"/>
                <w:szCs w:val="20"/>
              </w:rPr>
              <w:t>interprofessional education</w:t>
            </w:r>
            <w:r w:rsidR="00CC5A3E">
              <w:rPr>
                <w:sz w:val="20"/>
                <w:szCs w:val="20"/>
              </w:rPr>
              <w:t>, collaborative practice</w:t>
            </w:r>
            <w:r w:rsidR="00484EAD" w:rsidRPr="004653E7">
              <w:rPr>
                <w:sz w:val="20"/>
                <w:szCs w:val="20"/>
              </w:rPr>
              <w:t xml:space="preserve"> and reflective practice are </w:t>
            </w:r>
            <w:r w:rsidR="00D44198">
              <w:rPr>
                <w:sz w:val="20"/>
                <w:szCs w:val="20"/>
              </w:rPr>
              <w:t>included</w:t>
            </w:r>
            <w:r w:rsidR="005A4271">
              <w:rPr>
                <w:sz w:val="20"/>
                <w:szCs w:val="20"/>
              </w:rPr>
              <w:t xml:space="preserve"> and reflected in student learning outcomes</w:t>
            </w:r>
            <w:r w:rsidR="00766D50" w:rsidRPr="004653E7">
              <w:rPr>
                <w:sz w:val="20"/>
                <w:szCs w:val="20"/>
              </w:rPr>
              <w:t>.</w:t>
            </w:r>
          </w:p>
        </w:tc>
      </w:tr>
      <w:tr w:rsidR="00484EAD" w:rsidRPr="004653E7" w14:paraId="6B5A2E90" w14:textId="77777777" w:rsidTr="00863470">
        <w:trPr>
          <w:trHeight w:val="416"/>
        </w:trPr>
        <w:tc>
          <w:tcPr>
            <w:tcW w:w="700" w:type="dxa"/>
            <w:tcBorders>
              <w:top w:val="single" w:sz="4" w:space="0" w:color="auto"/>
              <w:left w:val="single" w:sz="4" w:space="0" w:color="auto"/>
              <w:bottom w:val="single" w:sz="4" w:space="0" w:color="auto"/>
              <w:right w:val="single" w:sz="4" w:space="0" w:color="auto"/>
            </w:tcBorders>
            <w:shd w:val="clear" w:color="auto" w:fill="auto"/>
          </w:tcPr>
          <w:p w14:paraId="5F14A9BC" w14:textId="77777777" w:rsidR="00484EAD" w:rsidRPr="004653E7" w:rsidRDefault="00484EAD" w:rsidP="00316469">
            <w:pPr>
              <w:rPr>
                <w:rFonts w:ascii="Arial" w:hAnsi="Arial" w:cs="Arial"/>
                <w:sz w:val="20"/>
                <w:szCs w:val="20"/>
                <w:lang w:eastAsia="en-AU"/>
              </w:rPr>
            </w:pPr>
            <w:r w:rsidRPr="004653E7">
              <w:rPr>
                <w:rFonts w:ascii="Arial" w:hAnsi="Arial" w:cs="Arial"/>
                <w:sz w:val="20"/>
                <w:szCs w:val="20"/>
                <w:lang w:eastAsia="en-AU"/>
              </w:rPr>
              <w:t>3.6</w:t>
            </w:r>
          </w:p>
        </w:tc>
        <w:tc>
          <w:tcPr>
            <w:tcW w:w="3411" w:type="dxa"/>
            <w:tcBorders>
              <w:top w:val="single" w:sz="4" w:space="0" w:color="auto"/>
              <w:left w:val="nil"/>
              <w:bottom w:val="single" w:sz="4" w:space="0" w:color="auto"/>
              <w:right w:val="single" w:sz="4" w:space="0" w:color="auto"/>
            </w:tcBorders>
            <w:shd w:val="clear" w:color="auto" w:fill="auto"/>
          </w:tcPr>
          <w:p w14:paraId="36C0782D" w14:textId="5C301266" w:rsidR="00484EAD" w:rsidRPr="004653E7" w:rsidRDefault="00484EAD" w:rsidP="00316469">
            <w:pPr>
              <w:rPr>
                <w:rFonts w:ascii="Arial" w:hAnsi="Arial" w:cs="Arial"/>
                <w:sz w:val="20"/>
                <w:szCs w:val="20"/>
                <w:lang w:eastAsia="en-AU"/>
              </w:rPr>
            </w:pPr>
            <w:r w:rsidRPr="004653E7">
              <w:rPr>
                <w:rFonts w:ascii="Arial" w:hAnsi="Arial" w:cs="Arial"/>
                <w:sz w:val="20"/>
                <w:szCs w:val="20"/>
                <w:lang w:eastAsia="en-AU"/>
              </w:rPr>
              <w:t xml:space="preserve">Unit/subject learning outcomes and assessment specifically reference the relevant </w:t>
            </w:r>
            <w:r w:rsidR="0004331D" w:rsidRPr="0004331D">
              <w:rPr>
                <w:rFonts w:ascii="Arial" w:hAnsi="Arial" w:cs="Arial"/>
                <w:sz w:val="20"/>
                <w:szCs w:val="20"/>
                <w:lang w:eastAsia="en-AU"/>
              </w:rPr>
              <w:t>National Safety and Quality Standards published by the Australian Commission on Safety and Quality in Health Care</w:t>
            </w:r>
            <w:r w:rsidR="006C5B3C" w:rsidRPr="004653E7">
              <w:rPr>
                <w:rFonts w:ascii="Arial" w:hAnsi="Arial" w:cs="Arial"/>
                <w:sz w:val="20"/>
                <w:szCs w:val="20"/>
                <w:lang w:eastAsia="en-AU"/>
              </w:rPr>
              <w:t>,</w:t>
            </w:r>
            <w:r w:rsidR="006C5B3C">
              <w:rPr>
                <w:rFonts w:ascii="Arial" w:hAnsi="Arial" w:cs="Arial"/>
                <w:sz w:val="20"/>
                <w:szCs w:val="20"/>
                <w:lang w:eastAsia="en-AU"/>
              </w:rPr>
              <w:t xml:space="preserve"> particularly</w:t>
            </w:r>
            <w:r w:rsidR="00584D3E">
              <w:rPr>
                <w:rFonts w:ascii="Arial" w:hAnsi="Arial" w:cs="Arial"/>
                <w:sz w:val="20"/>
                <w:szCs w:val="20"/>
                <w:lang w:eastAsia="en-AU"/>
              </w:rPr>
              <w:t xml:space="preserve"> medication safety. </w:t>
            </w:r>
          </w:p>
        </w:tc>
        <w:tc>
          <w:tcPr>
            <w:tcW w:w="5528" w:type="dxa"/>
            <w:tcBorders>
              <w:top w:val="single" w:sz="4" w:space="0" w:color="auto"/>
              <w:left w:val="nil"/>
              <w:bottom w:val="single" w:sz="4" w:space="0" w:color="auto"/>
              <w:right w:val="single" w:sz="4" w:space="0" w:color="auto"/>
            </w:tcBorders>
          </w:tcPr>
          <w:p w14:paraId="10CF18E3" w14:textId="3A61F85C" w:rsidR="00484EAD" w:rsidRPr="004653E7" w:rsidRDefault="006C5B3C" w:rsidP="006B223F">
            <w:pPr>
              <w:pStyle w:val="ListParagraph"/>
              <w:numPr>
                <w:ilvl w:val="0"/>
                <w:numId w:val="19"/>
              </w:numPr>
              <w:jc w:val="left"/>
              <w:rPr>
                <w:sz w:val="20"/>
                <w:szCs w:val="20"/>
              </w:rPr>
            </w:pPr>
            <w:r>
              <w:rPr>
                <w:sz w:val="20"/>
                <w:szCs w:val="20"/>
              </w:rPr>
              <w:t>U</w:t>
            </w:r>
            <w:r w:rsidR="00484EAD" w:rsidRPr="004653E7">
              <w:rPr>
                <w:sz w:val="20"/>
                <w:szCs w:val="20"/>
              </w:rPr>
              <w:t>nit</w:t>
            </w:r>
            <w:r w:rsidR="008B534F" w:rsidRPr="004653E7">
              <w:rPr>
                <w:sz w:val="20"/>
                <w:szCs w:val="20"/>
              </w:rPr>
              <w:t>/subject</w:t>
            </w:r>
            <w:r w:rsidR="00484EAD" w:rsidRPr="004653E7">
              <w:rPr>
                <w:sz w:val="20"/>
                <w:szCs w:val="20"/>
              </w:rPr>
              <w:t xml:space="preserve"> profiles/outlines</w:t>
            </w:r>
            <w:r w:rsidR="008B534F" w:rsidRPr="004653E7">
              <w:rPr>
                <w:sz w:val="20"/>
                <w:szCs w:val="20"/>
              </w:rPr>
              <w:t xml:space="preserve"> and assessment tasks</w:t>
            </w:r>
            <w:r w:rsidR="00484EAD" w:rsidRPr="004653E7">
              <w:rPr>
                <w:sz w:val="20"/>
                <w:szCs w:val="20"/>
              </w:rPr>
              <w:t xml:space="preserve"> </w:t>
            </w:r>
            <w:r w:rsidR="00766D50" w:rsidRPr="004653E7">
              <w:rPr>
                <w:sz w:val="20"/>
                <w:szCs w:val="20"/>
              </w:rPr>
              <w:t xml:space="preserve">that </w:t>
            </w:r>
            <w:r w:rsidR="00941902" w:rsidRPr="004653E7">
              <w:rPr>
                <w:sz w:val="20"/>
                <w:szCs w:val="20"/>
              </w:rPr>
              <w:t xml:space="preserve">show </w:t>
            </w:r>
            <w:r w:rsidR="00766D50" w:rsidRPr="004653E7">
              <w:rPr>
                <w:sz w:val="20"/>
                <w:szCs w:val="20"/>
              </w:rPr>
              <w:t xml:space="preserve">where </w:t>
            </w:r>
            <w:r w:rsidR="00484EAD" w:rsidRPr="004653E7">
              <w:rPr>
                <w:sz w:val="20"/>
                <w:szCs w:val="20"/>
              </w:rPr>
              <w:t xml:space="preserve">the relevant </w:t>
            </w:r>
            <w:r w:rsidR="00FE225C" w:rsidRPr="0004331D">
              <w:rPr>
                <w:sz w:val="20"/>
                <w:szCs w:val="20"/>
              </w:rPr>
              <w:t>National Safety and Quality Standards published by the Australian Commission on Safety and Quality in Health Care</w:t>
            </w:r>
            <w:r w:rsidR="00FE225C" w:rsidRPr="004653E7" w:rsidDel="00FE225C">
              <w:rPr>
                <w:i/>
                <w:sz w:val="20"/>
                <w:szCs w:val="20"/>
              </w:rPr>
              <w:t xml:space="preserve"> </w:t>
            </w:r>
            <w:r w:rsidR="00941902" w:rsidRPr="004653E7">
              <w:rPr>
                <w:sz w:val="20"/>
                <w:szCs w:val="20"/>
              </w:rPr>
              <w:t xml:space="preserve">are </w:t>
            </w:r>
            <w:r w:rsidR="00D44198">
              <w:rPr>
                <w:sz w:val="20"/>
                <w:szCs w:val="20"/>
              </w:rPr>
              <w:t>addressed</w:t>
            </w:r>
            <w:r w:rsidR="005A4271">
              <w:rPr>
                <w:sz w:val="20"/>
                <w:szCs w:val="20"/>
              </w:rPr>
              <w:t xml:space="preserve"> </w:t>
            </w:r>
            <w:r w:rsidR="005A4271" w:rsidRPr="00423773">
              <w:rPr>
                <w:sz w:val="20"/>
                <w:szCs w:val="20"/>
              </w:rPr>
              <w:t xml:space="preserve">and </w:t>
            </w:r>
            <w:r w:rsidR="005A4271">
              <w:rPr>
                <w:sz w:val="20"/>
                <w:szCs w:val="20"/>
              </w:rPr>
              <w:t xml:space="preserve">student learning outcomes assessed against the </w:t>
            </w:r>
            <w:r w:rsidR="00FE225C">
              <w:rPr>
                <w:sz w:val="20"/>
                <w:szCs w:val="20"/>
              </w:rPr>
              <w:t>relevant National Safety and Quality Standards</w:t>
            </w:r>
            <w:r w:rsidR="00484EAD" w:rsidRPr="004653E7">
              <w:rPr>
                <w:i/>
                <w:sz w:val="20"/>
                <w:szCs w:val="20"/>
              </w:rPr>
              <w:t>.</w:t>
            </w:r>
          </w:p>
          <w:p w14:paraId="73FA7B54" w14:textId="77777777" w:rsidR="000D1D8D" w:rsidRPr="004653E7" w:rsidRDefault="000D1D8D" w:rsidP="002A2E18">
            <w:pPr>
              <w:pStyle w:val="ListParagraph"/>
              <w:ind w:left="360"/>
              <w:jc w:val="left"/>
              <w:rPr>
                <w:sz w:val="20"/>
                <w:szCs w:val="20"/>
              </w:rPr>
            </w:pPr>
          </w:p>
        </w:tc>
      </w:tr>
      <w:tr w:rsidR="002D5CD2" w:rsidRPr="004653E7" w14:paraId="291F96C3" w14:textId="77777777" w:rsidTr="00863470">
        <w:trPr>
          <w:trHeight w:val="416"/>
        </w:trPr>
        <w:tc>
          <w:tcPr>
            <w:tcW w:w="700" w:type="dxa"/>
            <w:tcBorders>
              <w:top w:val="single" w:sz="4" w:space="0" w:color="auto"/>
              <w:left w:val="single" w:sz="4" w:space="0" w:color="auto"/>
              <w:bottom w:val="single" w:sz="4" w:space="0" w:color="auto"/>
              <w:right w:val="single" w:sz="4" w:space="0" w:color="auto"/>
            </w:tcBorders>
            <w:shd w:val="clear" w:color="auto" w:fill="auto"/>
          </w:tcPr>
          <w:p w14:paraId="5565CFA7" w14:textId="0B27A29D" w:rsidR="002D5CD2" w:rsidRPr="004653E7" w:rsidRDefault="002D5CD2" w:rsidP="002D5CD2">
            <w:pPr>
              <w:rPr>
                <w:rFonts w:ascii="Arial" w:hAnsi="Arial" w:cs="Arial"/>
                <w:sz w:val="20"/>
                <w:szCs w:val="20"/>
                <w:lang w:eastAsia="en-AU"/>
              </w:rPr>
            </w:pPr>
            <w:r w:rsidRPr="004653E7">
              <w:rPr>
                <w:rFonts w:ascii="Arial" w:hAnsi="Arial" w:cs="Arial"/>
                <w:sz w:val="20"/>
                <w:szCs w:val="20"/>
                <w:lang w:eastAsia="en-AU"/>
              </w:rPr>
              <w:t>3.7</w:t>
            </w:r>
          </w:p>
        </w:tc>
        <w:tc>
          <w:tcPr>
            <w:tcW w:w="3411" w:type="dxa"/>
            <w:tcBorders>
              <w:top w:val="single" w:sz="4" w:space="0" w:color="auto"/>
              <w:left w:val="nil"/>
              <w:bottom w:val="single" w:sz="4" w:space="0" w:color="auto"/>
              <w:right w:val="single" w:sz="4" w:space="0" w:color="auto"/>
            </w:tcBorders>
            <w:shd w:val="clear" w:color="auto" w:fill="auto"/>
          </w:tcPr>
          <w:p w14:paraId="3DDC19CD" w14:textId="0A962034" w:rsidR="002D5CD2" w:rsidRPr="004653E7" w:rsidRDefault="002D5CD2" w:rsidP="002D5CD2">
            <w:pPr>
              <w:rPr>
                <w:rFonts w:ascii="Arial" w:hAnsi="Arial" w:cs="Arial"/>
                <w:sz w:val="20"/>
                <w:szCs w:val="20"/>
                <w:lang w:eastAsia="en-AU"/>
              </w:rPr>
            </w:pPr>
            <w:r w:rsidRPr="00684A14">
              <w:rPr>
                <w:rFonts w:ascii="Arial" w:hAnsi="Arial" w:cs="Arial"/>
                <w:sz w:val="20"/>
                <w:szCs w:val="20"/>
              </w:rPr>
              <w:t>Unit/subject learning outcomes in the program address social and cultural determinants of health.</w:t>
            </w:r>
          </w:p>
        </w:tc>
        <w:tc>
          <w:tcPr>
            <w:tcW w:w="5528" w:type="dxa"/>
            <w:tcBorders>
              <w:top w:val="single" w:sz="4" w:space="0" w:color="auto"/>
              <w:left w:val="nil"/>
              <w:bottom w:val="single" w:sz="4" w:space="0" w:color="auto"/>
              <w:right w:val="single" w:sz="4" w:space="0" w:color="auto"/>
            </w:tcBorders>
          </w:tcPr>
          <w:p w14:paraId="3FD6A909" w14:textId="029C6CB4" w:rsidR="002D5CD2" w:rsidRPr="004653E7" w:rsidRDefault="002D5CD2" w:rsidP="006B223F">
            <w:pPr>
              <w:pStyle w:val="ListParagraph"/>
              <w:numPr>
                <w:ilvl w:val="0"/>
                <w:numId w:val="19"/>
              </w:numPr>
              <w:jc w:val="left"/>
              <w:rPr>
                <w:sz w:val="20"/>
                <w:szCs w:val="20"/>
              </w:rPr>
            </w:pPr>
            <w:r w:rsidRPr="004C60C7">
              <w:rPr>
                <w:sz w:val="20"/>
                <w:szCs w:val="20"/>
              </w:rPr>
              <w:t xml:space="preserve">Program materials and unit/subject profiles/outlines that show where social and cultural determinants of health are addressed, </w:t>
            </w:r>
            <w:proofErr w:type="gramStart"/>
            <w:r w:rsidRPr="004C60C7">
              <w:rPr>
                <w:sz w:val="20"/>
                <w:szCs w:val="20"/>
              </w:rPr>
              <w:t>in particular as</w:t>
            </w:r>
            <w:proofErr w:type="gramEnd"/>
            <w:r w:rsidRPr="004C60C7">
              <w:rPr>
                <w:sz w:val="20"/>
                <w:szCs w:val="20"/>
              </w:rPr>
              <w:t xml:space="preserve"> they relate to the care of Aboriginal and Torres Strait Islander Peoples and the individual across the lifespan, including frailty, disability, palliative care and </w:t>
            </w:r>
            <w:r w:rsidR="00B67A7D">
              <w:rPr>
                <w:sz w:val="20"/>
                <w:szCs w:val="20"/>
              </w:rPr>
              <w:t>person-centred</w:t>
            </w:r>
            <w:r w:rsidRPr="004C60C7">
              <w:rPr>
                <w:sz w:val="20"/>
                <w:szCs w:val="20"/>
              </w:rPr>
              <w:t xml:space="preserve"> care.</w:t>
            </w:r>
          </w:p>
        </w:tc>
      </w:tr>
      <w:tr w:rsidR="00484EAD" w:rsidRPr="004653E7" w14:paraId="19AD7AEE" w14:textId="77777777" w:rsidTr="00863470">
        <w:trPr>
          <w:trHeight w:val="416"/>
        </w:trPr>
        <w:tc>
          <w:tcPr>
            <w:tcW w:w="700" w:type="dxa"/>
            <w:tcBorders>
              <w:top w:val="single" w:sz="4" w:space="0" w:color="auto"/>
              <w:left w:val="single" w:sz="4" w:space="0" w:color="auto"/>
              <w:bottom w:val="single" w:sz="4" w:space="0" w:color="auto"/>
              <w:right w:val="single" w:sz="4" w:space="0" w:color="auto"/>
            </w:tcBorders>
            <w:shd w:val="clear" w:color="auto" w:fill="auto"/>
          </w:tcPr>
          <w:p w14:paraId="4197473D" w14:textId="5B81B591" w:rsidR="00484EAD" w:rsidRPr="004653E7" w:rsidRDefault="00484EAD" w:rsidP="00316469">
            <w:pPr>
              <w:rPr>
                <w:rFonts w:ascii="Arial" w:hAnsi="Arial" w:cs="Arial"/>
                <w:sz w:val="20"/>
                <w:szCs w:val="20"/>
                <w:lang w:eastAsia="en-AU"/>
              </w:rPr>
            </w:pPr>
            <w:r w:rsidRPr="004653E7">
              <w:rPr>
                <w:rFonts w:ascii="Arial" w:hAnsi="Arial" w:cs="Arial"/>
                <w:sz w:val="20"/>
                <w:szCs w:val="20"/>
                <w:lang w:eastAsia="en-AU"/>
              </w:rPr>
              <w:t>3.</w:t>
            </w:r>
            <w:r w:rsidR="002D5CD2">
              <w:rPr>
                <w:rFonts w:ascii="Arial" w:hAnsi="Arial" w:cs="Arial"/>
                <w:sz w:val="20"/>
                <w:szCs w:val="20"/>
                <w:lang w:eastAsia="en-AU"/>
              </w:rPr>
              <w:t>8</w:t>
            </w:r>
          </w:p>
        </w:tc>
        <w:tc>
          <w:tcPr>
            <w:tcW w:w="3411" w:type="dxa"/>
            <w:tcBorders>
              <w:top w:val="single" w:sz="4" w:space="0" w:color="auto"/>
              <w:left w:val="nil"/>
              <w:bottom w:val="single" w:sz="4" w:space="0" w:color="auto"/>
              <w:right w:val="single" w:sz="4" w:space="0" w:color="auto"/>
            </w:tcBorders>
            <w:shd w:val="clear" w:color="auto" w:fill="auto"/>
          </w:tcPr>
          <w:p w14:paraId="6394D49C" w14:textId="0FF3783A" w:rsidR="00484EAD" w:rsidRPr="004653E7" w:rsidRDefault="00484EAD" w:rsidP="00316469">
            <w:pPr>
              <w:rPr>
                <w:rFonts w:ascii="Arial" w:hAnsi="Arial" w:cs="Arial"/>
                <w:sz w:val="20"/>
                <w:szCs w:val="20"/>
                <w:lang w:eastAsia="en-AU"/>
              </w:rPr>
            </w:pPr>
            <w:r w:rsidRPr="004653E7">
              <w:rPr>
                <w:rFonts w:ascii="Arial" w:hAnsi="Arial" w:cs="Arial"/>
                <w:sz w:val="20"/>
                <w:szCs w:val="20"/>
                <w:lang w:eastAsia="en-AU"/>
              </w:rPr>
              <w:t xml:space="preserve">Legislative and regulatory requirements relevant to </w:t>
            </w:r>
            <w:r w:rsidR="00584D3E">
              <w:rPr>
                <w:rFonts w:ascii="Arial" w:hAnsi="Arial" w:cs="Arial"/>
                <w:sz w:val="20"/>
                <w:szCs w:val="20"/>
                <w:lang w:eastAsia="en-AU"/>
              </w:rPr>
              <w:t xml:space="preserve">ESM </w:t>
            </w:r>
            <w:r w:rsidRPr="004653E7">
              <w:rPr>
                <w:rFonts w:ascii="Arial" w:hAnsi="Arial" w:cs="Arial"/>
                <w:sz w:val="20"/>
                <w:szCs w:val="20"/>
                <w:lang w:eastAsia="en-AU"/>
              </w:rPr>
              <w:t>are taught and their application to practice is assessed</w:t>
            </w:r>
            <w:r w:rsidR="00766D50" w:rsidRPr="004653E7">
              <w:rPr>
                <w:rFonts w:ascii="Arial" w:hAnsi="Arial" w:cs="Arial"/>
                <w:sz w:val="20"/>
                <w:szCs w:val="20"/>
                <w:lang w:eastAsia="en-AU"/>
              </w:rPr>
              <w:t>,</w:t>
            </w:r>
            <w:r w:rsidRPr="004653E7">
              <w:rPr>
                <w:rFonts w:ascii="Arial" w:hAnsi="Arial" w:cs="Arial"/>
                <w:sz w:val="20"/>
                <w:szCs w:val="20"/>
                <w:lang w:eastAsia="en-AU"/>
              </w:rPr>
              <w:t xml:space="preserve"> during periods </w:t>
            </w:r>
            <w:r w:rsidRPr="004653E7">
              <w:rPr>
                <w:rFonts w:ascii="Arial" w:hAnsi="Arial" w:cs="Arial"/>
                <w:sz w:val="20"/>
                <w:szCs w:val="20"/>
                <w:lang w:eastAsia="en-AU"/>
              </w:rPr>
              <w:lastRenderedPageBreak/>
              <w:t>of work-integrated learning in the program.</w:t>
            </w:r>
          </w:p>
        </w:tc>
        <w:tc>
          <w:tcPr>
            <w:tcW w:w="5528" w:type="dxa"/>
            <w:tcBorders>
              <w:top w:val="single" w:sz="4" w:space="0" w:color="auto"/>
              <w:left w:val="nil"/>
              <w:bottom w:val="single" w:sz="4" w:space="0" w:color="auto"/>
              <w:right w:val="single" w:sz="4" w:space="0" w:color="auto"/>
            </w:tcBorders>
          </w:tcPr>
          <w:p w14:paraId="5FAD62A0" w14:textId="354B01E2" w:rsidR="00484EAD" w:rsidRPr="004653E7" w:rsidRDefault="00581C28" w:rsidP="006B223F">
            <w:pPr>
              <w:pStyle w:val="ListParagraph"/>
              <w:numPr>
                <w:ilvl w:val="0"/>
                <w:numId w:val="19"/>
              </w:numPr>
              <w:jc w:val="left"/>
              <w:rPr>
                <w:sz w:val="20"/>
                <w:szCs w:val="20"/>
              </w:rPr>
            </w:pPr>
            <w:r w:rsidRPr="004653E7">
              <w:rPr>
                <w:sz w:val="20"/>
                <w:szCs w:val="20"/>
              </w:rPr>
              <w:lastRenderedPageBreak/>
              <w:t>I</w:t>
            </w:r>
            <w:r w:rsidR="00484EAD" w:rsidRPr="004653E7">
              <w:rPr>
                <w:sz w:val="20"/>
                <w:szCs w:val="20"/>
              </w:rPr>
              <w:t>dentification of where relevant</w:t>
            </w:r>
            <w:r w:rsidRPr="004653E7">
              <w:rPr>
                <w:sz w:val="20"/>
                <w:szCs w:val="20"/>
              </w:rPr>
              <w:t xml:space="preserve"> legislative and regulatory</w:t>
            </w:r>
            <w:r w:rsidR="00484EAD" w:rsidRPr="004653E7">
              <w:rPr>
                <w:sz w:val="20"/>
                <w:szCs w:val="20"/>
              </w:rPr>
              <w:t xml:space="preserve"> requirements are taught and assessed during work-integrated learning</w:t>
            </w:r>
            <w:r w:rsidR="005A4271">
              <w:rPr>
                <w:sz w:val="20"/>
                <w:szCs w:val="20"/>
              </w:rPr>
              <w:t>, including examples of the outcomes of the assessments and responses to findings</w:t>
            </w:r>
            <w:r w:rsidR="00484EAD" w:rsidRPr="004653E7">
              <w:rPr>
                <w:sz w:val="20"/>
                <w:szCs w:val="20"/>
              </w:rPr>
              <w:t>.</w:t>
            </w:r>
          </w:p>
        </w:tc>
      </w:tr>
      <w:tr w:rsidR="00484EAD" w:rsidRPr="004653E7" w14:paraId="3B3B0143" w14:textId="77777777" w:rsidTr="00863470">
        <w:trPr>
          <w:trHeight w:val="416"/>
        </w:trPr>
        <w:tc>
          <w:tcPr>
            <w:tcW w:w="700" w:type="dxa"/>
            <w:tcBorders>
              <w:top w:val="single" w:sz="4" w:space="0" w:color="auto"/>
              <w:left w:val="single" w:sz="4" w:space="0" w:color="auto"/>
              <w:bottom w:val="single" w:sz="4" w:space="0" w:color="auto"/>
              <w:right w:val="single" w:sz="4" w:space="0" w:color="auto"/>
            </w:tcBorders>
            <w:shd w:val="clear" w:color="auto" w:fill="auto"/>
          </w:tcPr>
          <w:p w14:paraId="2F51B808" w14:textId="1A1F54D8" w:rsidR="00484EAD" w:rsidRPr="004653E7" w:rsidRDefault="00484EAD" w:rsidP="00316469">
            <w:pPr>
              <w:rPr>
                <w:rFonts w:ascii="Arial" w:hAnsi="Arial" w:cs="Arial"/>
                <w:sz w:val="20"/>
                <w:szCs w:val="20"/>
                <w:lang w:eastAsia="en-AU"/>
              </w:rPr>
            </w:pPr>
            <w:r w:rsidRPr="004653E7">
              <w:rPr>
                <w:rFonts w:ascii="Arial" w:hAnsi="Arial" w:cs="Arial"/>
                <w:sz w:val="20"/>
                <w:szCs w:val="20"/>
                <w:lang w:eastAsia="en-AU"/>
              </w:rPr>
              <w:t>3.</w:t>
            </w:r>
            <w:r w:rsidR="002D5CD2">
              <w:rPr>
                <w:rFonts w:ascii="Arial" w:hAnsi="Arial" w:cs="Arial"/>
                <w:sz w:val="20"/>
                <w:szCs w:val="20"/>
                <w:lang w:eastAsia="en-AU"/>
              </w:rPr>
              <w:t>9</w:t>
            </w:r>
          </w:p>
        </w:tc>
        <w:tc>
          <w:tcPr>
            <w:tcW w:w="3411" w:type="dxa"/>
            <w:tcBorders>
              <w:top w:val="single" w:sz="4" w:space="0" w:color="auto"/>
              <w:left w:val="nil"/>
              <w:bottom w:val="single" w:sz="4" w:space="0" w:color="auto"/>
              <w:right w:val="single" w:sz="4" w:space="0" w:color="auto"/>
            </w:tcBorders>
            <w:shd w:val="clear" w:color="auto" w:fill="auto"/>
          </w:tcPr>
          <w:p w14:paraId="6D0DCDE4" w14:textId="2E015717" w:rsidR="00484EAD" w:rsidRPr="004653E7" w:rsidRDefault="00484EAD" w:rsidP="00316469">
            <w:pPr>
              <w:rPr>
                <w:rFonts w:ascii="Arial" w:hAnsi="Arial" w:cs="Arial"/>
                <w:sz w:val="20"/>
                <w:szCs w:val="20"/>
                <w:lang w:eastAsia="en-AU"/>
              </w:rPr>
            </w:pPr>
            <w:r w:rsidRPr="004653E7">
              <w:rPr>
                <w:rFonts w:ascii="Arial" w:hAnsi="Arial" w:cs="Arial"/>
                <w:sz w:val="20"/>
                <w:szCs w:val="20"/>
                <w:lang w:eastAsia="en-AU"/>
              </w:rPr>
              <w:t>The education provider ensures work-integrated learning experiences provide students in the program with regular opportunities to reflect on their observations of practice in the clinical setting.</w:t>
            </w:r>
          </w:p>
        </w:tc>
        <w:tc>
          <w:tcPr>
            <w:tcW w:w="5528" w:type="dxa"/>
            <w:tcBorders>
              <w:top w:val="single" w:sz="4" w:space="0" w:color="auto"/>
              <w:left w:val="nil"/>
              <w:bottom w:val="single" w:sz="4" w:space="0" w:color="auto"/>
              <w:right w:val="single" w:sz="4" w:space="0" w:color="auto"/>
            </w:tcBorders>
          </w:tcPr>
          <w:p w14:paraId="45A08C81" w14:textId="3524E3D9" w:rsidR="00484EAD" w:rsidRPr="004653E7" w:rsidRDefault="00E900E3" w:rsidP="006B223F">
            <w:pPr>
              <w:pStyle w:val="ListParagraph"/>
              <w:numPr>
                <w:ilvl w:val="0"/>
                <w:numId w:val="12"/>
              </w:numPr>
              <w:jc w:val="left"/>
              <w:rPr>
                <w:sz w:val="20"/>
                <w:szCs w:val="20"/>
              </w:rPr>
            </w:pPr>
            <w:r>
              <w:rPr>
                <w:sz w:val="20"/>
                <w:szCs w:val="20"/>
              </w:rPr>
              <w:t>A range of</w:t>
            </w:r>
            <w:r w:rsidR="00484EAD" w:rsidRPr="004653E7">
              <w:rPr>
                <w:sz w:val="20"/>
                <w:szCs w:val="20"/>
              </w:rPr>
              <w:t xml:space="preserve"> de-identified records of student feedback </w:t>
            </w:r>
            <w:r w:rsidR="00472B9B" w:rsidRPr="004653E7">
              <w:rPr>
                <w:sz w:val="20"/>
                <w:szCs w:val="20"/>
              </w:rPr>
              <w:t xml:space="preserve">that </w:t>
            </w:r>
            <w:r w:rsidR="00484EAD" w:rsidRPr="004653E7">
              <w:rPr>
                <w:sz w:val="20"/>
                <w:szCs w:val="20"/>
              </w:rPr>
              <w:t>include an opportunity for reflection on their work-integrated learning experiences</w:t>
            </w:r>
            <w:r w:rsidR="005A4271">
              <w:rPr>
                <w:sz w:val="20"/>
                <w:szCs w:val="20"/>
              </w:rPr>
              <w:t>, and responses to those reflections</w:t>
            </w:r>
            <w:r w:rsidR="00484EAD" w:rsidRPr="004653E7">
              <w:rPr>
                <w:sz w:val="20"/>
                <w:szCs w:val="20"/>
              </w:rPr>
              <w:t xml:space="preserve">. </w:t>
            </w:r>
          </w:p>
        </w:tc>
      </w:tr>
      <w:tr w:rsidR="00484EAD" w:rsidRPr="004653E7" w14:paraId="66E41F6F" w14:textId="77777777" w:rsidTr="00863470">
        <w:trPr>
          <w:trHeight w:val="416"/>
        </w:trPr>
        <w:tc>
          <w:tcPr>
            <w:tcW w:w="700" w:type="dxa"/>
            <w:tcBorders>
              <w:top w:val="single" w:sz="4" w:space="0" w:color="auto"/>
              <w:left w:val="single" w:sz="4" w:space="0" w:color="auto"/>
              <w:bottom w:val="single" w:sz="4" w:space="0" w:color="auto"/>
              <w:right w:val="single" w:sz="4" w:space="0" w:color="auto"/>
            </w:tcBorders>
            <w:shd w:val="clear" w:color="auto" w:fill="auto"/>
          </w:tcPr>
          <w:p w14:paraId="61AC3D5B" w14:textId="3F069BCA" w:rsidR="00484EAD" w:rsidRPr="004653E7" w:rsidRDefault="00484EAD" w:rsidP="00316469">
            <w:pPr>
              <w:rPr>
                <w:rFonts w:ascii="Arial" w:hAnsi="Arial" w:cs="Arial"/>
                <w:sz w:val="20"/>
                <w:szCs w:val="20"/>
                <w:lang w:eastAsia="en-AU"/>
              </w:rPr>
            </w:pPr>
            <w:r w:rsidRPr="004653E7">
              <w:rPr>
                <w:rFonts w:ascii="Arial" w:hAnsi="Arial" w:cs="Arial"/>
                <w:sz w:val="20"/>
                <w:szCs w:val="20"/>
                <w:lang w:eastAsia="en-AU"/>
              </w:rPr>
              <w:t>3.</w:t>
            </w:r>
            <w:r w:rsidR="002D5CD2">
              <w:rPr>
                <w:rFonts w:ascii="Arial" w:hAnsi="Arial" w:cs="Arial"/>
                <w:sz w:val="20"/>
                <w:szCs w:val="20"/>
                <w:lang w:eastAsia="en-AU"/>
              </w:rPr>
              <w:t>10</w:t>
            </w:r>
          </w:p>
        </w:tc>
        <w:tc>
          <w:tcPr>
            <w:tcW w:w="3411" w:type="dxa"/>
            <w:tcBorders>
              <w:top w:val="single" w:sz="4" w:space="0" w:color="auto"/>
              <w:left w:val="nil"/>
              <w:bottom w:val="single" w:sz="4" w:space="0" w:color="auto"/>
              <w:right w:val="single" w:sz="4" w:space="0" w:color="auto"/>
            </w:tcBorders>
            <w:shd w:val="clear" w:color="auto" w:fill="auto"/>
          </w:tcPr>
          <w:p w14:paraId="27BAB9FB" w14:textId="274D95EC" w:rsidR="00484EAD" w:rsidRPr="004653E7" w:rsidRDefault="00484EAD" w:rsidP="00316469">
            <w:pPr>
              <w:rPr>
                <w:rFonts w:ascii="Arial" w:hAnsi="Arial" w:cs="Arial"/>
                <w:sz w:val="20"/>
                <w:szCs w:val="20"/>
                <w:lang w:eastAsia="en-AU"/>
              </w:rPr>
            </w:pPr>
            <w:r w:rsidRPr="004653E7">
              <w:rPr>
                <w:rFonts w:ascii="Arial" w:hAnsi="Arial" w:cs="Arial"/>
                <w:sz w:val="20"/>
                <w:szCs w:val="20"/>
                <w:lang w:eastAsia="en-AU"/>
              </w:rPr>
              <w:t xml:space="preserve">The education provider has an active relationship with the </w:t>
            </w:r>
            <w:r w:rsidR="002A2E18" w:rsidRPr="004653E7">
              <w:rPr>
                <w:rFonts w:ascii="Arial" w:hAnsi="Arial" w:cs="Arial"/>
                <w:sz w:val="20"/>
                <w:szCs w:val="20"/>
                <w:lang w:eastAsia="en-AU"/>
              </w:rPr>
              <w:t>practitioners who</w:t>
            </w:r>
            <w:r w:rsidRPr="004653E7">
              <w:rPr>
                <w:rFonts w:ascii="Arial" w:hAnsi="Arial" w:cs="Arial"/>
                <w:sz w:val="20"/>
                <w:szCs w:val="20"/>
                <w:lang w:eastAsia="en-AU"/>
              </w:rPr>
              <w:t xml:space="preserve"> provide instruction</w:t>
            </w:r>
            <w:r w:rsidR="009E5A14">
              <w:rPr>
                <w:rFonts w:ascii="Arial" w:hAnsi="Arial" w:cs="Arial"/>
                <w:sz w:val="20"/>
                <w:szCs w:val="20"/>
                <w:lang w:eastAsia="en-AU"/>
              </w:rPr>
              <w:t xml:space="preserve"> and/or</w:t>
            </w:r>
            <w:r w:rsidRPr="004653E7">
              <w:rPr>
                <w:rFonts w:ascii="Arial" w:hAnsi="Arial" w:cs="Arial"/>
                <w:sz w:val="20"/>
                <w:szCs w:val="20"/>
                <w:lang w:eastAsia="en-AU"/>
              </w:rPr>
              <w:t xml:space="preserve"> supervision to students during work-integrated learning, and formal mechanisms </w:t>
            </w:r>
            <w:r w:rsidR="00E20793" w:rsidRPr="004653E7">
              <w:rPr>
                <w:rFonts w:ascii="Arial" w:hAnsi="Arial" w:cs="Arial"/>
                <w:sz w:val="20"/>
                <w:szCs w:val="20"/>
                <w:lang w:eastAsia="en-AU"/>
              </w:rPr>
              <w:t>exist</w:t>
            </w:r>
            <w:r w:rsidRPr="004653E7">
              <w:rPr>
                <w:rFonts w:ascii="Arial" w:hAnsi="Arial" w:cs="Arial"/>
                <w:sz w:val="20"/>
                <w:szCs w:val="20"/>
                <w:lang w:eastAsia="en-AU"/>
              </w:rPr>
              <w:t xml:space="preserve"> </w:t>
            </w:r>
            <w:r w:rsidR="00E20793" w:rsidRPr="004653E7">
              <w:rPr>
                <w:rFonts w:ascii="Arial" w:hAnsi="Arial" w:cs="Arial"/>
                <w:sz w:val="20"/>
                <w:szCs w:val="20"/>
                <w:lang w:eastAsia="en-AU"/>
              </w:rPr>
              <w:t>for</w:t>
            </w:r>
            <w:r w:rsidRPr="004653E7">
              <w:rPr>
                <w:rFonts w:ascii="Arial" w:hAnsi="Arial" w:cs="Arial"/>
                <w:sz w:val="20"/>
                <w:szCs w:val="20"/>
                <w:lang w:eastAsia="en-AU"/>
              </w:rPr>
              <w:t xml:space="preserve"> training and monitoring those supervisors.</w:t>
            </w:r>
          </w:p>
        </w:tc>
        <w:tc>
          <w:tcPr>
            <w:tcW w:w="5528" w:type="dxa"/>
            <w:tcBorders>
              <w:top w:val="single" w:sz="4" w:space="0" w:color="auto"/>
              <w:left w:val="nil"/>
              <w:bottom w:val="single" w:sz="4" w:space="0" w:color="auto"/>
              <w:right w:val="single" w:sz="4" w:space="0" w:color="auto"/>
            </w:tcBorders>
          </w:tcPr>
          <w:p w14:paraId="417D9791" w14:textId="6FA52920" w:rsidR="00484EAD" w:rsidRPr="004653E7" w:rsidRDefault="00484EAD" w:rsidP="006B223F">
            <w:pPr>
              <w:pStyle w:val="ListParagraph"/>
              <w:numPr>
                <w:ilvl w:val="0"/>
                <w:numId w:val="12"/>
              </w:numPr>
              <w:jc w:val="left"/>
              <w:rPr>
                <w:sz w:val="20"/>
                <w:szCs w:val="20"/>
              </w:rPr>
            </w:pPr>
            <w:r w:rsidRPr="004653E7">
              <w:rPr>
                <w:sz w:val="20"/>
                <w:szCs w:val="20"/>
              </w:rPr>
              <w:t xml:space="preserve">Examples of engagement between the education provider and </w:t>
            </w:r>
            <w:r w:rsidR="000D1D8D" w:rsidRPr="004653E7">
              <w:rPr>
                <w:sz w:val="20"/>
                <w:szCs w:val="20"/>
              </w:rPr>
              <w:t>practitioners</w:t>
            </w:r>
            <w:r w:rsidRPr="004653E7">
              <w:rPr>
                <w:sz w:val="20"/>
                <w:szCs w:val="20"/>
              </w:rPr>
              <w:t xml:space="preserve"> who provide instruction</w:t>
            </w:r>
            <w:r w:rsidR="009E5A14">
              <w:rPr>
                <w:sz w:val="20"/>
                <w:szCs w:val="20"/>
              </w:rPr>
              <w:t xml:space="preserve"> and/or</w:t>
            </w:r>
            <w:r w:rsidRPr="004653E7">
              <w:rPr>
                <w:sz w:val="20"/>
                <w:szCs w:val="20"/>
              </w:rPr>
              <w:t xml:space="preserve"> supervision to students during work-integrated learning.</w:t>
            </w:r>
          </w:p>
          <w:p w14:paraId="0A2C7729" w14:textId="2E27AFA1" w:rsidR="00484EAD" w:rsidRPr="004653E7" w:rsidRDefault="00484EAD" w:rsidP="006B223F">
            <w:pPr>
              <w:pStyle w:val="ListParagraph"/>
              <w:numPr>
                <w:ilvl w:val="0"/>
                <w:numId w:val="12"/>
              </w:numPr>
              <w:jc w:val="left"/>
              <w:rPr>
                <w:sz w:val="20"/>
                <w:szCs w:val="20"/>
              </w:rPr>
            </w:pPr>
            <w:r w:rsidRPr="004653E7">
              <w:rPr>
                <w:sz w:val="20"/>
                <w:szCs w:val="20"/>
              </w:rPr>
              <w:t>Examples of implementation of formal mechanisms</w:t>
            </w:r>
            <w:r w:rsidR="00E20793" w:rsidRPr="004653E7">
              <w:rPr>
                <w:sz w:val="20"/>
                <w:szCs w:val="20"/>
              </w:rPr>
              <w:t xml:space="preserve"> used</w:t>
            </w:r>
            <w:r w:rsidRPr="004653E7">
              <w:rPr>
                <w:sz w:val="20"/>
                <w:szCs w:val="20"/>
              </w:rPr>
              <w:t xml:space="preserve"> for training</w:t>
            </w:r>
            <w:r w:rsidR="005A4271">
              <w:rPr>
                <w:sz w:val="20"/>
                <w:szCs w:val="20"/>
              </w:rPr>
              <w:t>,</w:t>
            </w:r>
            <w:r w:rsidRPr="004653E7">
              <w:rPr>
                <w:sz w:val="20"/>
                <w:szCs w:val="20"/>
              </w:rPr>
              <w:t xml:space="preserve"> monitoring </w:t>
            </w:r>
            <w:r w:rsidR="005A4271">
              <w:rPr>
                <w:sz w:val="20"/>
                <w:szCs w:val="20"/>
              </w:rPr>
              <w:t xml:space="preserve">and evaluating </w:t>
            </w:r>
            <w:r w:rsidRPr="004653E7">
              <w:rPr>
                <w:sz w:val="20"/>
                <w:szCs w:val="20"/>
              </w:rPr>
              <w:t>work-integrated learning supervisors</w:t>
            </w:r>
            <w:r w:rsidR="00910A52">
              <w:rPr>
                <w:sz w:val="20"/>
                <w:szCs w:val="20"/>
              </w:rPr>
              <w:t>.</w:t>
            </w:r>
          </w:p>
        </w:tc>
      </w:tr>
      <w:tr w:rsidR="00484EAD" w:rsidRPr="004653E7" w14:paraId="12DACAAB" w14:textId="77777777" w:rsidTr="000136C4">
        <w:trPr>
          <w:trHeight w:val="555"/>
        </w:trPr>
        <w:tc>
          <w:tcPr>
            <w:tcW w:w="700" w:type="dxa"/>
            <w:tcBorders>
              <w:top w:val="single" w:sz="4" w:space="0" w:color="auto"/>
              <w:left w:val="single" w:sz="4" w:space="0" w:color="auto"/>
              <w:bottom w:val="single" w:sz="4" w:space="0" w:color="auto"/>
              <w:right w:val="single" w:sz="4" w:space="0" w:color="auto"/>
            </w:tcBorders>
            <w:shd w:val="clear" w:color="auto" w:fill="auto"/>
          </w:tcPr>
          <w:p w14:paraId="5896C05C" w14:textId="438988D5" w:rsidR="00484EAD" w:rsidRPr="004653E7" w:rsidRDefault="00484EAD" w:rsidP="00316469">
            <w:pPr>
              <w:rPr>
                <w:rFonts w:ascii="Arial" w:hAnsi="Arial" w:cs="Arial"/>
                <w:sz w:val="20"/>
                <w:szCs w:val="20"/>
                <w:lang w:eastAsia="en-AU"/>
              </w:rPr>
            </w:pPr>
            <w:r w:rsidRPr="004653E7">
              <w:rPr>
                <w:rFonts w:ascii="Arial" w:hAnsi="Arial" w:cs="Arial"/>
                <w:sz w:val="20"/>
                <w:szCs w:val="20"/>
                <w:lang w:eastAsia="en-AU"/>
              </w:rPr>
              <w:t>3.1</w:t>
            </w:r>
            <w:r w:rsidR="002D5CD2">
              <w:rPr>
                <w:rFonts w:ascii="Arial" w:hAnsi="Arial" w:cs="Arial"/>
                <w:sz w:val="20"/>
                <w:szCs w:val="20"/>
                <w:lang w:eastAsia="en-AU"/>
              </w:rPr>
              <w:t>1</w:t>
            </w:r>
          </w:p>
        </w:tc>
        <w:tc>
          <w:tcPr>
            <w:tcW w:w="3411" w:type="dxa"/>
            <w:tcBorders>
              <w:top w:val="single" w:sz="4" w:space="0" w:color="auto"/>
              <w:left w:val="nil"/>
              <w:bottom w:val="single" w:sz="4" w:space="0" w:color="auto"/>
              <w:right w:val="single" w:sz="4" w:space="0" w:color="auto"/>
            </w:tcBorders>
            <w:shd w:val="clear" w:color="auto" w:fill="auto"/>
          </w:tcPr>
          <w:p w14:paraId="2A5E7DDD" w14:textId="1E7EE78F" w:rsidR="00472B56" w:rsidRPr="004653E7" w:rsidRDefault="00484EAD" w:rsidP="00472B56">
            <w:pPr>
              <w:rPr>
                <w:rFonts w:ascii="Arial" w:hAnsi="Arial" w:cs="Arial"/>
                <w:sz w:val="20"/>
                <w:szCs w:val="20"/>
                <w:lang w:eastAsia="en-AU"/>
              </w:rPr>
            </w:pPr>
            <w:r w:rsidRPr="004653E7">
              <w:rPr>
                <w:rFonts w:ascii="Arial" w:hAnsi="Arial" w:cs="Arial"/>
                <w:sz w:val="20"/>
                <w:szCs w:val="20"/>
                <w:lang w:eastAsia="en-AU"/>
              </w:rPr>
              <w:t xml:space="preserve">The quality, quantity, duration and diversity of student experience during work-integrated learning in the program is sufficient to produce a graduate who has demonstrated the knowledge, skills and professional attributes to </w:t>
            </w:r>
            <w:r w:rsidR="00414F37" w:rsidRPr="004653E7">
              <w:rPr>
                <w:rFonts w:ascii="Arial" w:hAnsi="Arial" w:cs="Arial"/>
                <w:sz w:val="20"/>
                <w:szCs w:val="20"/>
                <w:lang w:eastAsia="en-AU"/>
              </w:rPr>
              <w:t xml:space="preserve">safely and competently </w:t>
            </w:r>
            <w:r w:rsidR="00416B87" w:rsidRPr="00BA3715">
              <w:rPr>
                <w:rFonts w:ascii="Arial" w:eastAsia="Cambria" w:hAnsi="Arial" w:cs="Arial"/>
                <w:sz w:val="20"/>
                <w:szCs w:val="20"/>
              </w:rPr>
              <w:t>administer, obtain, possess, prescrib</w:t>
            </w:r>
            <w:r w:rsidR="00416B87">
              <w:rPr>
                <w:rFonts w:ascii="Arial" w:eastAsia="Cambria" w:hAnsi="Arial" w:cs="Arial"/>
                <w:sz w:val="20"/>
                <w:szCs w:val="20"/>
              </w:rPr>
              <w:t>e</w:t>
            </w:r>
            <w:r w:rsidR="00416B87" w:rsidRPr="00BA3715">
              <w:rPr>
                <w:rFonts w:ascii="Arial" w:eastAsia="Cambria" w:hAnsi="Arial" w:cs="Arial"/>
                <w:sz w:val="20"/>
                <w:szCs w:val="20"/>
              </w:rPr>
              <w:t>, sell, supply or us</w:t>
            </w:r>
            <w:r w:rsidR="00416B87">
              <w:rPr>
                <w:rFonts w:ascii="Arial" w:eastAsia="Cambria" w:hAnsi="Arial" w:cs="Arial"/>
                <w:sz w:val="20"/>
                <w:szCs w:val="20"/>
              </w:rPr>
              <w:t>e</w:t>
            </w:r>
            <w:r w:rsidR="00416B87" w:rsidRPr="00BA3715">
              <w:rPr>
                <w:rFonts w:ascii="Arial" w:eastAsia="Cambria" w:hAnsi="Arial" w:cs="Arial"/>
                <w:sz w:val="20"/>
                <w:szCs w:val="20"/>
              </w:rPr>
              <w:t xml:space="preserve"> Schedule 2, 3, 4 or 8 medicines </w:t>
            </w:r>
            <w:r w:rsidR="00472B56">
              <w:rPr>
                <w:rFonts w:ascii="Arial" w:eastAsia="Cambria" w:hAnsi="Arial" w:cs="Arial"/>
                <w:sz w:val="20"/>
                <w:szCs w:val="20"/>
              </w:rPr>
              <w:t xml:space="preserve">in a range of settings </w:t>
            </w:r>
            <w:r w:rsidR="00416B87" w:rsidRPr="00BA3715">
              <w:rPr>
                <w:rFonts w:ascii="Arial" w:eastAsia="Cambria" w:hAnsi="Arial" w:cs="Arial"/>
                <w:sz w:val="20"/>
                <w:szCs w:val="20"/>
              </w:rPr>
              <w:t>for the treatment of podiatric conditions</w:t>
            </w:r>
            <w:r w:rsidRPr="004653E7">
              <w:rPr>
                <w:rFonts w:ascii="Arial" w:hAnsi="Arial" w:cs="Arial"/>
                <w:sz w:val="20"/>
                <w:szCs w:val="20"/>
                <w:lang w:eastAsia="en-AU"/>
              </w:rPr>
              <w:t>.</w:t>
            </w:r>
          </w:p>
        </w:tc>
        <w:tc>
          <w:tcPr>
            <w:tcW w:w="5528" w:type="dxa"/>
            <w:tcBorders>
              <w:top w:val="single" w:sz="4" w:space="0" w:color="auto"/>
              <w:left w:val="nil"/>
              <w:bottom w:val="single" w:sz="4" w:space="0" w:color="auto"/>
              <w:right w:val="single" w:sz="4" w:space="0" w:color="auto"/>
            </w:tcBorders>
          </w:tcPr>
          <w:p w14:paraId="6C865E4B" w14:textId="118D58F7" w:rsidR="00F65CC4" w:rsidRDefault="00484EAD" w:rsidP="006B223F">
            <w:pPr>
              <w:pStyle w:val="ListParagraph"/>
              <w:numPr>
                <w:ilvl w:val="0"/>
                <w:numId w:val="12"/>
              </w:numPr>
              <w:jc w:val="left"/>
              <w:rPr>
                <w:sz w:val="20"/>
                <w:szCs w:val="20"/>
              </w:rPr>
            </w:pPr>
            <w:r w:rsidRPr="004653E7">
              <w:rPr>
                <w:sz w:val="20"/>
                <w:szCs w:val="20"/>
              </w:rPr>
              <w:t>Explanation about how the</w:t>
            </w:r>
            <w:r w:rsidR="00841123" w:rsidRPr="004653E7">
              <w:rPr>
                <w:sz w:val="20"/>
                <w:szCs w:val="20"/>
              </w:rPr>
              <w:t xml:space="preserve"> education</w:t>
            </w:r>
            <w:r w:rsidRPr="004653E7">
              <w:rPr>
                <w:sz w:val="20"/>
                <w:szCs w:val="20"/>
              </w:rPr>
              <w:t xml:space="preserve"> provider monitors the quality, quantity, duration and diversity of student experience during work-integrated learning</w:t>
            </w:r>
            <w:r w:rsidR="00E20793" w:rsidRPr="004653E7">
              <w:rPr>
                <w:sz w:val="20"/>
                <w:szCs w:val="20"/>
              </w:rPr>
              <w:t xml:space="preserve"> to ensure it is sufficient to produce graduates that demonstrate the knowledge, skills and professional attributes to safely and competently </w:t>
            </w:r>
            <w:r w:rsidR="00416B87" w:rsidRPr="00BA3715">
              <w:rPr>
                <w:rFonts w:eastAsia="Cambria"/>
                <w:sz w:val="20"/>
                <w:szCs w:val="20"/>
              </w:rPr>
              <w:t>administer, obtain, possess, prescrib</w:t>
            </w:r>
            <w:r w:rsidR="00416B87">
              <w:rPr>
                <w:rFonts w:eastAsia="Cambria"/>
                <w:sz w:val="20"/>
                <w:szCs w:val="20"/>
              </w:rPr>
              <w:t>e</w:t>
            </w:r>
            <w:r w:rsidR="00416B87" w:rsidRPr="00BA3715">
              <w:rPr>
                <w:rFonts w:eastAsia="Cambria"/>
                <w:sz w:val="20"/>
                <w:szCs w:val="20"/>
              </w:rPr>
              <w:t>, sell, supply or us</w:t>
            </w:r>
            <w:r w:rsidR="00416B87">
              <w:rPr>
                <w:rFonts w:eastAsia="Cambria"/>
                <w:sz w:val="20"/>
                <w:szCs w:val="20"/>
              </w:rPr>
              <w:t>e</w:t>
            </w:r>
            <w:r w:rsidR="00416B87" w:rsidRPr="00BA3715">
              <w:rPr>
                <w:rFonts w:eastAsia="Cambria"/>
                <w:sz w:val="20"/>
                <w:szCs w:val="20"/>
              </w:rPr>
              <w:t xml:space="preserve"> Schedule 2, 3, 4 or 8 medicines for the treatment of podiatric conditions</w:t>
            </w:r>
            <w:r w:rsidR="0033086C">
              <w:rPr>
                <w:sz w:val="20"/>
                <w:szCs w:val="20"/>
              </w:rPr>
              <w:t>.</w:t>
            </w:r>
            <w:r w:rsidR="00095918">
              <w:rPr>
                <w:sz w:val="20"/>
                <w:szCs w:val="20"/>
              </w:rPr>
              <w:t xml:space="preserve"> </w:t>
            </w:r>
          </w:p>
          <w:p w14:paraId="060F451B" w14:textId="002DBD86" w:rsidR="00484EAD" w:rsidRPr="004653E7" w:rsidRDefault="00484EAD" w:rsidP="006B223F">
            <w:pPr>
              <w:pStyle w:val="ListParagraph"/>
              <w:numPr>
                <w:ilvl w:val="0"/>
                <w:numId w:val="12"/>
              </w:numPr>
              <w:jc w:val="left"/>
              <w:rPr>
                <w:sz w:val="20"/>
                <w:szCs w:val="20"/>
              </w:rPr>
            </w:pPr>
            <w:r w:rsidRPr="004653E7">
              <w:rPr>
                <w:sz w:val="20"/>
                <w:szCs w:val="20"/>
              </w:rPr>
              <w:t>Examples of</w:t>
            </w:r>
            <w:r w:rsidR="00E20793" w:rsidRPr="004653E7">
              <w:rPr>
                <w:sz w:val="20"/>
                <w:szCs w:val="20"/>
              </w:rPr>
              <w:t xml:space="preserve"> implementation of</w:t>
            </w:r>
            <w:r w:rsidRPr="004653E7">
              <w:rPr>
                <w:sz w:val="20"/>
                <w:szCs w:val="20"/>
              </w:rPr>
              <w:t xml:space="preserve"> formal mechanisms</w:t>
            </w:r>
            <w:r w:rsidR="00E20793" w:rsidRPr="004653E7">
              <w:rPr>
                <w:sz w:val="20"/>
                <w:szCs w:val="20"/>
              </w:rPr>
              <w:t xml:space="preserve"> used</w:t>
            </w:r>
            <w:r w:rsidRPr="004653E7">
              <w:rPr>
                <w:sz w:val="20"/>
                <w:szCs w:val="20"/>
              </w:rPr>
              <w:t xml:space="preserve"> for monitoring </w:t>
            </w:r>
            <w:r w:rsidR="00B02B33">
              <w:rPr>
                <w:sz w:val="20"/>
                <w:szCs w:val="20"/>
              </w:rPr>
              <w:t xml:space="preserve">and evaluating </w:t>
            </w:r>
            <w:r w:rsidRPr="004653E7">
              <w:rPr>
                <w:sz w:val="20"/>
                <w:szCs w:val="20"/>
              </w:rPr>
              <w:t>the quality, quantity, duration and diversity of student experience during work-integrated learning.</w:t>
            </w:r>
          </w:p>
        </w:tc>
      </w:tr>
      <w:tr w:rsidR="002E33AC" w:rsidRPr="004653E7" w14:paraId="7302BCC9" w14:textId="77777777" w:rsidTr="000136C4">
        <w:trPr>
          <w:trHeight w:val="555"/>
        </w:trPr>
        <w:tc>
          <w:tcPr>
            <w:tcW w:w="700" w:type="dxa"/>
            <w:tcBorders>
              <w:top w:val="single" w:sz="4" w:space="0" w:color="auto"/>
              <w:left w:val="single" w:sz="4" w:space="0" w:color="auto"/>
              <w:bottom w:val="single" w:sz="4" w:space="0" w:color="auto"/>
              <w:right w:val="single" w:sz="4" w:space="0" w:color="auto"/>
            </w:tcBorders>
            <w:shd w:val="clear" w:color="auto" w:fill="auto"/>
          </w:tcPr>
          <w:p w14:paraId="4168A721" w14:textId="0E5328F3" w:rsidR="002E33AC" w:rsidRPr="004653E7" w:rsidRDefault="002E33AC" w:rsidP="002E33AC">
            <w:pPr>
              <w:rPr>
                <w:rFonts w:ascii="Arial" w:hAnsi="Arial" w:cs="Arial"/>
                <w:sz w:val="20"/>
                <w:szCs w:val="20"/>
                <w:lang w:eastAsia="en-AU"/>
              </w:rPr>
            </w:pPr>
            <w:r w:rsidRPr="004653E7">
              <w:rPr>
                <w:rFonts w:ascii="Arial" w:hAnsi="Arial" w:cs="Arial"/>
                <w:sz w:val="20"/>
                <w:szCs w:val="20"/>
                <w:lang w:eastAsia="en-AU"/>
              </w:rPr>
              <w:t>3.1</w:t>
            </w:r>
            <w:r w:rsidR="002D5CD2">
              <w:rPr>
                <w:rFonts w:ascii="Arial" w:hAnsi="Arial" w:cs="Arial"/>
                <w:sz w:val="20"/>
                <w:szCs w:val="20"/>
                <w:lang w:eastAsia="en-AU"/>
              </w:rPr>
              <w:t>2</w:t>
            </w:r>
          </w:p>
        </w:tc>
        <w:tc>
          <w:tcPr>
            <w:tcW w:w="3411" w:type="dxa"/>
            <w:tcBorders>
              <w:top w:val="single" w:sz="4" w:space="0" w:color="auto"/>
              <w:left w:val="nil"/>
              <w:bottom w:val="single" w:sz="4" w:space="0" w:color="auto"/>
              <w:right w:val="single" w:sz="4" w:space="0" w:color="auto"/>
            </w:tcBorders>
            <w:shd w:val="clear" w:color="auto" w:fill="auto"/>
          </w:tcPr>
          <w:p w14:paraId="0E748C20" w14:textId="7C95A148" w:rsidR="002E33AC" w:rsidRPr="004653E7" w:rsidRDefault="002E33AC" w:rsidP="002E33AC">
            <w:pPr>
              <w:rPr>
                <w:rFonts w:ascii="Arial" w:hAnsi="Arial" w:cs="Arial"/>
                <w:sz w:val="20"/>
                <w:szCs w:val="20"/>
                <w:lang w:eastAsia="en-AU"/>
              </w:rPr>
            </w:pPr>
            <w:r w:rsidRPr="004653E7">
              <w:rPr>
                <w:rFonts w:ascii="Arial" w:hAnsi="Arial" w:cs="Arial"/>
                <w:sz w:val="20"/>
                <w:szCs w:val="20"/>
                <w:lang w:eastAsia="en-AU"/>
              </w:rPr>
              <w:t xml:space="preserve">The education provider appoints academic staff at an appropriate level to implement </w:t>
            </w:r>
            <w:r w:rsidR="0062419A">
              <w:rPr>
                <w:rFonts w:ascii="Arial" w:hAnsi="Arial" w:cs="Arial"/>
                <w:sz w:val="20"/>
                <w:szCs w:val="20"/>
                <w:lang w:eastAsia="en-AU"/>
              </w:rPr>
              <w:t xml:space="preserve">each </w:t>
            </w:r>
            <w:r>
              <w:rPr>
                <w:rFonts w:ascii="Arial" w:hAnsi="Arial" w:cs="Arial"/>
                <w:sz w:val="20"/>
                <w:szCs w:val="20"/>
                <w:lang w:eastAsia="en-AU"/>
              </w:rPr>
              <w:t>unit/</w:t>
            </w:r>
            <w:r w:rsidR="00A724B9">
              <w:rPr>
                <w:rFonts w:ascii="Arial" w:hAnsi="Arial" w:cs="Arial"/>
                <w:sz w:val="20"/>
                <w:szCs w:val="20"/>
                <w:lang w:eastAsia="en-AU"/>
              </w:rPr>
              <w:t>subject</w:t>
            </w:r>
            <w:r w:rsidR="00F47968">
              <w:rPr>
                <w:rFonts w:ascii="Arial" w:hAnsi="Arial" w:cs="Arial"/>
                <w:sz w:val="20"/>
                <w:szCs w:val="20"/>
                <w:lang w:eastAsia="en-AU"/>
              </w:rPr>
              <w:t>.</w:t>
            </w:r>
          </w:p>
          <w:p w14:paraId="28304F0A" w14:textId="77777777" w:rsidR="002E33AC" w:rsidRPr="004653E7" w:rsidRDefault="002E33AC" w:rsidP="002E33AC">
            <w:pPr>
              <w:rPr>
                <w:rFonts w:ascii="Arial" w:hAnsi="Arial" w:cs="Arial"/>
                <w:sz w:val="20"/>
                <w:szCs w:val="20"/>
                <w:lang w:eastAsia="en-AU"/>
              </w:rPr>
            </w:pPr>
          </w:p>
          <w:p w14:paraId="66E0697D" w14:textId="77777777" w:rsidR="002E33AC" w:rsidRPr="004653E7" w:rsidRDefault="002E33AC" w:rsidP="002E33AC">
            <w:pPr>
              <w:rPr>
                <w:rFonts w:ascii="Arial" w:hAnsi="Arial" w:cs="Arial"/>
                <w:sz w:val="20"/>
                <w:szCs w:val="20"/>
                <w:lang w:eastAsia="en-AU"/>
              </w:rPr>
            </w:pPr>
          </w:p>
        </w:tc>
        <w:tc>
          <w:tcPr>
            <w:tcW w:w="5528" w:type="dxa"/>
            <w:tcBorders>
              <w:top w:val="single" w:sz="4" w:space="0" w:color="auto"/>
              <w:left w:val="nil"/>
              <w:bottom w:val="single" w:sz="4" w:space="0" w:color="auto"/>
              <w:right w:val="single" w:sz="4" w:space="0" w:color="auto"/>
            </w:tcBorders>
          </w:tcPr>
          <w:p w14:paraId="6054FAF0" w14:textId="2266D876" w:rsidR="002E33AC" w:rsidRPr="004653E7" w:rsidRDefault="002E33AC" w:rsidP="006B223F">
            <w:pPr>
              <w:pStyle w:val="ListParagraph"/>
              <w:numPr>
                <w:ilvl w:val="0"/>
                <w:numId w:val="12"/>
              </w:numPr>
              <w:jc w:val="left"/>
              <w:rPr>
                <w:rFonts w:eastAsia="MS Mincho"/>
                <w:sz w:val="20"/>
                <w:szCs w:val="20"/>
              </w:rPr>
            </w:pPr>
            <w:r w:rsidRPr="004653E7">
              <w:rPr>
                <w:rFonts w:eastAsia="MS Mincho"/>
                <w:sz w:val="20"/>
                <w:szCs w:val="20"/>
              </w:rPr>
              <w:t xml:space="preserve">Staffing profile for staff responsible for implementation of the </w:t>
            </w:r>
            <w:r>
              <w:rPr>
                <w:rFonts w:eastAsia="MS Mincho"/>
                <w:sz w:val="20"/>
                <w:szCs w:val="20"/>
              </w:rPr>
              <w:t>unit/subject</w:t>
            </w:r>
            <w:r w:rsidRPr="004653E7">
              <w:rPr>
                <w:rFonts w:eastAsia="MS Mincho"/>
                <w:sz w:val="20"/>
                <w:szCs w:val="20"/>
              </w:rPr>
              <w:t>, identifying</w:t>
            </w:r>
            <w:r>
              <w:rPr>
                <w:rFonts w:eastAsia="MS Mincho"/>
                <w:sz w:val="20"/>
                <w:szCs w:val="20"/>
              </w:rPr>
              <w:t xml:space="preserve"> </w:t>
            </w:r>
            <w:proofErr w:type="spellStart"/>
            <w:r>
              <w:rPr>
                <w:rFonts w:eastAsia="MS Mincho"/>
                <w:sz w:val="20"/>
                <w:szCs w:val="20"/>
              </w:rPr>
              <w:t>their</w:t>
            </w:r>
            <w:proofErr w:type="spellEnd"/>
            <w:r w:rsidRPr="004653E7">
              <w:rPr>
                <w:rFonts w:eastAsia="MS Mincho"/>
                <w:sz w:val="20"/>
                <w:szCs w:val="20"/>
              </w:rPr>
              <w:t>:</w:t>
            </w:r>
          </w:p>
          <w:p w14:paraId="372BADE4" w14:textId="77777777" w:rsidR="002E33AC" w:rsidRPr="004653E7" w:rsidRDefault="002E33AC" w:rsidP="006B223F">
            <w:pPr>
              <w:pStyle w:val="ListParagraph"/>
              <w:numPr>
                <w:ilvl w:val="0"/>
                <w:numId w:val="29"/>
              </w:numPr>
              <w:ind w:left="647" w:hanging="284"/>
              <w:jc w:val="left"/>
              <w:rPr>
                <w:rFonts w:eastAsia="MS Mincho"/>
                <w:sz w:val="20"/>
                <w:szCs w:val="20"/>
              </w:rPr>
            </w:pPr>
            <w:r w:rsidRPr="004653E7">
              <w:rPr>
                <w:rFonts w:eastAsia="MS Mincho"/>
                <w:sz w:val="20"/>
                <w:szCs w:val="20"/>
              </w:rPr>
              <w:t>academic level of appointment</w:t>
            </w:r>
          </w:p>
          <w:p w14:paraId="21BAE277" w14:textId="529DCD62" w:rsidR="002E33AC" w:rsidRPr="004653E7" w:rsidRDefault="002E33AC" w:rsidP="006B223F">
            <w:pPr>
              <w:pStyle w:val="ListParagraph"/>
              <w:numPr>
                <w:ilvl w:val="0"/>
                <w:numId w:val="29"/>
              </w:numPr>
              <w:ind w:left="647" w:hanging="284"/>
              <w:jc w:val="left"/>
              <w:rPr>
                <w:rFonts w:eastAsia="MS Mincho"/>
                <w:sz w:val="20"/>
                <w:szCs w:val="20"/>
              </w:rPr>
            </w:pPr>
            <w:r w:rsidRPr="004653E7">
              <w:rPr>
                <w:rFonts w:eastAsia="MS Mincho"/>
                <w:sz w:val="20"/>
                <w:szCs w:val="20"/>
              </w:rPr>
              <w:t xml:space="preserve">role in </w:t>
            </w:r>
            <w:r w:rsidRPr="004653E7">
              <w:rPr>
                <w:sz w:val="20"/>
                <w:szCs w:val="20"/>
              </w:rPr>
              <w:t>implementation</w:t>
            </w:r>
            <w:r w:rsidRPr="004653E7">
              <w:rPr>
                <w:rFonts w:eastAsia="MS Mincho"/>
                <w:sz w:val="20"/>
                <w:szCs w:val="20"/>
              </w:rPr>
              <w:t xml:space="preserve"> of </w:t>
            </w:r>
            <w:r w:rsidR="0088785C">
              <w:rPr>
                <w:rFonts w:eastAsia="MS Mincho"/>
                <w:sz w:val="20"/>
                <w:szCs w:val="20"/>
              </w:rPr>
              <w:t>each</w:t>
            </w:r>
            <w:r w:rsidR="0088785C" w:rsidRPr="004653E7">
              <w:rPr>
                <w:rFonts w:eastAsia="MS Mincho"/>
                <w:sz w:val="20"/>
                <w:szCs w:val="20"/>
              </w:rPr>
              <w:t xml:space="preserve"> </w:t>
            </w:r>
            <w:r>
              <w:rPr>
                <w:rFonts w:eastAsia="MS Mincho"/>
                <w:sz w:val="20"/>
                <w:szCs w:val="20"/>
              </w:rPr>
              <w:t>unit/subject</w:t>
            </w:r>
            <w:r w:rsidRPr="004653E7">
              <w:rPr>
                <w:rFonts w:eastAsia="MS Mincho"/>
                <w:sz w:val="20"/>
                <w:szCs w:val="20"/>
              </w:rPr>
              <w:t xml:space="preserve"> </w:t>
            </w:r>
          </w:p>
          <w:p w14:paraId="198EB285" w14:textId="77777777" w:rsidR="002E33AC" w:rsidRPr="004653E7" w:rsidRDefault="002E33AC" w:rsidP="006B223F">
            <w:pPr>
              <w:pStyle w:val="ListParagraph"/>
              <w:numPr>
                <w:ilvl w:val="0"/>
                <w:numId w:val="29"/>
              </w:numPr>
              <w:ind w:left="647" w:hanging="284"/>
              <w:jc w:val="left"/>
              <w:rPr>
                <w:rFonts w:eastAsia="MS Mincho"/>
                <w:sz w:val="20"/>
                <w:szCs w:val="20"/>
              </w:rPr>
            </w:pPr>
            <w:r w:rsidRPr="004653E7">
              <w:rPr>
                <w:rFonts w:eastAsia="MS Mincho"/>
                <w:sz w:val="20"/>
                <w:szCs w:val="20"/>
              </w:rPr>
              <w:t>fraction (full-time, part-time) and type (ongoing, contract, casual) of their appointment</w:t>
            </w:r>
          </w:p>
          <w:p w14:paraId="12635024" w14:textId="77777777" w:rsidR="002E33AC" w:rsidRPr="004653E7" w:rsidRDefault="002E33AC" w:rsidP="006B223F">
            <w:pPr>
              <w:pStyle w:val="ListParagraph"/>
              <w:numPr>
                <w:ilvl w:val="0"/>
                <w:numId w:val="29"/>
              </w:numPr>
              <w:ind w:left="647" w:hanging="284"/>
              <w:jc w:val="left"/>
              <w:rPr>
                <w:rFonts w:eastAsia="MS Mincho"/>
                <w:sz w:val="20"/>
                <w:szCs w:val="20"/>
              </w:rPr>
            </w:pPr>
            <w:r w:rsidRPr="004653E7">
              <w:rPr>
                <w:rFonts w:eastAsia="MS Mincho"/>
                <w:sz w:val="20"/>
                <w:szCs w:val="20"/>
              </w:rPr>
              <w:t>qualifications and experience relevant to their responsibilities</w:t>
            </w:r>
          </w:p>
          <w:p w14:paraId="6E24EA88" w14:textId="0ADD0C2F" w:rsidR="002E33AC" w:rsidRDefault="002E33AC" w:rsidP="006B223F">
            <w:pPr>
              <w:pStyle w:val="ListParagraph"/>
              <w:numPr>
                <w:ilvl w:val="0"/>
                <w:numId w:val="29"/>
              </w:numPr>
              <w:ind w:left="647" w:hanging="284"/>
              <w:jc w:val="left"/>
              <w:rPr>
                <w:rFonts w:eastAsia="MS Mincho"/>
                <w:sz w:val="20"/>
                <w:szCs w:val="20"/>
              </w:rPr>
            </w:pPr>
            <w:r w:rsidRPr="004653E7">
              <w:rPr>
                <w:rFonts w:eastAsia="MS Mincho"/>
                <w:sz w:val="20"/>
                <w:szCs w:val="20"/>
              </w:rPr>
              <w:t>relevant registration status, and</w:t>
            </w:r>
            <w:r w:rsidR="00F47968">
              <w:rPr>
                <w:rFonts w:eastAsia="MS Mincho"/>
                <w:sz w:val="20"/>
                <w:szCs w:val="20"/>
              </w:rPr>
              <w:t xml:space="preserve"> </w:t>
            </w:r>
            <w:r w:rsidRPr="00F47968">
              <w:rPr>
                <w:rFonts w:eastAsia="MS Mincho"/>
                <w:sz w:val="20"/>
                <w:szCs w:val="20"/>
              </w:rPr>
              <w:t>engagement in further learning related to their role and responsibilities.</w:t>
            </w:r>
          </w:p>
          <w:p w14:paraId="4A3BCBB5" w14:textId="0DD049DF" w:rsidR="00F47968" w:rsidRPr="00F47968" w:rsidRDefault="00F47968" w:rsidP="006B223F">
            <w:pPr>
              <w:pStyle w:val="ListParagraph"/>
              <w:numPr>
                <w:ilvl w:val="0"/>
                <w:numId w:val="12"/>
              </w:numPr>
              <w:jc w:val="left"/>
              <w:rPr>
                <w:sz w:val="20"/>
                <w:szCs w:val="20"/>
              </w:rPr>
            </w:pPr>
            <w:r>
              <w:rPr>
                <w:sz w:val="20"/>
                <w:szCs w:val="20"/>
              </w:rPr>
              <w:t xml:space="preserve">Description of and examples that show the mechanisms by which the </w:t>
            </w:r>
            <w:r w:rsidRPr="00F47968">
              <w:rPr>
                <w:rFonts w:eastAsia="Cambria"/>
                <w:sz w:val="20"/>
                <w:szCs w:val="20"/>
              </w:rPr>
              <w:t>education</w:t>
            </w:r>
            <w:r>
              <w:rPr>
                <w:sz w:val="20"/>
                <w:szCs w:val="20"/>
              </w:rPr>
              <w:t xml:space="preserve"> provider ensures staff demonstrate culturally safe practice in the delivery of programs.</w:t>
            </w:r>
          </w:p>
        </w:tc>
      </w:tr>
      <w:tr w:rsidR="00670491" w:rsidRPr="004653E7" w14:paraId="5578D1D5" w14:textId="77777777" w:rsidTr="000136C4">
        <w:trPr>
          <w:trHeight w:val="555"/>
        </w:trPr>
        <w:tc>
          <w:tcPr>
            <w:tcW w:w="700" w:type="dxa"/>
            <w:tcBorders>
              <w:top w:val="single" w:sz="4" w:space="0" w:color="auto"/>
              <w:left w:val="single" w:sz="4" w:space="0" w:color="auto"/>
              <w:bottom w:val="single" w:sz="4" w:space="0" w:color="auto"/>
              <w:right w:val="single" w:sz="4" w:space="0" w:color="auto"/>
            </w:tcBorders>
            <w:shd w:val="clear" w:color="auto" w:fill="auto"/>
          </w:tcPr>
          <w:p w14:paraId="56941AAC" w14:textId="20513FC4" w:rsidR="00670491" w:rsidRPr="004653E7" w:rsidRDefault="00670491" w:rsidP="00670491">
            <w:pPr>
              <w:rPr>
                <w:rFonts w:ascii="Arial" w:hAnsi="Arial" w:cs="Arial"/>
                <w:sz w:val="20"/>
                <w:szCs w:val="20"/>
                <w:lang w:eastAsia="en-AU"/>
              </w:rPr>
            </w:pPr>
            <w:r>
              <w:rPr>
                <w:rFonts w:ascii="Arial" w:hAnsi="Arial" w:cs="Arial"/>
                <w:sz w:val="20"/>
                <w:szCs w:val="20"/>
                <w:lang w:eastAsia="en-AU"/>
              </w:rPr>
              <w:t>3.13</w:t>
            </w:r>
          </w:p>
        </w:tc>
        <w:tc>
          <w:tcPr>
            <w:tcW w:w="3411" w:type="dxa"/>
            <w:tcBorders>
              <w:top w:val="single" w:sz="4" w:space="0" w:color="auto"/>
              <w:left w:val="nil"/>
              <w:bottom w:val="single" w:sz="4" w:space="0" w:color="auto"/>
              <w:right w:val="single" w:sz="4" w:space="0" w:color="auto"/>
            </w:tcBorders>
            <w:shd w:val="clear" w:color="auto" w:fill="auto"/>
          </w:tcPr>
          <w:p w14:paraId="0AD0098F" w14:textId="76972389" w:rsidR="00670491" w:rsidRPr="004653E7" w:rsidRDefault="00670491" w:rsidP="00670491">
            <w:pPr>
              <w:rPr>
                <w:rFonts w:ascii="Arial" w:hAnsi="Arial" w:cs="Arial"/>
                <w:sz w:val="20"/>
                <w:szCs w:val="20"/>
                <w:lang w:eastAsia="en-AU"/>
              </w:rPr>
            </w:pPr>
            <w:r>
              <w:rPr>
                <w:rFonts w:ascii="Arial" w:hAnsi="Arial" w:cs="Arial"/>
                <w:sz w:val="20"/>
                <w:szCs w:val="20"/>
                <w:lang w:eastAsia="en-AU"/>
              </w:rPr>
              <w:t>The education provider offers development opportunities for staff to stay abreast of educational approaches and technologies.</w:t>
            </w:r>
          </w:p>
        </w:tc>
        <w:tc>
          <w:tcPr>
            <w:tcW w:w="5528" w:type="dxa"/>
            <w:tcBorders>
              <w:top w:val="single" w:sz="4" w:space="0" w:color="auto"/>
              <w:left w:val="nil"/>
              <w:bottom w:val="single" w:sz="4" w:space="0" w:color="auto"/>
              <w:right w:val="single" w:sz="4" w:space="0" w:color="auto"/>
            </w:tcBorders>
          </w:tcPr>
          <w:p w14:paraId="6A0B7AF4" w14:textId="1F3B2426" w:rsidR="00670491" w:rsidRPr="004653E7" w:rsidRDefault="00670491" w:rsidP="00670491">
            <w:pPr>
              <w:pStyle w:val="ListParagraph"/>
              <w:numPr>
                <w:ilvl w:val="0"/>
                <w:numId w:val="12"/>
              </w:numPr>
              <w:jc w:val="left"/>
              <w:rPr>
                <w:rFonts w:eastAsia="MS Mincho"/>
                <w:sz w:val="20"/>
                <w:szCs w:val="20"/>
              </w:rPr>
            </w:pPr>
            <w:r>
              <w:rPr>
                <w:rFonts w:eastAsia="MS Mincho"/>
                <w:sz w:val="20"/>
                <w:szCs w:val="20"/>
              </w:rPr>
              <w:t>Details of development opportunities and staff engagement in these.</w:t>
            </w:r>
          </w:p>
        </w:tc>
      </w:tr>
      <w:tr w:rsidR="00670491" w:rsidRPr="004653E7" w14:paraId="57AED711" w14:textId="77777777" w:rsidTr="00863470">
        <w:trPr>
          <w:trHeight w:val="348"/>
        </w:trPr>
        <w:tc>
          <w:tcPr>
            <w:tcW w:w="700" w:type="dxa"/>
            <w:tcBorders>
              <w:top w:val="single" w:sz="4" w:space="0" w:color="auto"/>
              <w:left w:val="single" w:sz="4" w:space="0" w:color="auto"/>
              <w:bottom w:val="single" w:sz="4" w:space="0" w:color="auto"/>
              <w:right w:val="single" w:sz="4" w:space="0" w:color="auto"/>
            </w:tcBorders>
            <w:shd w:val="clear" w:color="auto" w:fill="auto"/>
          </w:tcPr>
          <w:p w14:paraId="7B7ECC5F" w14:textId="135932E8" w:rsidR="00670491" w:rsidRPr="004653E7" w:rsidRDefault="00670491" w:rsidP="00670491">
            <w:pPr>
              <w:rPr>
                <w:rFonts w:ascii="Arial" w:hAnsi="Arial" w:cs="Arial"/>
                <w:sz w:val="20"/>
                <w:szCs w:val="20"/>
                <w:lang w:eastAsia="en-AU"/>
              </w:rPr>
            </w:pPr>
            <w:r w:rsidRPr="004653E7">
              <w:rPr>
                <w:rFonts w:ascii="Arial" w:hAnsi="Arial" w:cs="Arial"/>
                <w:sz w:val="20"/>
                <w:szCs w:val="20"/>
                <w:lang w:eastAsia="en-AU"/>
              </w:rPr>
              <w:t>3.1</w:t>
            </w:r>
            <w:r>
              <w:rPr>
                <w:rFonts w:ascii="Arial" w:hAnsi="Arial" w:cs="Arial"/>
                <w:sz w:val="20"/>
                <w:szCs w:val="20"/>
                <w:lang w:eastAsia="en-AU"/>
              </w:rPr>
              <w:t>4</w:t>
            </w:r>
          </w:p>
        </w:tc>
        <w:tc>
          <w:tcPr>
            <w:tcW w:w="3411" w:type="dxa"/>
            <w:tcBorders>
              <w:top w:val="single" w:sz="4" w:space="0" w:color="auto"/>
              <w:left w:val="nil"/>
              <w:bottom w:val="single" w:sz="4" w:space="0" w:color="auto"/>
              <w:right w:val="single" w:sz="4" w:space="0" w:color="auto"/>
            </w:tcBorders>
            <w:shd w:val="clear" w:color="auto" w:fill="auto"/>
          </w:tcPr>
          <w:p w14:paraId="4A73587D" w14:textId="0F39AA63" w:rsidR="00670491" w:rsidRPr="004653E7" w:rsidRDefault="00670491" w:rsidP="00670491">
            <w:pPr>
              <w:rPr>
                <w:rFonts w:ascii="Arial" w:hAnsi="Arial" w:cs="Arial"/>
                <w:sz w:val="20"/>
                <w:szCs w:val="20"/>
                <w:lang w:eastAsia="en-AU"/>
              </w:rPr>
            </w:pPr>
            <w:r>
              <w:rPr>
                <w:rFonts w:ascii="Arial" w:hAnsi="Arial" w:cs="Arial"/>
                <w:sz w:val="20"/>
                <w:szCs w:val="20"/>
                <w:lang w:eastAsia="en-AU"/>
              </w:rPr>
              <w:t>Each</w:t>
            </w:r>
            <w:r w:rsidRPr="004653E7">
              <w:rPr>
                <w:rFonts w:ascii="Arial" w:hAnsi="Arial" w:cs="Arial"/>
                <w:sz w:val="20"/>
                <w:szCs w:val="20"/>
                <w:lang w:eastAsia="en-AU"/>
              </w:rPr>
              <w:t xml:space="preserve"> </w:t>
            </w:r>
            <w:r w:rsidRPr="002A0294">
              <w:rPr>
                <w:rFonts w:ascii="Arial" w:eastAsia="Cambria" w:hAnsi="Arial" w:cs="Arial"/>
                <w:sz w:val="20"/>
                <w:szCs w:val="20"/>
              </w:rPr>
              <w:t>unit/subject</w:t>
            </w:r>
            <w:r w:rsidRPr="004653E7" w:rsidDel="006C5B3C">
              <w:rPr>
                <w:rFonts w:ascii="Arial" w:hAnsi="Arial" w:cs="Arial"/>
                <w:sz w:val="20"/>
                <w:szCs w:val="20"/>
                <w:lang w:eastAsia="en-AU"/>
              </w:rPr>
              <w:t xml:space="preserve"> </w:t>
            </w:r>
            <w:r w:rsidRPr="004653E7">
              <w:rPr>
                <w:rFonts w:ascii="Arial" w:hAnsi="Arial" w:cs="Arial"/>
                <w:sz w:val="20"/>
                <w:szCs w:val="20"/>
                <w:lang w:eastAsia="en-AU"/>
              </w:rPr>
              <w:t xml:space="preserve">has the level and range of facilities and equipment to sustain the quality and scope of education needed for students to achieve all the </w:t>
            </w:r>
            <w:r w:rsidRPr="004653E7">
              <w:rPr>
                <w:rFonts w:ascii="Arial" w:hAnsi="Arial" w:cs="Arial"/>
                <w:sz w:val="20"/>
                <w:szCs w:val="20"/>
              </w:rPr>
              <w:t xml:space="preserve">professional </w:t>
            </w:r>
            <w:r w:rsidRPr="004653E7">
              <w:rPr>
                <w:rFonts w:ascii="Arial" w:hAnsi="Arial" w:cs="Arial"/>
                <w:sz w:val="20"/>
                <w:szCs w:val="20"/>
              </w:rPr>
              <w:lastRenderedPageBreak/>
              <w:t>capabilities</w:t>
            </w:r>
            <w:r>
              <w:rPr>
                <w:rFonts w:ascii="Arial" w:hAnsi="Arial" w:cs="Arial"/>
                <w:sz w:val="20"/>
                <w:szCs w:val="20"/>
              </w:rPr>
              <w:t xml:space="preserve"> required</w:t>
            </w:r>
            <w:r w:rsidRPr="004653E7">
              <w:rPr>
                <w:rFonts w:ascii="Arial" w:hAnsi="Arial" w:cs="Arial"/>
                <w:sz w:val="20"/>
                <w:szCs w:val="20"/>
              </w:rPr>
              <w:t xml:space="preserve"> for </w:t>
            </w:r>
            <w:r>
              <w:rPr>
                <w:rFonts w:ascii="Arial" w:hAnsi="Arial" w:cs="Arial"/>
                <w:sz w:val="20"/>
                <w:szCs w:val="20"/>
                <w:lang w:eastAsia="en-AU"/>
              </w:rPr>
              <w:t>endorsement of registration for scheduled medicines</w:t>
            </w:r>
            <w:r>
              <w:rPr>
                <w:rFonts w:ascii="Arial" w:hAnsi="Arial" w:cs="Arial"/>
                <w:sz w:val="20"/>
                <w:szCs w:val="20"/>
              </w:rPr>
              <w:t>.</w:t>
            </w:r>
          </w:p>
        </w:tc>
        <w:tc>
          <w:tcPr>
            <w:tcW w:w="5528" w:type="dxa"/>
            <w:tcBorders>
              <w:top w:val="single" w:sz="4" w:space="0" w:color="auto"/>
              <w:left w:val="nil"/>
              <w:bottom w:val="single" w:sz="4" w:space="0" w:color="auto"/>
              <w:right w:val="single" w:sz="4" w:space="0" w:color="auto"/>
            </w:tcBorders>
          </w:tcPr>
          <w:p w14:paraId="4616968A" w14:textId="324A4A2B" w:rsidR="00670491" w:rsidRPr="004653E7" w:rsidRDefault="00670491" w:rsidP="00670491">
            <w:pPr>
              <w:pStyle w:val="ListParagraph"/>
              <w:numPr>
                <w:ilvl w:val="0"/>
                <w:numId w:val="30"/>
              </w:numPr>
              <w:jc w:val="left"/>
              <w:rPr>
                <w:sz w:val="20"/>
                <w:szCs w:val="20"/>
              </w:rPr>
            </w:pPr>
            <w:r w:rsidRPr="004653E7">
              <w:rPr>
                <w:sz w:val="20"/>
                <w:szCs w:val="20"/>
              </w:rPr>
              <w:lastRenderedPageBreak/>
              <w:t xml:space="preserve">Letter from the Vice Chancellor (or delegate) confirming ongoing support for the quality and resourcing of </w:t>
            </w:r>
            <w:r>
              <w:rPr>
                <w:sz w:val="20"/>
                <w:szCs w:val="20"/>
              </w:rPr>
              <w:t>each</w:t>
            </w:r>
            <w:r w:rsidRPr="004653E7">
              <w:rPr>
                <w:sz w:val="20"/>
                <w:szCs w:val="20"/>
              </w:rPr>
              <w:t xml:space="preserve"> </w:t>
            </w:r>
            <w:r w:rsidRPr="002A0294">
              <w:rPr>
                <w:rFonts w:eastAsia="Cambria"/>
                <w:sz w:val="20"/>
                <w:szCs w:val="20"/>
              </w:rPr>
              <w:t>unit/subject</w:t>
            </w:r>
            <w:r w:rsidRPr="004653E7">
              <w:rPr>
                <w:sz w:val="20"/>
                <w:szCs w:val="20"/>
              </w:rPr>
              <w:t>.</w:t>
            </w:r>
          </w:p>
          <w:p w14:paraId="6B9A11E2" w14:textId="670C21EB" w:rsidR="00670491" w:rsidRPr="004653E7" w:rsidRDefault="00670491" w:rsidP="00670491">
            <w:pPr>
              <w:pStyle w:val="AHPRABulletlevel1"/>
              <w:numPr>
                <w:ilvl w:val="0"/>
                <w:numId w:val="14"/>
              </w:numPr>
            </w:pPr>
            <w:r w:rsidRPr="004653E7">
              <w:rPr>
                <w:rFonts w:eastAsia="MS Mincho"/>
                <w:szCs w:val="20"/>
              </w:rPr>
              <w:t>Description of, and examples that show, the facilities and equipment used</w:t>
            </w:r>
            <w:r>
              <w:rPr>
                <w:rFonts w:eastAsia="MS Mincho"/>
                <w:szCs w:val="20"/>
              </w:rPr>
              <w:t xml:space="preserve"> by the education provider</w:t>
            </w:r>
            <w:r w:rsidRPr="004653E7">
              <w:rPr>
                <w:rFonts w:eastAsia="MS Mincho"/>
                <w:szCs w:val="20"/>
              </w:rPr>
              <w:t xml:space="preserve"> for </w:t>
            </w:r>
            <w:r w:rsidRPr="004653E7">
              <w:rPr>
                <w:rFonts w:eastAsia="MS Mincho"/>
                <w:szCs w:val="20"/>
              </w:rPr>
              <w:lastRenderedPageBreak/>
              <w:t xml:space="preserve">teaching and learning in </w:t>
            </w:r>
            <w:r>
              <w:rPr>
                <w:rFonts w:eastAsia="MS Mincho"/>
                <w:szCs w:val="20"/>
              </w:rPr>
              <w:t>each</w:t>
            </w:r>
            <w:r w:rsidRPr="004653E7">
              <w:rPr>
                <w:rFonts w:eastAsia="MS Mincho"/>
                <w:szCs w:val="20"/>
              </w:rPr>
              <w:t xml:space="preserve"> </w:t>
            </w:r>
            <w:r w:rsidRPr="002A0294">
              <w:rPr>
                <w:rFonts w:cs="Arial"/>
                <w:szCs w:val="20"/>
              </w:rPr>
              <w:t>unit/subject</w:t>
            </w:r>
            <w:r w:rsidRPr="004653E7" w:rsidDel="006C5B3C">
              <w:rPr>
                <w:rFonts w:eastAsia="MS Mincho"/>
                <w:szCs w:val="20"/>
              </w:rPr>
              <w:t xml:space="preserve"> </w:t>
            </w:r>
            <w:r w:rsidRPr="004653E7">
              <w:rPr>
                <w:rFonts w:eastAsia="MS Mincho"/>
                <w:szCs w:val="20"/>
              </w:rPr>
              <w:t>enable students to achieve all the professional capabilities.</w:t>
            </w:r>
          </w:p>
          <w:p w14:paraId="10ACFE92" w14:textId="577E2D74" w:rsidR="00670491" w:rsidRPr="004653E7" w:rsidRDefault="00670491" w:rsidP="00670491">
            <w:pPr>
              <w:pStyle w:val="AHPRABulletlevel1"/>
              <w:numPr>
                <w:ilvl w:val="0"/>
                <w:numId w:val="14"/>
              </w:numPr>
            </w:pPr>
            <w:r w:rsidRPr="004653E7">
              <w:t xml:space="preserve">List of all equipment used </w:t>
            </w:r>
            <w:r w:rsidRPr="004653E7">
              <w:rPr>
                <w:rFonts w:eastAsia="MS Mincho"/>
                <w:szCs w:val="20"/>
              </w:rPr>
              <w:t>by the education provider</w:t>
            </w:r>
            <w:r w:rsidRPr="004653E7">
              <w:t xml:space="preserve"> for teaching and learning in </w:t>
            </w:r>
            <w:r>
              <w:t>each</w:t>
            </w:r>
            <w:r w:rsidRPr="004653E7">
              <w:t xml:space="preserve"> </w:t>
            </w:r>
            <w:r w:rsidRPr="002A0294">
              <w:rPr>
                <w:rFonts w:cs="Arial"/>
                <w:szCs w:val="20"/>
              </w:rPr>
              <w:t>unit/subject</w:t>
            </w:r>
            <w:r w:rsidRPr="004653E7">
              <w:t>; a statement about other equipment used; and the servicing schedule for relevant equipment.</w:t>
            </w:r>
          </w:p>
        </w:tc>
      </w:tr>
    </w:tbl>
    <w:p w14:paraId="146A03C5" w14:textId="77777777" w:rsidR="0053740B" w:rsidRDefault="0053740B" w:rsidP="002D5CD2">
      <w:pPr>
        <w:spacing w:after="200" w:line="276" w:lineRule="auto"/>
        <w:rPr>
          <w:rFonts w:ascii="Arial" w:eastAsia="Cambria" w:hAnsi="Arial" w:cs="Arial"/>
          <w:b/>
          <w:color w:val="007DC3"/>
          <w:sz w:val="20"/>
          <w:szCs w:val="20"/>
        </w:rPr>
      </w:pPr>
    </w:p>
    <w:p w14:paraId="450116AB" w14:textId="77777777" w:rsidR="0053740B" w:rsidRDefault="0053740B">
      <w:pPr>
        <w:spacing w:after="200" w:line="276" w:lineRule="auto"/>
        <w:rPr>
          <w:rFonts w:ascii="Arial" w:eastAsia="Cambria" w:hAnsi="Arial" w:cs="Arial"/>
          <w:b/>
          <w:color w:val="007DC3"/>
          <w:sz w:val="20"/>
          <w:szCs w:val="20"/>
        </w:rPr>
      </w:pPr>
      <w:r>
        <w:rPr>
          <w:rFonts w:ascii="Arial" w:eastAsia="Cambria" w:hAnsi="Arial" w:cs="Arial"/>
          <w:b/>
          <w:color w:val="007DC3"/>
          <w:sz w:val="20"/>
          <w:szCs w:val="20"/>
        </w:rPr>
        <w:br w:type="page"/>
      </w:r>
    </w:p>
    <w:p w14:paraId="5A6436DA" w14:textId="421F475A" w:rsidR="002A24E3" w:rsidRPr="004653E7" w:rsidRDefault="002A24E3" w:rsidP="002D5CD2">
      <w:pPr>
        <w:spacing w:after="200" w:line="276" w:lineRule="auto"/>
        <w:rPr>
          <w:rFonts w:ascii="Arial" w:eastAsia="Cambria" w:hAnsi="Arial" w:cs="Arial"/>
          <w:b/>
          <w:color w:val="007DC3"/>
          <w:sz w:val="20"/>
          <w:szCs w:val="20"/>
        </w:rPr>
      </w:pPr>
      <w:r w:rsidRPr="004653E7">
        <w:rPr>
          <w:rFonts w:ascii="Arial" w:eastAsia="Cambria" w:hAnsi="Arial" w:cs="Arial"/>
          <w:b/>
          <w:color w:val="007DC3"/>
          <w:sz w:val="20"/>
          <w:szCs w:val="20"/>
        </w:rPr>
        <w:lastRenderedPageBreak/>
        <w:t>Standard 3: Explanatory notes</w:t>
      </w:r>
    </w:p>
    <w:p w14:paraId="7A0D2B82" w14:textId="6002A98C" w:rsidR="002A24E3" w:rsidRPr="004653E7" w:rsidRDefault="005C0EE2" w:rsidP="002A24E3">
      <w:pPr>
        <w:rPr>
          <w:rFonts w:ascii="Arial" w:hAnsi="Arial" w:cs="Arial"/>
          <w:sz w:val="20"/>
          <w:szCs w:val="20"/>
        </w:rPr>
      </w:pPr>
      <w:r w:rsidRPr="004653E7">
        <w:rPr>
          <w:rFonts w:ascii="Arial" w:hAnsi="Arial" w:cs="Arial"/>
          <w:sz w:val="20"/>
          <w:szCs w:val="20"/>
        </w:rPr>
        <w:t>This s</w:t>
      </w:r>
      <w:r w:rsidR="002A24E3" w:rsidRPr="004653E7">
        <w:rPr>
          <w:rFonts w:ascii="Arial" w:hAnsi="Arial" w:cs="Arial"/>
          <w:sz w:val="20"/>
          <w:szCs w:val="20"/>
        </w:rPr>
        <w:t xml:space="preserve">tandard focuses on how </w:t>
      </w:r>
      <w:r w:rsidR="0088785C">
        <w:rPr>
          <w:rFonts w:ascii="Arial" w:hAnsi="Arial" w:cs="Arial"/>
          <w:sz w:val="20"/>
          <w:szCs w:val="20"/>
        </w:rPr>
        <w:t>each</w:t>
      </w:r>
      <w:r w:rsidR="0088785C" w:rsidRPr="004653E7">
        <w:rPr>
          <w:rFonts w:ascii="Arial" w:hAnsi="Arial" w:cs="Arial"/>
          <w:sz w:val="20"/>
          <w:szCs w:val="20"/>
        </w:rPr>
        <w:t xml:space="preserve"> </w:t>
      </w:r>
      <w:r w:rsidR="006C5B3C" w:rsidRPr="002A0294">
        <w:rPr>
          <w:rFonts w:ascii="Arial" w:eastAsia="Cambria" w:hAnsi="Arial" w:cs="Arial"/>
          <w:sz w:val="20"/>
          <w:szCs w:val="20"/>
        </w:rPr>
        <w:t>unit/subject</w:t>
      </w:r>
      <w:r w:rsidR="006C5B3C" w:rsidRPr="004653E7" w:rsidDel="006C5B3C">
        <w:rPr>
          <w:rFonts w:ascii="Arial" w:hAnsi="Arial" w:cs="Arial"/>
          <w:sz w:val="20"/>
          <w:szCs w:val="20"/>
        </w:rPr>
        <w:t xml:space="preserve"> </w:t>
      </w:r>
      <w:r w:rsidR="002A24E3" w:rsidRPr="004653E7">
        <w:rPr>
          <w:rFonts w:ascii="Arial" w:hAnsi="Arial" w:cs="Arial"/>
          <w:sz w:val="20"/>
          <w:szCs w:val="20"/>
        </w:rPr>
        <w:t>is designed and implemented to produce graduates who have demonstrated the</w:t>
      </w:r>
      <w:r w:rsidR="00584D3E">
        <w:rPr>
          <w:rFonts w:ascii="Arial" w:hAnsi="Arial" w:cs="Arial"/>
          <w:sz w:val="20"/>
          <w:szCs w:val="20"/>
        </w:rPr>
        <w:t xml:space="preserve"> </w:t>
      </w:r>
      <w:r w:rsidR="00153A09">
        <w:rPr>
          <w:rFonts w:ascii="Arial" w:hAnsi="Arial" w:cs="Arial"/>
          <w:sz w:val="20"/>
          <w:szCs w:val="20"/>
        </w:rPr>
        <w:t xml:space="preserve">relevant </w:t>
      </w:r>
      <w:r w:rsidR="00584D3E">
        <w:rPr>
          <w:rFonts w:ascii="Arial" w:hAnsi="Arial" w:cs="Arial"/>
          <w:sz w:val="20"/>
          <w:szCs w:val="20"/>
        </w:rPr>
        <w:t xml:space="preserve">professional capabilities </w:t>
      </w:r>
      <w:r w:rsidR="00153A09">
        <w:rPr>
          <w:rFonts w:ascii="Arial" w:hAnsi="Arial" w:cs="Arial"/>
          <w:sz w:val="20"/>
          <w:szCs w:val="20"/>
        </w:rPr>
        <w:t xml:space="preserve">that are </w:t>
      </w:r>
      <w:r w:rsidR="00584D3E">
        <w:rPr>
          <w:rFonts w:ascii="Arial" w:hAnsi="Arial" w:cs="Arial"/>
          <w:sz w:val="20"/>
          <w:szCs w:val="20"/>
        </w:rPr>
        <w:t>required for endorsement of registration</w:t>
      </w:r>
      <w:r w:rsidR="007757AD">
        <w:rPr>
          <w:rFonts w:ascii="Arial" w:hAnsi="Arial" w:cs="Arial"/>
          <w:sz w:val="20"/>
          <w:szCs w:val="20"/>
        </w:rPr>
        <w:t xml:space="preserve"> in scheduled medicines</w:t>
      </w:r>
      <w:r w:rsidR="004152C3" w:rsidRPr="004653E7">
        <w:rPr>
          <w:rFonts w:ascii="Arial" w:hAnsi="Arial" w:cs="Arial"/>
          <w:sz w:val="20"/>
          <w:szCs w:val="20"/>
        </w:rPr>
        <w:t>.</w:t>
      </w:r>
    </w:p>
    <w:p w14:paraId="664B1807" w14:textId="77777777" w:rsidR="0003619D" w:rsidRPr="004653E7" w:rsidRDefault="0003619D" w:rsidP="002A24E3">
      <w:pPr>
        <w:rPr>
          <w:rFonts w:ascii="Arial" w:hAnsi="Arial" w:cs="Arial"/>
          <w:i/>
          <w:sz w:val="20"/>
          <w:szCs w:val="20"/>
        </w:rPr>
      </w:pPr>
    </w:p>
    <w:p w14:paraId="69E5C3D8" w14:textId="77777777" w:rsidR="002A24E3" w:rsidRPr="004653E7" w:rsidRDefault="002A24E3" w:rsidP="002A24E3">
      <w:pPr>
        <w:rPr>
          <w:rFonts w:ascii="Arial" w:hAnsi="Arial" w:cs="Arial"/>
          <w:b/>
          <w:sz w:val="20"/>
          <w:szCs w:val="20"/>
        </w:rPr>
      </w:pPr>
      <w:r w:rsidRPr="004653E7">
        <w:rPr>
          <w:rFonts w:ascii="Arial" w:hAnsi="Arial" w:cs="Arial"/>
          <w:b/>
          <w:sz w:val="20"/>
          <w:szCs w:val="20"/>
        </w:rPr>
        <w:t xml:space="preserve">Program </w:t>
      </w:r>
      <w:r w:rsidR="00236D19" w:rsidRPr="004653E7">
        <w:rPr>
          <w:rFonts w:ascii="Arial" w:hAnsi="Arial" w:cs="Arial"/>
          <w:b/>
          <w:sz w:val="20"/>
          <w:szCs w:val="20"/>
        </w:rPr>
        <w:t>d</w:t>
      </w:r>
      <w:r w:rsidRPr="004653E7">
        <w:rPr>
          <w:rFonts w:ascii="Arial" w:hAnsi="Arial" w:cs="Arial"/>
          <w:b/>
          <w:sz w:val="20"/>
          <w:szCs w:val="20"/>
        </w:rPr>
        <w:t>esign</w:t>
      </w:r>
    </w:p>
    <w:p w14:paraId="2E97269D" w14:textId="77777777" w:rsidR="004C2E71" w:rsidRPr="004653E7" w:rsidRDefault="004C2E71" w:rsidP="002A24E3">
      <w:pPr>
        <w:rPr>
          <w:rFonts w:ascii="Arial" w:hAnsi="Arial" w:cs="Arial"/>
          <w:b/>
          <w:sz w:val="20"/>
          <w:szCs w:val="20"/>
        </w:rPr>
      </w:pPr>
    </w:p>
    <w:p w14:paraId="77B11326" w14:textId="764991DE" w:rsidR="002A24E3" w:rsidRPr="004653E7" w:rsidRDefault="002A24E3" w:rsidP="002A24E3">
      <w:pPr>
        <w:rPr>
          <w:rFonts w:ascii="Arial" w:hAnsi="Arial" w:cs="Arial"/>
          <w:sz w:val="20"/>
          <w:szCs w:val="20"/>
        </w:rPr>
      </w:pPr>
      <w:r w:rsidRPr="004653E7">
        <w:rPr>
          <w:rFonts w:ascii="Arial" w:hAnsi="Arial" w:cs="Arial"/>
          <w:sz w:val="20"/>
          <w:szCs w:val="20"/>
        </w:rPr>
        <w:t xml:space="preserve">The </w:t>
      </w:r>
      <w:r w:rsidR="00350A92" w:rsidRPr="004653E7">
        <w:rPr>
          <w:rFonts w:ascii="Arial" w:hAnsi="Arial" w:cs="Arial"/>
          <w:sz w:val="20"/>
          <w:szCs w:val="20"/>
        </w:rPr>
        <w:t>Accreditation Committee</w:t>
      </w:r>
      <w:r w:rsidRPr="004653E7">
        <w:rPr>
          <w:rFonts w:ascii="Arial" w:hAnsi="Arial" w:cs="Arial"/>
          <w:sz w:val="20"/>
          <w:szCs w:val="20"/>
        </w:rPr>
        <w:t xml:space="preserve"> considers that the two key goals of the </w:t>
      </w:r>
      <w:r w:rsidR="00584D3E">
        <w:rPr>
          <w:rFonts w:ascii="Arial" w:hAnsi="Arial" w:cs="Arial"/>
          <w:sz w:val="20"/>
          <w:szCs w:val="20"/>
        </w:rPr>
        <w:t>unit of study</w:t>
      </w:r>
      <w:r w:rsidRPr="004653E7">
        <w:rPr>
          <w:rFonts w:ascii="Arial" w:hAnsi="Arial" w:cs="Arial"/>
          <w:sz w:val="20"/>
          <w:szCs w:val="20"/>
        </w:rPr>
        <w:t xml:space="preserve"> are:</w:t>
      </w:r>
    </w:p>
    <w:p w14:paraId="5F3888E5" w14:textId="77777777" w:rsidR="004C2E71" w:rsidRPr="004653E7" w:rsidRDefault="004C2E71" w:rsidP="002A24E3">
      <w:pPr>
        <w:rPr>
          <w:rFonts w:ascii="Arial" w:hAnsi="Arial" w:cs="Arial"/>
          <w:sz w:val="20"/>
          <w:szCs w:val="20"/>
        </w:rPr>
      </w:pPr>
    </w:p>
    <w:p w14:paraId="10D756C2" w14:textId="0EAF4962" w:rsidR="00584D3E" w:rsidRDefault="00AF63D9" w:rsidP="00C273CB">
      <w:pPr>
        <w:pStyle w:val="ListParagraph"/>
        <w:numPr>
          <w:ilvl w:val="0"/>
          <w:numId w:val="17"/>
        </w:numPr>
        <w:spacing w:after="200"/>
        <w:jc w:val="left"/>
        <w:rPr>
          <w:color w:val="000000"/>
          <w:sz w:val="20"/>
          <w:szCs w:val="20"/>
        </w:rPr>
      </w:pPr>
      <w:r w:rsidRPr="004653E7">
        <w:rPr>
          <w:color w:val="000000"/>
          <w:sz w:val="20"/>
          <w:szCs w:val="20"/>
        </w:rPr>
        <w:t>t</w:t>
      </w:r>
      <w:r w:rsidR="002A24E3" w:rsidRPr="004653E7">
        <w:rPr>
          <w:color w:val="000000"/>
          <w:sz w:val="20"/>
          <w:szCs w:val="20"/>
        </w:rPr>
        <w:t xml:space="preserve">o ensure graduates </w:t>
      </w:r>
      <w:r w:rsidR="000D1D8D" w:rsidRPr="004653E7">
        <w:rPr>
          <w:color w:val="000000"/>
          <w:sz w:val="20"/>
          <w:szCs w:val="20"/>
        </w:rPr>
        <w:t xml:space="preserve">can </w:t>
      </w:r>
      <w:r w:rsidR="00ED39A5" w:rsidRPr="004653E7">
        <w:rPr>
          <w:color w:val="000000"/>
          <w:sz w:val="20"/>
          <w:szCs w:val="20"/>
        </w:rPr>
        <w:t>safe</w:t>
      </w:r>
      <w:r w:rsidR="000D1D8D" w:rsidRPr="004653E7">
        <w:rPr>
          <w:color w:val="000000"/>
          <w:sz w:val="20"/>
          <w:szCs w:val="20"/>
        </w:rPr>
        <w:t>ly</w:t>
      </w:r>
      <w:r w:rsidR="00ED39A5" w:rsidRPr="004653E7">
        <w:rPr>
          <w:color w:val="000000"/>
          <w:sz w:val="20"/>
          <w:szCs w:val="20"/>
        </w:rPr>
        <w:t xml:space="preserve"> and </w:t>
      </w:r>
      <w:r w:rsidR="002A24E3" w:rsidRPr="004653E7">
        <w:rPr>
          <w:color w:val="000000"/>
          <w:sz w:val="20"/>
          <w:szCs w:val="20"/>
        </w:rPr>
        <w:t>competent</w:t>
      </w:r>
      <w:r w:rsidR="000D1D8D" w:rsidRPr="004653E7">
        <w:rPr>
          <w:color w:val="000000"/>
          <w:sz w:val="20"/>
          <w:szCs w:val="20"/>
        </w:rPr>
        <w:t xml:space="preserve">ly </w:t>
      </w:r>
      <w:r w:rsidR="00584D3E" w:rsidRPr="00584D3E">
        <w:rPr>
          <w:color w:val="000000"/>
          <w:sz w:val="20"/>
          <w:szCs w:val="20"/>
        </w:rPr>
        <w:t>administer, obtain, possess, prescribe, sell, supply or use Schedule 2, 3, 4 or 8 medicines for the treatment of podiatric conditions</w:t>
      </w:r>
      <w:r w:rsidR="007757AD">
        <w:rPr>
          <w:color w:val="000000"/>
          <w:sz w:val="20"/>
          <w:szCs w:val="20"/>
        </w:rPr>
        <w:t>, and</w:t>
      </w:r>
    </w:p>
    <w:p w14:paraId="77963AF3" w14:textId="248E5736" w:rsidR="002A24E3" w:rsidRPr="004653E7" w:rsidRDefault="00AF63D9" w:rsidP="00C273CB">
      <w:pPr>
        <w:pStyle w:val="ListParagraph"/>
        <w:numPr>
          <w:ilvl w:val="0"/>
          <w:numId w:val="17"/>
        </w:numPr>
        <w:spacing w:after="200"/>
        <w:jc w:val="left"/>
        <w:rPr>
          <w:color w:val="000000"/>
          <w:sz w:val="20"/>
          <w:szCs w:val="20"/>
        </w:rPr>
      </w:pPr>
      <w:r w:rsidRPr="004653E7">
        <w:rPr>
          <w:color w:val="000000"/>
          <w:sz w:val="20"/>
          <w:szCs w:val="20"/>
        </w:rPr>
        <w:t>t</w:t>
      </w:r>
      <w:r w:rsidR="002A24E3" w:rsidRPr="004653E7">
        <w:rPr>
          <w:color w:val="000000"/>
          <w:sz w:val="20"/>
          <w:szCs w:val="20"/>
        </w:rPr>
        <w:t>o provide the educational foundation for lifelong learning in</w:t>
      </w:r>
      <w:r w:rsidR="00343478">
        <w:rPr>
          <w:color w:val="000000"/>
          <w:sz w:val="20"/>
          <w:szCs w:val="20"/>
        </w:rPr>
        <w:t xml:space="preserve"> </w:t>
      </w:r>
      <w:r w:rsidR="00584D3E">
        <w:rPr>
          <w:color w:val="000000"/>
          <w:sz w:val="20"/>
          <w:szCs w:val="20"/>
        </w:rPr>
        <w:t xml:space="preserve">relation to </w:t>
      </w:r>
      <w:r w:rsidR="00873D7D">
        <w:rPr>
          <w:color w:val="000000"/>
          <w:sz w:val="20"/>
          <w:szCs w:val="20"/>
        </w:rPr>
        <w:t>the safe and effective use of medicines to treat podiatric conditions</w:t>
      </w:r>
      <w:r w:rsidR="002A24E3" w:rsidRPr="004653E7">
        <w:rPr>
          <w:color w:val="000000"/>
          <w:sz w:val="20"/>
          <w:szCs w:val="20"/>
        </w:rPr>
        <w:t>.</w:t>
      </w:r>
    </w:p>
    <w:p w14:paraId="59606D0B" w14:textId="72867FE8" w:rsidR="004152C3" w:rsidRPr="004653E7" w:rsidRDefault="002A24E3" w:rsidP="002A24E3">
      <w:pPr>
        <w:rPr>
          <w:rFonts w:ascii="Arial" w:hAnsi="Arial" w:cs="Arial"/>
          <w:sz w:val="20"/>
          <w:szCs w:val="20"/>
        </w:rPr>
      </w:pPr>
      <w:r w:rsidRPr="004653E7">
        <w:rPr>
          <w:rFonts w:ascii="Arial" w:hAnsi="Arial" w:cs="Arial"/>
          <w:sz w:val="20"/>
          <w:szCs w:val="20"/>
        </w:rPr>
        <w:t>To deliver on the educational outcomes the education provider is encouraged to present evidence in an overview about how the curriculum is structured and integrated to produce graduate</w:t>
      </w:r>
      <w:r w:rsidR="003B3AC6" w:rsidRPr="004653E7">
        <w:rPr>
          <w:rFonts w:ascii="Arial" w:hAnsi="Arial" w:cs="Arial"/>
          <w:sz w:val="20"/>
          <w:szCs w:val="20"/>
        </w:rPr>
        <w:t>s who have demonstrated all the</w:t>
      </w:r>
      <w:r w:rsidR="004152C3" w:rsidRPr="004653E7">
        <w:rPr>
          <w:rFonts w:ascii="Arial" w:hAnsi="Arial" w:cs="Arial"/>
          <w:sz w:val="20"/>
          <w:szCs w:val="20"/>
        </w:rPr>
        <w:t xml:space="preserve"> </w:t>
      </w:r>
      <w:r w:rsidR="00144112" w:rsidRPr="004653E7">
        <w:rPr>
          <w:rFonts w:ascii="Arial" w:hAnsi="Arial" w:cs="Arial"/>
          <w:sz w:val="20"/>
          <w:szCs w:val="20"/>
        </w:rPr>
        <w:t>p</w:t>
      </w:r>
      <w:r w:rsidR="004152C3" w:rsidRPr="004653E7">
        <w:rPr>
          <w:rFonts w:ascii="Arial" w:hAnsi="Arial" w:cs="Arial"/>
          <w:sz w:val="20"/>
          <w:szCs w:val="20"/>
        </w:rPr>
        <w:t xml:space="preserve">rofessional capabilities </w:t>
      </w:r>
      <w:r w:rsidR="00584D3E">
        <w:rPr>
          <w:rFonts w:ascii="Arial" w:hAnsi="Arial" w:cs="Arial"/>
          <w:sz w:val="20"/>
          <w:szCs w:val="20"/>
        </w:rPr>
        <w:t>required for endorsement of their registration</w:t>
      </w:r>
      <w:r w:rsidR="00AB7443">
        <w:rPr>
          <w:rFonts w:ascii="Arial" w:hAnsi="Arial" w:cs="Arial"/>
          <w:sz w:val="20"/>
          <w:szCs w:val="20"/>
        </w:rPr>
        <w:t>.</w:t>
      </w:r>
    </w:p>
    <w:p w14:paraId="63442712" w14:textId="77777777" w:rsidR="002A24E3" w:rsidRPr="004653E7" w:rsidRDefault="002A24E3" w:rsidP="002A24E3">
      <w:pPr>
        <w:rPr>
          <w:rFonts w:ascii="Arial" w:hAnsi="Arial" w:cs="Arial"/>
          <w:sz w:val="20"/>
          <w:szCs w:val="20"/>
        </w:rPr>
      </w:pPr>
    </w:p>
    <w:p w14:paraId="0F491EF7" w14:textId="6FAACCD2" w:rsidR="00343478" w:rsidRDefault="002A24E3" w:rsidP="00424BB5">
      <w:pPr>
        <w:rPr>
          <w:rFonts w:ascii="Arial" w:hAnsi="Arial" w:cs="Arial"/>
          <w:sz w:val="20"/>
          <w:szCs w:val="20"/>
        </w:rPr>
      </w:pPr>
      <w:r w:rsidRPr="004653E7">
        <w:rPr>
          <w:rFonts w:ascii="Arial" w:hAnsi="Arial" w:cs="Arial"/>
          <w:sz w:val="20"/>
          <w:szCs w:val="20"/>
        </w:rPr>
        <w:t xml:space="preserve">The </w:t>
      </w:r>
      <w:r w:rsidR="00350A92" w:rsidRPr="004653E7">
        <w:rPr>
          <w:rFonts w:ascii="Arial" w:hAnsi="Arial" w:cs="Arial"/>
          <w:sz w:val="20"/>
          <w:szCs w:val="20"/>
        </w:rPr>
        <w:t>Accreditation Committee</w:t>
      </w:r>
      <w:r w:rsidRPr="004653E7">
        <w:rPr>
          <w:rFonts w:ascii="Arial" w:hAnsi="Arial" w:cs="Arial"/>
          <w:sz w:val="20"/>
          <w:szCs w:val="20"/>
        </w:rPr>
        <w:t xml:space="preserve"> expects the education provider to provide guides for </w:t>
      </w:r>
      <w:r w:rsidR="0088785C">
        <w:rPr>
          <w:rFonts w:ascii="Arial" w:hAnsi="Arial" w:cs="Arial"/>
          <w:sz w:val="20"/>
          <w:szCs w:val="20"/>
        </w:rPr>
        <w:t>each</w:t>
      </w:r>
      <w:r w:rsidR="0088785C" w:rsidRPr="004653E7">
        <w:rPr>
          <w:rFonts w:ascii="Arial" w:hAnsi="Arial" w:cs="Arial"/>
          <w:sz w:val="20"/>
          <w:szCs w:val="20"/>
        </w:rPr>
        <w:t xml:space="preserve"> </w:t>
      </w:r>
      <w:r w:rsidR="005D0D36" w:rsidRPr="004653E7">
        <w:rPr>
          <w:rFonts w:ascii="Arial" w:hAnsi="Arial" w:cs="Arial"/>
          <w:sz w:val="20"/>
          <w:szCs w:val="20"/>
        </w:rPr>
        <w:t>unit/subject</w:t>
      </w:r>
      <w:r w:rsidRPr="004653E7">
        <w:rPr>
          <w:rFonts w:ascii="Arial" w:hAnsi="Arial" w:cs="Arial"/>
          <w:sz w:val="20"/>
          <w:szCs w:val="20"/>
        </w:rPr>
        <w:t xml:space="preserve"> that set out the learning outcomes of </w:t>
      </w:r>
      <w:r w:rsidR="0088785C">
        <w:rPr>
          <w:rFonts w:ascii="Arial" w:hAnsi="Arial" w:cs="Arial"/>
          <w:sz w:val="20"/>
          <w:szCs w:val="20"/>
        </w:rPr>
        <w:t xml:space="preserve">each </w:t>
      </w:r>
      <w:r w:rsidR="005D0D36" w:rsidRPr="004653E7">
        <w:rPr>
          <w:rFonts w:ascii="Arial" w:hAnsi="Arial" w:cs="Arial"/>
          <w:sz w:val="20"/>
          <w:szCs w:val="20"/>
        </w:rPr>
        <w:t>unit/</w:t>
      </w:r>
      <w:r w:rsidR="007757AD" w:rsidRPr="004653E7">
        <w:rPr>
          <w:rFonts w:ascii="Arial" w:hAnsi="Arial" w:cs="Arial"/>
          <w:sz w:val="20"/>
          <w:szCs w:val="20"/>
        </w:rPr>
        <w:t>subject and</w:t>
      </w:r>
      <w:r w:rsidRPr="004653E7">
        <w:rPr>
          <w:rFonts w:ascii="Arial" w:hAnsi="Arial" w:cs="Arial"/>
          <w:sz w:val="20"/>
          <w:szCs w:val="20"/>
        </w:rPr>
        <w:t xml:space="preserve"> </w:t>
      </w:r>
      <w:r w:rsidR="000D1D8D" w:rsidRPr="004653E7">
        <w:rPr>
          <w:rFonts w:ascii="Arial" w:hAnsi="Arial" w:cs="Arial"/>
          <w:sz w:val="20"/>
          <w:szCs w:val="20"/>
        </w:rPr>
        <w:t xml:space="preserve">show </w:t>
      </w:r>
      <w:r w:rsidRPr="004653E7">
        <w:rPr>
          <w:rFonts w:ascii="Arial" w:hAnsi="Arial" w:cs="Arial"/>
          <w:sz w:val="20"/>
          <w:szCs w:val="20"/>
        </w:rPr>
        <w:t xml:space="preserve">how the learning outcomes map to the </w:t>
      </w:r>
      <w:r w:rsidR="004152C3" w:rsidRPr="004653E7">
        <w:rPr>
          <w:rFonts w:ascii="Arial" w:hAnsi="Arial" w:cs="Arial"/>
          <w:sz w:val="20"/>
          <w:szCs w:val="20"/>
        </w:rPr>
        <w:t>professional capabilities</w:t>
      </w:r>
      <w:r w:rsidR="00AB7443">
        <w:rPr>
          <w:rFonts w:ascii="Arial" w:hAnsi="Arial" w:cs="Arial"/>
          <w:sz w:val="20"/>
          <w:szCs w:val="20"/>
        </w:rPr>
        <w:t>.</w:t>
      </w:r>
      <w:r w:rsidR="00FA4ECC">
        <w:rPr>
          <w:rFonts w:ascii="Arial" w:hAnsi="Arial" w:cs="Arial"/>
          <w:sz w:val="20"/>
          <w:szCs w:val="20"/>
        </w:rPr>
        <w:t xml:space="preserve"> </w:t>
      </w:r>
    </w:p>
    <w:p w14:paraId="1A8EA220" w14:textId="77777777" w:rsidR="004152C3" w:rsidRPr="004653E7" w:rsidRDefault="004152C3" w:rsidP="002A24E3">
      <w:pPr>
        <w:rPr>
          <w:rFonts w:ascii="Arial" w:hAnsi="Arial" w:cs="Arial"/>
          <w:sz w:val="20"/>
          <w:szCs w:val="20"/>
        </w:rPr>
      </w:pPr>
      <w:bookmarkStart w:id="32" w:name="_Hlk29976352"/>
    </w:p>
    <w:bookmarkEnd w:id="32"/>
    <w:p w14:paraId="099B30F3" w14:textId="447B67EE" w:rsidR="001945BE" w:rsidRDefault="001945BE" w:rsidP="001945BE">
      <w:pPr>
        <w:pStyle w:val="AHPRAbodybold"/>
      </w:pPr>
      <w:r>
        <w:t xml:space="preserve">Referencing the </w:t>
      </w:r>
      <w:bookmarkStart w:id="33" w:name="_Hlk51767728"/>
      <w:r w:rsidR="0004331D" w:rsidRPr="0004331D">
        <w:t xml:space="preserve">relevant National Safety and Quality Standards </w:t>
      </w:r>
      <w:bookmarkEnd w:id="33"/>
    </w:p>
    <w:p w14:paraId="21B1898F" w14:textId="2258B779" w:rsidR="001945BE" w:rsidRDefault="001945BE" w:rsidP="007757AD">
      <w:pPr>
        <w:pStyle w:val="AHPRAAUtablebulletlevel1"/>
        <w:spacing w:before="0" w:after="0"/>
      </w:pPr>
      <w:r>
        <w:t xml:space="preserve">The Accreditation Committee expects that at a minimum the education provider would be referencing the </w:t>
      </w:r>
      <w:bookmarkStart w:id="34" w:name="_Hlk51767740"/>
      <w:r w:rsidR="0004331D" w:rsidRPr="0004331D">
        <w:t xml:space="preserve">relevant National Safety and Quality Standards published by the Australian Commission on Safety and Quality in Health Care </w:t>
      </w:r>
      <w:bookmarkEnd w:id="34"/>
      <w:r w:rsidRPr="00343478">
        <w:t>within the curriculum</w:t>
      </w:r>
      <w:r w:rsidR="0024573C">
        <w:t>.</w:t>
      </w:r>
      <w:r w:rsidR="002A44C2">
        <w:rPr>
          <w:rStyle w:val="FootnoteReference"/>
        </w:rPr>
        <w:footnoteReference w:id="16"/>
      </w:r>
      <w:r w:rsidRPr="00343478">
        <w:t xml:space="preserve"> This may include through learning materials provided to students, and during lectures.</w:t>
      </w:r>
    </w:p>
    <w:p w14:paraId="40835BF9" w14:textId="77777777" w:rsidR="007757AD" w:rsidRDefault="007757AD" w:rsidP="007757AD">
      <w:pPr>
        <w:pStyle w:val="AHPRAAUtablebulletlevel1"/>
        <w:spacing w:before="0" w:after="0"/>
      </w:pPr>
    </w:p>
    <w:p w14:paraId="56051219" w14:textId="77777777" w:rsidR="00411057" w:rsidRPr="00411057" w:rsidRDefault="00411057" w:rsidP="00411057">
      <w:pPr>
        <w:pStyle w:val="AHPRAbodybold"/>
        <w:rPr>
          <w:szCs w:val="20"/>
        </w:rPr>
      </w:pPr>
      <w:bookmarkStart w:id="36" w:name="_Hlk531785986"/>
      <w:r w:rsidRPr="00411057">
        <w:rPr>
          <w:szCs w:val="20"/>
        </w:rPr>
        <w:t>Cultural safety for Aboriginal and Torres Strait Islander Peoples</w:t>
      </w:r>
    </w:p>
    <w:p w14:paraId="1B941EF4" w14:textId="62EC9031" w:rsidR="00411057" w:rsidRPr="00187ABA" w:rsidRDefault="00411057" w:rsidP="00411057">
      <w:pPr>
        <w:pStyle w:val="BodyText"/>
        <w:rPr>
          <w:szCs w:val="20"/>
        </w:rPr>
      </w:pPr>
      <w:bookmarkStart w:id="37" w:name="_Hlk39239174"/>
      <w:r w:rsidRPr="007744DD">
        <w:rPr>
          <w:szCs w:val="20"/>
        </w:rPr>
        <w:t xml:space="preserve">The Board is part of the National Registration and Accreditation Scheme’s (the National Scheme’s) Aboriginal and Torres Strait Islander Health Strategy Group (the Health Strategy Group) which published a </w:t>
      </w:r>
      <w:r w:rsidRPr="00641188">
        <w:rPr>
          <w:i/>
          <w:szCs w:val="20"/>
        </w:rPr>
        <w:t>Statement of Intent</w:t>
      </w:r>
      <w:r w:rsidRPr="00DD165D">
        <w:rPr>
          <w:szCs w:val="20"/>
        </w:rPr>
        <w:t xml:space="preserve"> (the Statement) in July 2018. </w:t>
      </w:r>
      <w:bookmarkEnd w:id="37"/>
      <w:r w:rsidRPr="00DD165D">
        <w:rPr>
          <w:szCs w:val="20"/>
        </w:rPr>
        <w:t>The Statement highlights the Health Strategy Group’s intent to achieve equity in health outcomes between</w:t>
      </w:r>
      <w:r w:rsidRPr="00DA0D7E">
        <w:rPr>
          <w:szCs w:val="20"/>
        </w:rPr>
        <w:t xml:space="preserve"> Aboriginal and Torres Strait Islander Peoples and other Australians and to close the gap by 2031. Their vision is that </w:t>
      </w:r>
      <w:r w:rsidR="00624D5B">
        <w:rPr>
          <w:szCs w:val="20"/>
        </w:rPr>
        <w:t>patient</w:t>
      </w:r>
      <w:r w:rsidRPr="00DA0D7E">
        <w:rPr>
          <w:szCs w:val="20"/>
        </w:rPr>
        <w:t xml:space="preserve"> safety for Aboriginal and Torres Strait Islander Peoples is the norm. </w:t>
      </w:r>
    </w:p>
    <w:p w14:paraId="1C743043" w14:textId="3F0C0F9B" w:rsidR="00411057" w:rsidRDefault="00411057" w:rsidP="00411057">
      <w:pPr>
        <w:pStyle w:val="BodyText"/>
        <w:rPr>
          <w:szCs w:val="20"/>
        </w:rPr>
      </w:pPr>
      <w:r w:rsidRPr="0065343E">
        <w:rPr>
          <w:szCs w:val="20"/>
        </w:rPr>
        <w:t>The definition of cultural safety below has been developed for the National Scheme and adopted by the National  Health Leadership Forum. The Aboriginal and Torres Strait Islander Health Strategy Group developed the definition in partnership with a public consultation process.</w:t>
      </w:r>
    </w:p>
    <w:p w14:paraId="4CBF8CFE" w14:textId="6B90C463" w:rsidR="00411057" w:rsidRDefault="00411057">
      <w:pPr>
        <w:spacing w:after="200" w:line="276" w:lineRule="auto"/>
        <w:rPr>
          <w:rFonts w:ascii="Arial" w:eastAsia="Cambria" w:hAnsi="Arial" w:cs="Arial"/>
          <w:noProof/>
          <w:sz w:val="20"/>
          <w:szCs w:val="20"/>
        </w:rPr>
      </w:pPr>
      <w:r>
        <w:rPr>
          <w:szCs w:val="20"/>
        </w:rPr>
        <w:br w:type="page"/>
      </w:r>
    </w:p>
    <w:p w14:paraId="2BCAFB2F" w14:textId="77777777" w:rsidR="00411057" w:rsidRPr="00411057" w:rsidRDefault="00411057" w:rsidP="00411057">
      <w:pPr>
        <w:pStyle w:val="BodyText"/>
        <w:rPr>
          <w:szCs w:val="20"/>
        </w:rPr>
      </w:pPr>
    </w:p>
    <w:p w14:paraId="306C47F8" w14:textId="77777777" w:rsidR="00411057" w:rsidRPr="00411057" w:rsidRDefault="00411057" w:rsidP="00411057">
      <w:pPr>
        <w:pStyle w:val="BodyText"/>
        <w:rPr>
          <w:szCs w:val="20"/>
        </w:rPr>
      </w:pPr>
      <w:r w:rsidRPr="00411057">
        <w:rPr>
          <w:szCs w:val="20"/>
        </w:rPr>
        <mc:AlternateContent>
          <mc:Choice Requires="wps">
            <w:drawing>
              <wp:anchor distT="0" distB="0" distL="114300" distR="114300" simplePos="0" relativeHeight="251670528" behindDoc="0" locked="0" layoutInCell="1" allowOverlap="1" wp14:anchorId="2C5AE832" wp14:editId="36BD8738">
                <wp:simplePos x="0" y="0"/>
                <wp:positionH relativeFrom="column">
                  <wp:posOffset>52086</wp:posOffset>
                </wp:positionH>
                <wp:positionV relativeFrom="paragraph">
                  <wp:posOffset>132063</wp:posOffset>
                </wp:positionV>
                <wp:extent cx="6057900" cy="290524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6057900" cy="2905245"/>
                        </a:xfrm>
                        <a:prstGeom prst="rect">
                          <a:avLst/>
                        </a:prstGeom>
                        <a:noFill/>
                        <a:ln w="6350">
                          <a:solidFill>
                            <a:prstClr val="black"/>
                          </a:solidFill>
                        </a:ln>
                      </wps:spPr>
                      <wps:txbx>
                        <w:txbxContent>
                          <w:p w14:paraId="6033E10C" w14:textId="77777777" w:rsidR="000C1817" w:rsidRDefault="000C1817" w:rsidP="004110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AE832" id="Text Box 4" o:spid="_x0000_s1027" type="#_x0000_t202" style="position:absolute;margin-left:4.1pt;margin-top:10.4pt;width:477pt;height:22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" filled="f" strokeweight=".5pt">
                <v:textbox>
                  <w:txbxContent>
                    <w:p w14:paraId="6033E10C" w14:textId="77777777" w:rsidR="000C1817" w:rsidRDefault="000C1817" w:rsidP="00411057"/>
                  </w:txbxContent>
                </v:textbox>
              </v:shape>
            </w:pict>
          </mc:Fallback>
        </mc:AlternateContent>
      </w:r>
    </w:p>
    <w:p w14:paraId="4511AF77" w14:textId="77777777" w:rsidR="00411057" w:rsidRPr="00411057" w:rsidRDefault="00411057" w:rsidP="00411057">
      <w:pPr>
        <w:jc w:val="center"/>
        <w:rPr>
          <w:rFonts w:ascii="Arial" w:hAnsi="Arial" w:cs="Arial"/>
          <w:noProof/>
          <w:sz w:val="20"/>
          <w:szCs w:val="20"/>
          <w:lang w:eastAsia="en-AU"/>
        </w:rPr>
      </w:pPr>
      <w:r w:rsidRPr="00411057">
        <w:rPr>
          <w:rFonts w:ascii="Arial" w:hAnsi="Arial" w:cs="Arial"/>
          <w:noProof/>
          <w:sz w:val="20"/>
          <w:szCs w:val="20"/>
          <w:lang w:eastAsia="en-AU"/>
        </w:rPr>
        <w:drawing>
          <wp:inline distT="0" distB="0" distL="0" distR="0" wp14:anchorId="7E8DDF04" wp14:editId="23B19491">
            <wp:extent cx="5516880" cy="1005220"/>
            <wp:effectExtent l="0" t="0" r="762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22956" cy="1006327"/>
                    </a:xfrm>
                    <a:prstGeom prst="rect">
                      <a:avLst/>
                    </a:prstGeom>
                    <a:noFill/>
                    <a:ln>
                      <a:noFill/>
                    </a:ln>
                  </pic:spPr>
                </pic:pic>
              </a:graphicData>
            </a:graphic>
          </wp:inline>
        </w:drawing>
      </w:r>
    </w:p>
    <w:p w14:paraId="52852ED0" w14:textId="77777777" w:rsidR="00411057" w:rsidRPr="00411057" w:rsidRDefault="00411057" w:rsidP="00411057">
      <w:pPr>
        <w:jc w:val="both"/>
        <w:rPr>
          <w:rFonts w:ascii="Arial" w:hAnsi="Arial" w:cs="Arial"/>
          <w:noProof/>
          <w:sz w:val="20"/>
          <w:szCs w:val="20"/>
          <w:lang w:eastAsia="en-AU"/>
        </w:rPr>
      </w:pPr>
    </w:p>
    <w:p w14:paraId="5A61BF72" w14:textId="77777777" w:rsidR="00411057" w:rsidRPr="00411057" w:rsidRDefault="00411057" w:rsidP="00411057">
      <w:pPr>
        <w:rPr>
          <w:rFonts w:ascii="Arial" w:hAnsi="Arial" w:cs="Arial"/>
          <w:noProof/>
          <w:sz w:val="20"/>
          <w:szCs w:val="20"/>
          <w:lang w:eastAsia="en-AU"/>
        </w:rPr>
      </w:pPr>
      <w:r w:rsidRPr="00411057">
        <w:rPr>
          <w:rFonts w:ascii="Arial" w:hAnsi="Arial" w:cs="Arial"/>
          <w:noProof/>
          <w:sz w:val="20"/>
          <w:szCs w:val="20"/>
          <w:lang w:eastAsia="en-AU"/>
        </w:rPr>
        <w:t xml:space="preserve">      To ensure culturally safe and respectful practice, health practitioners must:</w:t>
      </w:r>
    </w:p>
    <w:p w14:paraId="72FA691A" w14:textId="77777777" w:rsidR="00411057" w:rsidRPr="00411057" w:rsidRDefault="00411057" w:rsidP="00411057">
      <w:pPr>
        <w:rPr>
          <w:rFonts w:ascii="Arial" w:hAnsi="Arial" w:cs="Arial"/>
          <w:noProof/>
          <w:sz w:val="20"/>
          <w:szCs w:val="20"/>
          <w:lang w:eastAsia="en-AU"/>
        </w:rPr>
      </w:pPr>
    </w:p>
    <w:p w14:paraId="0B9F11D8" w14:textId="77777777" w:rsidR="00411057" w:rsidRPr="00411057" w:rsidRDefault="00411057" w:rsidP="006B223F">
      <w:pPr>
        <w:numPr>
          <w:ilvl w:val="0"/>
          <w:numId w:val="50"/>
        </w:numPr>
        <w:contextualSpacing/>
        <w:jc w:val="both"/>
        <w:rPr>
          <w:rFonts w:ascii="Arial" w:hAnsi="Arial" w:cs="Arial"/>
          <w:noProof/>
          <w:sz w:val="20"/>
          <w:szCs w:val="20"/>
          <w:lang w:eastAsia="en-AU"/>
        </w:rPr>
      </w:pPr>
      <w:bookmarkStart w:id="38" w:name="_Ref39238657"/>
      <w:r w:rsidRPr="00411057">
        <w:rPr>
          <w:rFonts w:ascii="Arial" w:hAnsi="Arial" w:cs="Arial"/>
          <w:noProof/>
          <w:sz w:val="20"/>
          <w:szCs w:val="20"/>
          <w:lang w:eastAsia="en-AU"/>
        </w:rPr>
        <w:t>Acknowledge colonisation and systemic racism, social, cultural, behavioural and economic factors which impact individual and community health;</w:t>
      </w:r>
      <w:bookmarkEnd w:id="38"/>
    </w:p>
    <w:p w14:paraId="707C47A2" w14:textId="77777777" w:rsidR="00411057" w:rsidRPr="00411057" w:rsidRDefault="00411057" w:rsidP="006B223F">
      <w:pPr>
        <w:numPr>
          <w:ilvl w:val="0"/>
          <w:numId w:val="50"/>
        </w:numPr>
        <w:contextualSpacing/>
        <w:jc w:val="both"/>
        <w:rPr>
          <w:rFonts w:ascii="Arial" w:hAnsi="Arial" w:cs="Arial"/>
          <w:noProof/>
          <w:sz w:val="20"/>
          <w:szCs w:val="20"/>
          <w:lang w:eastAsia="en-AU"/>
        </w:rPr>
      </w:pPr>
      <w:r w:rsidRPr="00411057">
        <w:rPr>
          <w:rFonts w:ascii="Arial" w:hAnsi="Arial" w:cs="Arial"/>
          <w:noProof/>
          <w:sz w:val="20"/>
          <w:szCs w:val="20"/>
          <w:lang w:eastAsia="en-AU"/>
        </w:rPr>
        <w:t xml:space="preserve">Acknowledge and address individual </w:t>
      </w:r>
      <w:r w:rsidRPr="00411057">
        <w:rPr>
          <w:rFonts w:ascii="Arial" w:hAnsi="Arial" w:cs="Arial"/>
          <w:noProof/>
          <w:color w:val="000000"/>
          <w:sz w:val="20"/>
          <w:szCs w:val="20"/>
          <w:lang w:eastAsia="en-AU"/>
        </w:rPr>
        <w:t>racism</w:t>
      </w:r>
      <w:r w:rsidRPr="00411057">
        <w:rPr>
          <w:rFonts w:ascii="Arial" w:hAnsi="Arial" w:cs="Arial"/>
          <w:noProof/>
          <w:sz w:val="20"/>
          <w:szCs w:val="20"/>
          <w:lang w:eastAsia="en-AU"/>
        </w:rPr>
        <w:t>, their own biases, assumptions, stereotypes and prejudices and provide care that is holistic, free of bias and racism;</w:t>
      </w:r>
    </w:p>
    <w:p w14:paraId="6AD50C95" w14:textId="77777777" w:rsidR="00411057" w:rsidRPr="00411057" w:rsidRDefault="00411057" w:rsidP="006B223F">
      <w:pPr>
        <w:numPr>
          <w:ilvl w:val="0"/>
          <w:numId w:val="50"/>
        </w:numPr>
        <w:contextualSpacing/>
        <w:jc w:val="both"/>
        <w:rPr>
          <w:rFonts w:ascii="Arial" w:hAnsi="Arial" w:cs="Arial"/>
          <w:noProof/>
          <w:sz w:val="20"/>
          <w:szCs w:val="20"/>
          <w:lang w:eastAsia="en-AU"/>
        </w:rPr>
      </w:pPr>
      <w:r w:rsidRPr="00411057">
        <w:rPr>
          <w:rFonts w:ascii="Arial" w:hAnsi="Arial" w:cs="Arial"/>
          <w:noProof/>
          <w:sz w:val="20"/>
          <w:szCs w:val="20"/>
          <w:lang w:eastAsia="en-AU"/>
        </w:rPr>
        <w:t>Recognise the importance of self-determined decision-making, partnership and collaboration in healthcare which is driven by the individual, family and community;</w:t>
      </w:r>
    </w:p>
    <w:p w14:paraId="0A509E5A" w14:textId="75E3BC05" w:rsidR="00411057" w:rsidRPr="00411057" w:rsidRDefault="00411057" w:rsidP="006B223F">
      <w:pPr>
        <w:numPr>
          <w:ilvl w:val="0"/>
          <w:numId w:val="50"/>
        </w:numPr>
        <w:contextualSpacing/>
        <w:jc w:val="both"/>
        <w:rPr>
          <w:rFonts w:ascii="Arial" w:hAnsi="Arial" w:cs="Arial"/>
          <w:noProof/>
          <w:sz w:val="20"/>
          <w:szCs w:val="20"/>
          <w:lang w:eastAsia="en-AU"/>
        </w:rPr>
      </w:pPr>
      <w:r w:rsidRPr="00411057">
        <w:rPr>
          <w:rFonts w:ascii="Arial" w:hAnsi="Arial" w:cs="Arial"/>
          <w:noProof/>
          <w:sz w:val="20"/>
          <w:szCs w:val="20"/>
          <w:lang w:eastAsia="en-AU"/>
        </w:rPr>
        <w:t>Foster a safe working environment through leadership to support the rights and dignity of Aboriginal and Torres Strait Islander people and colleagues</w:t>
      </w:r>
      <w:r w:rsidR="007757AD">
        <w:rPr>
          <w:rFonts w:ascii="Arial" w:hAnsi="Arial" w:cs="Arial"/>
          <w:noProof/>
          <w:sz w:val="20"/>
          <w:szCs w:val="20"/>
          <w:lang w:eastAsia="en-AU"/>
        </w:rPr>
        <w:t>.</w:t>
      </w:r>
    </w:p>
    <w:p w14:paraId="51D79DAA" w14:textId="77777777" w:rsidR="00411057" w:rsidRPr="00411057" w:rsidRDefault="00411057" w:rsidP="00411057">
      <w:pPr>
        <w:pStyle w:val="BodyText"/>
        <w:rPr>
          <w:szCs w:val="20"/>
          <w:highlight w:val="yellow"/>
        </w:rPr>
      </w:pPr>
    </w:p>
    <w:p w14:paraId="57C85AB9" w14:textId="5A762802" w:rsidR="00411057" w:rsidRDefault="00411057" w:rsidP="00411057">
      <w:pPr>
        <w:pStyle w:val="BodyText"/>
        <w:rPr>
          <w:szCs w:val="20"/>
        </w:rPr>
      </w:pPr>
      <w:r w:rsidRPr="00411057">
        <w:rPr>
          <w:szCs w:val="20"/>
        </w:rPr>
        <w:t>All health practitioners in Australia, including podiatrists, need a working knowledge of factors that contribute to and influence the health and wellbeing of Aboriginal and Torres Strait Islander Peoples. These factors include history, spirituality and relationship to land, and other social determinants of health in Aboriginal and Torres Strait Islander communities.</w:t>
      </w:r>
    </w:p>
    <w:p w14:paraId="005B9A01" w14:textId="77777777" w:rsidR="009B05C5" w:rsidRPr="004C60C7" w:rsidRDefault="009B05C5" w:rsidP="009B05C5">
      <w:pPr>
        <w:pStyle w:val="AHPRAbodybold"/>
      </w:pPr>
      <w:r w:rsidRPr="00666648">
        <w:t xml:space="preserve">Culturally safe and respectful practice for all communities </w:t>
      </w:r>
    </w:p>
    <w:p w14:paraId="552FB79C" w14:textId="77777777" w:rsidR="009B05C5" w:rsidRPr="004C60C7" w:rsidRDefault="009B05C5" w:rsidP="009B05C5">
      <w:pPr>
        <w:rPr>
          <w:rFonts w:ascii="Arial" w:hAnsi="Arial" w:cs="Arial"/>
          <w:sz w:val="20"/>
          <w:szCs w:val="20"/>
        </w:rPr>
      </w:pPr>
      <w:r w:rsidRPr="004C60C7">
        <w:rPr>
          <w:rFonts w:ascii="Arial" w:hAnsi="Arial" w:cs="Arial"/>
          <w:sz w:val="20"/>
          <w:szCs w:val="20"/>
        </w:rPr>
        <w:t>The section above defines cultural safety for Aboriginal and Torres Strait Islander Peoples specifically for their status as First Nations Peoples. Culturally safe and respectful practice is also important for all communities. Australia is a culturally and linguistically diverse nation.</w:t>
      </w:r>
    </w:p>
    <w:p w14:paraId="22A3C2B2" w14:textId="77777777" w:rsidR="009B05C5" w:rsidRPr="004C60C7" w:rsidRDefault="009B05C5" w:rsidP="009B05C5">
      <w:pPr>
        <w:rPr>
          <w:rFonts w:ascii="Arial" w:hAnsi="Arial" w:cs="Arial"/>
          <w:sz w:val="20"/>
          <w:szCs w:val="20"/>
        </w:rPr>
      </w:pPr>
    </w:p>
    <w:p w14:paraId="7F70E6E0" w14:textId="77777777" w:rsidR="009B05C5" w:rsidRPr="004C60C7" w:rsidRDefault="009B05C5" w:rsidP="009B05C5">
      <w:pPr>
        <w:rPr>
          <w:rFonts w:ascii="Arial" w:hAnsi="Arial" w:cs="Arial"/>
          <w:sz w:val="20"/>
          <w:szCs w:val="20"/>
        </w:rPr>
      </w:pPr>
      <w:r w:rsidRPr="004C60C7">
        <w:rPr>
          <w:rFonts w:ascii="Arial" w:hAnsi="Arial" w:cs="Arial"/>
          <w:sz w:val="20"/>
          <w:szCs w:val="20"/>
        </w:rPr>
        <w:t xml:space="preserve">While there are many professional capabilities necessary to be a competent health practitioner, in Australia’s multicultural society, cultural </w:t>
      </w:r>
      <w:r>
        <w:rPr>
          <w:rFonts w:ascii="Arial" w:hAnsi="Arial" w:cs="Arial"/>
          <w:sz w:val="20"/>
          <w:szCs w:val="20"/>
        </w:rPr>
        <w:t>capability</w:t>
      </w:r>
      <w:r w:rsidRPr="004C60C7">
        <w:rPr>
          <w:rFonts w:ascii="Arial" w:hAnsi="Arial" w:cs="Arial"/>
          <w:sz w:val="20"/>
          <w:szCs w:val="20"/>
        </w:rPr>
        <w:t xml:space="preserve"> is particularly important</w:t>
      </w:r>
      <w:r>
        <w:rPr>
          <w:rFonts w:ascii="Arial" w:hAnsi="Arial" w:cs="Arial"/>
          <w:sz w:val="20"/>
          <w:szCs w:val="20"/>
        </w:rPr>
        <w:t xml:space="preserve"> in promoting culturally safe and respectful practice for all communities</w:t>
      </w:r>
      <w:r w:rsidRPr="004C60C7">
        <w:rPr>
          <w:rFonts w:ascii="Arial" w:hAnsi="Arial" w:cs="Arial"/>
          <w:sz w:val="20"/>
          <w:szCs w:val="20"/>
        </w:rPr>
        <w:t>.</w:t>
      </w:r>
    </w:p>
    <w:p w14:paraId="295612C4" w14:textId="77777777" w:rsidR="009B05C5" w:rsidRPr="004C60C7" w:rsidRDefault="009B05C5" w:rsidP="009B05C5">
      <w:pPr>
        <w:rPr>
          <w:rFonts w:ascii="Arial" w:hAnsi="Arial" w:cs="Arial"/>
          <w:sz w:val="20"/>
          <w:szCs w:val="20"/>
        </w:rPr>
      </w:pPr>
    </w:p>
    <w:p w14:paraId="661AB88D" w14:textId="77777777" w:rsidR="009B05C5" w:rsidRDefault="009B05C5" w:rsidP="009B05C5">
      <w:pPr>
        <w:rPr>
          <w:rFonts w:ascii="Arial" w:hAnsi="Arial" w:cs="Arial"/>
          <w:sz w:val="20"/>
          <w:szCs w:val="20"/>
        </w:rPr>
      </w:pPr>
      <w:r w:rsidRPr="004C60C7">
        <w:rPr>
          <w:rFonts w:ascii="Arial" w:hAnsi="Arial" w:cs="Arial"/>
          <w:sz w:val="20"/>
          <w:szCs w:val="20"/>
        </w:rPr>
        <w:t xml:space="preserve">The word culture is used because it implies the integrated pattern of human behaviour that includes thoughts, communications, actions, customs, beliefs, values and institutions of a racial, ethnic, religious or social group. </w:t>
      </w:r>
      <w:r>
        <w:rPr>
          <w:rFonts w:ascii="Arial" w:hAnsi="Arial" w:cs="Arial"/>
          <w:sz w:val="20"/>
          <w:szCs w:val="20"/>
        </w:rPr>
        <w:t xml:space="preserve">Capability implies a continuum of learning, developing and adapting individual behaviour to each experience. </w:t>
      </w:r>
    </w:p>
    <w:p w14:paraId="2A26E0C6" w14:textId="77777777" w:rsidR="009B05C5" w:rsidRDefault="009B05C5" w:rsidP="009B05C5">
      <w:pPr>
        <w:rPr>
          <w:rFonts w:ascii="Arial" w:hAnsi="Arial" w:cs="Arial"/>
          <w:sz w:val="20"/>
          <w:szCs w:val="20"/>
        </w:rPr>
      </w:pPr>
    </w:p>
    <w:p w14:paraId="3568C66E" w14:textId="75F83B23" w:rsidR="009B05C5" w:rsidRDefault="009B05C5" w:rsidP="009B05C5">
      <w:pPr>
        <w:rPr>
          <w:rFonts w:ascii="Arial" w:hAnsi="Arial" w:cs="Arial"/>
          <w:sz w:val="20"/>
          <w:szCs w:val="20"/>
        </w:rPr>
      </w:pPr>
      <w:r>
        <w:rPr>
          <w:rFonts w:ascii="Arial" w:hAnsi="Arial" w:cs="Arial"/>
          <w:sz w:val="20"/>
          <w:szCs w:val="20"/>
        </w:rPr>
        <w:t xml:space="preserve">Podiatrists </w:t>
      </w:r>
      <w:r w:rsidRPr="004C60C7">
        <w:rPr>
          <w:rFonts w:ascii="Arial" w:hAnsi="Arial" w:cs="Arial"/>
          <w:sz w:val="20"/>
          <w:szCs w:val="20"/>
        </w:rPr>
        <w:t xml:space="preserve">in Australia must be able to </w:t>
      </w:r>
      <w:r>
        <w:rPr>
          <w:rFonts w:ascii="Arial" w:hAnsi="Arial" w:cs="Arial"/>
          <w:sz w:val="20"/>
          <w:szCs w:val="20"/>
        </w:rPr>
        <w:t xml:space="preserve">engage in culturally safe and respectful practice and </w:t>
      </w:r>
      <w:r w:rsidRPr="004C60C7">
        <w:rPr>
          <w:rFonts w:ascii="Arial" w:hAnsi="Arial" w:cs="Arial"/>
          <w:sz w:val="20"/>
          <w:szCs w:val="20"/>
        </w:rPr>
        <w:t xml:space="preserve">work effectively with people from </w:t>
      </w:r>
      <w:r>
        <w:rPr>
          <w:rFonts w:ascii="Arial" w:hAnsi="Arial" w:cs="Arial"/>
          <w:sz w:val="20"/>
          <w:szCs w:val="20"/>
        </w:rPr>
        <w:t>a range of</w:t>
      </w:r>
      <w:r w:rsidRPr="004C60C7">
        <w:rPr>
          <w:rFonts w:ascii="Arial" w:hAnsi="Arial" w:cs="Arial"/>
          <w:sz w:val="20"/>
          <w:szCs w:val="20"/>
        </w:rPr>
        <w:t xml:space="preserve"> cultures that may differ from their own. Culture may include, but is not limited to, age, gender, sexual orientation, race, socio-economic status (including occupation), religion, physical, mental or other impairments, ethnicity and health service culture.</w:t>
      </w:r>
    </w:p>
    <w:p w14:paraId="0F913006" w14:textId="77777777" w:rsidR="009B05C5" w:rsidRDefault="009B05C5" w:rsidP="009B05C5">
      <w:pPr>
        <w:rPr>
          <w:rFonts w:ascii="Arial" w:hAnsi="Arial" w:cs="Arial"/>
          <w:sz w:val="20"/>
          <w:szCs w:val="20"/>
        </w:rPr>
      </w:pPr>
    </w:p>
    <w:p w14:paraId="4FEC0349" w14:textId="77777777" w:rsidR="009B05C5" w:rsidRPr="004C60C7" w:rsidRDefault="009B05C5" w:rsidP="009B05C5">
      <w:pPr>
        <w:rPr>
          <w:rFonts w:ascii="Arial" w:hAnsi="Arial" w:cs="Arial"/>
          <w:sz w:val="20"/>
          <w:szCs w:val="20"/>
        </w:rPr>
      </w:pPr>
      <w:r w:rsidRPr="004C60C7">
        <w:rPr>
          <w:rFonts w:ascii="Arial" w:hAnsi="Arial" w:cs="Arial"/>
          <w:sz w:val="20"/>
          <w:szCs w:val="20"/>
        </w:rPr>
        <w:t xml:space="preserve">A culturally competent system of care </w:t>
      </w:r>
      <w:r>
        <w:rPr>
          <w:rFonts w:ascii="Arial" w:hAnsi="Arial" w:cs="Arial"/>
          <w:sz w:val="20"/>
          <w:szCs w:val="20"/>
        </w:rPr>
        <w:t>recognises the importance of individual cultural capability and promotes culturally safe and respectful practice for all communities by</w:t>
      </w:r>
      <w:r w:rsidRPr="004C60C7">
        <w:rPr>
          <w:rFonts w:ascii="Arial" w:hAnsi="Arial" w:cs="Arial"/>
          <w:sz w:val="20"/>
          <w:szCs w:val="20"/>
        </w:rPr>
        <w:t xml:space="preserve"> acknowledg</w:t>
      </w:r>
      <w:r>
        <w:rPr>
          <w:rFonts w:ascii="Arial" w:hAnsi="Arial" w:cs="Arial"/>
          <w:sz w:val="20"/>
          <w:szCs w:val="20"/>
        </w:rPr>
        <w:t>ing</w:t>
      </w:r>
      <w:r w:rsidRPr="004C60C7">
        <w:rPr>
          <w:rFonts w:ascii="Arial" w:hAnsi="Arial" w:cs="Arial"/>
          <w:sz w:val="20"/>
          <w:szCs w:val="20"/>
        </w:rPr>
        <w:t xml:space="preserve"> and incorporat</w:t>
      </w:r>
      <w:r>
        <w:rPr>
          <w:rFonts w:ascii="Arial" w:hAnsi="Arial" w:cs="Arial"/>
          <w:sz w:val="20"/>
          <w:szCs w:val="20"/>
        </w:rPr>
        <w:t>ing</w:t>
      </w:r>
      <w:r w:rsidRPr="004C60C7">
        <w:rPr>
          <w:rFonts w:ascii="Arial" w:hAnsi="Arial" w:cs="Arial"/>
          <w:sz w:val="20"/>
          <w:szCs w:val="20"/>
        </w:rPr>
        <w:t xml:space="preserve"> – at all levels: </w:t>
      </w:r>
    </w:p>
    <w:p w14:paraId="2C46EEB3" w14:textId="77777777" w:rsidR="009B05C5" w:rsidRPr="004C60C7" w:rsidRDefault="009B05C5" w:rsidP="009B05C5">
      <w:pPr>
        <w:pStyle w:val="BodyText"/>
        <w:numPr>
          <w:ilvl w:val="0"/>
          <w:numId w:val="42"/>
        </w:numPr>
      </w:pPr>
      <w:r w:rsidRPr="004C60C7">
        <w:t xml:space="preserve">the importance of culture,  </w:t>
      </w:r>
    </w:p>
    <w:p w14:paraId="38400113" w14:textId="77777777" w:rsidR="009B05C5" w:rsidRPr="004C60C7" w:rsidRDefault="009B05C5" w:rsidP="009B05C5">
      <w:pPr>
        <w:pStyle w:val="BodyText"/>
        <w:numPr>
          <w:ilvl w:val="0"/>
          <w:numId w:val="42"/>
        </w:numPr>
      </w:pPr>
      <w:r w:rsidRPr="004C60C7">
        <w:t xml:space="preserve">the assessment of cross-cultural relations, </w:t>
      </w:r>
    </w:p>
    <w:p w14:paraId="0A760AA6" w14:textId="77777777" w:rsidR="009B05C5" w:rsidRPr="004C60C7" w:rsidRDefault="009B05C5" w:rsidP="009B05C5">
      <w:pPr>
        <w:pStyle w:val="BodyText"/>
        <w:numPr>
          <w:ilvl w:val="0"/>
          <w:numId w:val="42"/>
        </w:numPr>
      </w:pPr>
      <w:r w:rsidRPr="004C60C7">
        <w:lastRenderedPageBreak/>
        <w:t xml:space="preserve">vigilance towards the dynamics that result from cultural differences, </w:t>
      </w:r>
    </w:p>
    <w:p w14:paraId="6D83467D" w14:textId="77777777" w:rsidR="009B05C5" w:rsidRPr="004C60C7" w:rsidRDefault="009B05C5" w:rsidP="009B05C5">
      <w:pPr>
        <w:pStyle w:val="BodyText"/>
        <w:numPr>
          <w:ilvl w:val="0"/>
          <w:numId w:val="42"/>
        </w:numPr>
      </w:pPr>
      <w:r w:rsidRPr="004C60C7">
        <w:t xml:space="preserve">the expansion of cultural knowledge, and </w:t>
      </w:r>
    </w:p>
    <w:p w14:paraId="01E9C5F3" w14:textId="568F8A32" w:rsidR="009B05C5" w:rsidRPr="009B05C5" w:rsidRDefault="009B05C5" w:rsidP="009B05C5">
      <w:pPr>
        <w:pStyle w:val="BodyText"/>
        <w:numPr>
          <w:ilvl w:val="0"/>
          <w:numId w:val="42"/>
        </w:numPr>
      </w:pPr>
      <w:r w:rsidRPr="004C60C7">
        <w:t>the adaptation of services to meet culturally-unique needs.</w:t>
      </w:r>
      <w:r>
        <w:rPr>
          <w:rStyle w:val="FootnoteReference"/>
        </w:rPr>
        <w:footnoteReference w:id="17"/>
      </w:r>
      <w:r w:rsidRPr="004C60C7">
        <w:t xml:space="preserve">  </w:t>
      </w:r>
    </w:p>
    <w:bookmarkEnd w:id="36"/>
    <w:p w14:paraId="6801EC7E" w14:textId="77777777" w:rsidR="00ED5191" w:rsidRDefault="00ED5191" w:rsidP="00144112">
      <w:pPr>
        <w:rPr>
          <w:rFonts w:ascii="Arial" w:hAnsi="Arial" w:cs="Arial"/>
          <w:b/>
          <w:sz w:val="20"/>
          <w:szCs w:val="20"/>
        </w:rPr>
      </w:pPr>
    </w:p>
    <w:p w14:paraId="57AB0DB0" w14:textId="0EBBFF39" w:rsidR="00144112" w:rsidRPr="004653E7" w:rsidRDefault="00144112" w:rsidP="00144112">
      <w:pPr>
        <w:rPr>
          <w:rFonts w:ascii="Arial" w:hAnsi="Arial" w:cs="Arial"/>
          <w:b/>
          <w:sz w:val="20"/>
          <w:szCs w:val="20"/>
        </w:rPr>
      </w:pPr>
      <w:r w:rsidRPr="004653E7">
        <w:rPr>
          <w:rFonts w:ascii="Arial" w:hAnsi="Arial" w:cs="Arial"/>
          <w:b/>
          <w:sz w:val="20"/>
          <w:szCs w:val="20"/>
        </w:rPr>
        <w:t>Learning and teaching approaches</w:t>
      </w:r>
    </w:p>
    <w:p w14:paraId="16325CEC" w14:textId="77777777" w:rsidR="007757AD" w:rsidRDefault="007757AD" w:rsidP="007757AD">
      <w:pPr>
        <w:pStyle w:val="AHPRAAUtablebulletlevel1"/>
        <w:spacing w:before="0" w:after="0"/>
      </w:pPr>
    </w:p>
    <w:p w14:paraId="5839019C" w14:textId="2156B389" w:rsidR="00144112" w:rsidRDefault="00144112" w:rsidP="007757AD">
      <w:pPr>
        <w:pStyle w:val="AHPRAAUtablebulletlevel1"/>
        <w:spacing w:before="0" w:after="0"/>
      </w:pPr>
      <w:r w:rsidRPr="004653E7">
        <w:t xml:space="preserve">The Accreditation Committee encourages innovative and contemporary methods of teaching that promote the educational principles of active student participation, problem solving and development of communication skills. Problem and evidence-based learning, computer assisted learning, </w:t>
      </w:r>
      <w:r w:rsidR="002D5CD2">
        <w:t xml:space="preserve">work-integrated learning </w:t>
      </w:r>
      <w:r w:rsidRPr="004653E7">
        <w:t>and other student-centred learning strategies are also encouraged. Education providers may demonstrate how these approaches are realised</w:t>
      </w:r>
      <w:r w:rsidR="00EB5805">
        <w:t xml:space="preserve">, </w:t>
      </w:r>
      <w:r w:rsidRPr="004653E7">
        <w:t>incorporated into the curriculum</w:t>
      </w:r>
      <w:r w:rsidR="00EB5805">
        <w:t xml:space="preserve"> and assessed in order</w:t>
      </w:r>
      <w:r w:rsidRPr="004653E7">
        <w:t xml:space="preserve"> to facilitate </w:t>
      </w:r>
      <w:r w:rsidR="00E45359" w:rsidRPr="004653E7">
        <w:t>student</w:t>
      </w:r>
      <w:r w:rsidRPr="004653E7">
        <w:t xml:space="preserve"> achievement of the learning outcomes and the</w:t>
      </w:r>
      <w:r w:rsidR="00053338" w:rsidRPr="004653E7">
        <w:rPr>
          <w:i/>
        </w:rPr>
        <w:t xml:space="preserve"> </w:t>
      </w:r>
      <w:r w:rsidR="00053338" w:rsidRPr="004653E7">
        <w:t>p</w:t>
      </w:r>
      <w:r w:rsidRPr="004653E7">
        <w:t xml:space="preserve">rofessional capabilities </w:t>
      </w:r>
      <w:r w:rsidR="00472B56">
        <w:t xml:space="preserve">required for endorsement of </w:t>
      </w:r>
      <w:r w:rsidR="00C62E32">
        <w:t xml:space="preserve">registration in relation to </w:t>
      </w:r>
      <w:r w:rsidR="00472B56">
        <w:t>scheduled medicines</w:t>
      </w:r>
      <w:r w:rsidR="001945BE">
        <w:t xml:space="preserve">. </w:t>
      </w:r>
    </w:p>
    <w:p w14:paraId="5C5AC57A" w14:textId="77777777" w:rsidR="007757AD" w:rsidRPr="004653E7" w:rsidRDefault="007757AD" w:rsidP="007757AD">
      <w:pPr>
        <w:pStyle w:val="AHPRAAUtablebulletlevel1"/>
        <w:spacing w:before="0" w:after="0"/>
      </w:pPr>
    </w:p>
    <w:p w14:paraId="75B6FC78" w14:textId="77777777" w:rsidR="00424BB5" w:rsidRPr="004653E7" w:rsidRDefault="00424BB5" w:rsidP="00424BB5">
      <w:pPr>
        <w:rPr>
          <w:rFonts w:ascii="Arial" w:hAnsi="Arial" w:cs="Arial"/>
          <w:b/>
          <w:sz w:val="20"/>
          <w:szCs w:val="20"/>
        </w:rPr>
      </w:pPr>
      <w:r w:rsidRPr="004653E7">
        <w:rPr>
          <w:rFonts w:ascii="Arial" w:hAnsi="Arial" w:cs="Arial"/>
          <w:b/>
          <w:sz w:val="20"/>
          <w:szCs w:val="20"/>
        </w:rPr>
        <w:t>Interprofessional education</w:t>
      </w:r>
    </w:p>
    <w:p w14:paraId="080079A3" w14:textId="77777777" w:rsidR="004C2E71" w:rsidRPr="004653E7" w:rsidRDefault="004C2E71" w:rsidP="00424BB5">
      <w:pPr>
        <w:rPr>
          <w:rFonts w:ascii="Arial" w:hAnsi="Arial" w:cs="Arial"/>
          <w:i/>
          <w:sz w:val="20"/>
          <w:szCs w:val="20"/>
        </w:rPr>
      </w:pPr>
    </w:p>
    <w:p w14:paraId="15472760" w14:textId="3DE4706C" w:rsidR="00424BB5" w:rsidRPr="004653E7" w:rsidRDefault="00424BB5" w:rsidP="00424BB5">
      <w:pPr>
        <w:rPr>
          <w:rFonts w:ascii="Arial" w:hAnsi="Arial" w:cs="Arial"/>
          <w:sz w:val="20"/>
          <w:szCs w:val="20"/>
        </w:rPr>
      </w:pPr>
      <w:r w:rsidRPr="004653E7">
        <w:rPr>
          <w:rFonts w:ascii="Arial" w:hAnsi="Arial" w:cs="Arial"/>
          <w:sz w:val="20"/>
          <w:szCs w:val="20"/>
        </w:rPr>
        <w:t>The principles of interprofessional education encompass learning about, from and with other health professions, and understanding, valuing and respecting individual discipline roles in health care</w:t>
      </w:r>
      <w:r w:rsidR="00545472">
        <w:rPr>
          <w:rFonts w:ascii="Arial" w:hAnsi="Arial" w:cs="Arial"/>
          <w:sz w:val="20"/>
          <w:szCs w:val="20"/>
        </w:rPr>
        <w:t xml:space="preserve"> with the goal of facilitating multi-disciplinary care and the ability to work in teams across professions for the benefit of the patient.</w:t>
      </w:r>
    </w:p>
    <w:p w14:paraId="65BE5A73" w14:textId="77777777" w:rsidR="00424BB5" w:rsidRPr="004653E7" w:rsidRDefault="00424BB5" w:rsidP="00424BB5">
      <w:pPr>
        <w:rPr>
          <w:rFonts w:ascii="Arial" w:hAnsi="Arial" w:cs="Arial"/>
          <w:sz w:val="20"/>
          <w:szCs w:val="20"/>
        </w:rPr>
      </w:pPr>
    </w:p>
    <w:p w14:paraId="497A2672" w14:textId="77777777" w:rsidR="004C2E71" w:rsidRPr="004653E7" w:rsidRDefault="00424BB5" w:rsidP="00424BB5">
      <w:pPr>
        <w:rPr>
          <w:rFonts w:ascii="Arial" w:hAnsi="Arial" w:cs="Arial"/>
          <w:sz w:val="20"/>
          <w:szCs w:val="20"/>
          <w:lang w:eastAsia="en-AU"/>
        </w:rPr>
      </w:pPr>
      <w:r w:rsidRPr="004653E7">
        <w:rPr>
          <w:rFonts w:ascii="Arial" w:hAnsi="Arial" w:cs="Arial"/>
          <w:b/>
          <w:sz w:val="20"/>
          <w:szCs w:val="20"/>
          <w:lang w:eastAsia="en-AU"/>
        </w:rPr>
        <w:t>Teaching and assessment of legislative and regulatory requirements</w:t>
      </w:r>
    </w:p>
    <w:p w14:paraId="6E21C9FD" w14:textId="77777777" w:rsidR="00424BB5" w:rsidRPr="004653E7" w:rsidRDefault="00424BB5" w:rsidP="00424BB5">
      <w:pPr>
        <w:rPr>
          <w:rFonts w:ascii="Arial" w:hAnsi="Arial" w:cs="Arial"/>
          <w:sz w:val="20"/>
          <w:szCs w:val="20"/>
          <w:lang w:eastAsia="en-AU"/>
        </w:rPr>
      </w:pPr>
    </w:p>
    <w:p w14:paraId="214EE24D" w14:textId="2CE52565" w:rsidR="00424BB5" w:rsidRPr="004653E7" w:rsidRDefault="00424BB5" w:rsidP="00424BB5">
      <w:pPr>
        <w:rPr>
          <w:rFonts w:ascii="Arial" w:hAnsi="Arial" w:cs="Arial"/>
          <w:sz w:val="20"/>
          <w:szCs w:val="20"/>
        </w:rPr>
      </w:pPr>
      <w:r w:rsidRPr="004653E7">
        <w:rPr>
          <w:rFonts w:ascii="Arial" w:hAnsi="Arial" w:cs="Arial"/>
          <w:sz w:val="20"/>
          <w:szCs w:val="20"/>
          <w:lang w:eastAsia="en-AU"/>
        </w:rPr>
        <w:t xml:space="preserve">The Accreditation Committee expects legislative and regulatory requirements relevant to </w:t>
      </w:r>
      <w:r w:rsidR="001B4E3E">
        <w:rPr>
          <w:rFonts w:ascii="Arial" w:hAnsi="Arial" w:cs="Arial"/>
          <w:sz w:val="20"/>
          <w:szCs w:val="20"/>
          <w:lang w:eastAsia="en-AU"/>
        </w:rPr>
        <w:t xml:space="preserve">ESM will </w:t>
      </w:r>
      <w:r w:rsidRPr="004653E7">
        <w:rPr>
          <w:rFonts w:ascii="Arial" w:hAnsi="Arial" w:cs="Arial"/>
          <w:sz w:val="20"/>
          <w:szCs w:val="20"/>
          <w:lang w:eastAsia="en-AU"/>
        </w:rPr>
        <w:t xml:space="preserve">be taught </w:t>
      </w:r>
      <w:r w:rsidR="001B4E3E">
        <w:rPr>
          <w:rFonts w:ascii="Arial" w:hAnsi="Arial" w:cs="Arial"/>
          <w:sz w:val="20"/>
          <w:szCs w:val="20"/>
          <w:lang w:eastAsia="en-AU"/>
        </w:rPr>
        <w:t xml:space="preserve">and assessed </w:t>
      </w:r>
      <w:r w:rsidRPr="004653E7">
        <w:rPr>
          <w:rFonts w:ascii="Arial" w:hAnsi="Arial" w:cs="Arial"/>
          <w:sz w:val="20"/>
          <w:szCs w:val="20"/>
          <w:lang w:eastAsia="en-AU"/>
        </w:rPr>
        <w:t>and for their application to practice to be assessed during work</w:t>
      </w:r>
      <w:r w:rsidR="004848F9" w:rsidRPr="004653E7">
        <w:rPr>
          <w:rFonts w:ascii="Arial" w:hAnsi="Arial" w:cs="Arial"/>
          <w:sz w:val="20"/>
          <w:szCs w:val="20"/>
          <w:lang w:eastAsia="en-AU"/>
        </w:rPr>
        <w:t>-</w:t>
      </w:r>
      <w:r w:rsidRPr="004653E7">
        <w:rPr>
          <w:rFonts w:ascii="Arial" w:hAnsi="Arial" w:cs="Arial"/>
          <w:sz w:val="20"/>
          <w:szCs w:val="20"/>
          <w:lang w:eastAsia="en-AU"/>
        </w:rPr>
        <w:t xml:space="preserve">integrated learning. </w:t>
      </w:r>
      <w:bookmarkStart w:id="39" w:name="_Hlk51827292"/>
      <w:bookmarkStart w:id="40" w:name="_Hlk52890150"/>
      <w:r w:rsidR="00961C48">
        <w:rPr>
          <w:rFonts w:ascii="Arial" w:hAnsi="Arial" w:cs="Arial"/>
          <w:sz w:val="20"/>
          <w:szCs w:val="20"/>
          <w:lang w:eastAsia="en-AU"/>
        </w:rPr>
        <w:t>This should include the range of legislative and regulatory requirements that apply to professional practice; not just those related to the profession of podiatry.</w:t>
      </w:r>
      <w:bookmarkEnd w:id="39"/>
      <w:bookmarkEnd w:id="40"/>
      <w:r w:rsidR="00961C48">
        <w:rPr>
          <w:rFonts w:ascii="Arial" w:hAnsi="Arial" w:cs="Arial"/>
          <w:sz w:val="20"/>
          <w:szCs w:val="20"/>
          <w:lang w:eastAsia="en-AU"/>
        </w:rPr>
        <w:t xml:space="preserve">  </w:t>
      </w:r>
    </w:p>
    <w:p w14:paraId="6A4C7352" w14:textId="77777777" w:rsidR="004152C3" w:rsidRPr="004653E7" w:rsidRDefault="004152C3" w:rsidP="002A24E3">
      <w:pPr>
        <w:rPr>
          <w:rFonts w:ascii="Arial" w:hAnsi="Arial" w:cs="Arial"/>
          <w:sz w:val="20"/>
          <w:szCs w:val="20"/>
        </w:rPr>
      </w:pPr>
    </w:p>
    <w:p w14:paraId="11F0F858" w14:textId="726732A0" w:rsidR="002A24E3" w:rsidRPr="004653E7" w:rsidRDefault="002A24E3" w:rsidP="002A24E3">
      <w:pPr>
        <w:rPr>
          <w:rFonts w:ascii="Arial" w:hAnsi="Arial" w:cs="Arial"/>
          <w:b/>
          <w:sz w:val="20"/>
          <w:szCs w:val="20"/>
        </w:rPr>
      </w:pPr>
      <w:r w:rsidRPr="004653E7">
        <w:rPr>
          <w:rFonts w:ascii="Arial" w:hAnsi="Arial" w:cs="Arial"/>
          <w:b/>
          <w:sz w:val="20"/>
          <w:szCs w:val="20"/>
        </w:rPr>
        <w:t>Work</w:t>
      </w:r>
      <w:r w:rsidR="004C2E71" w:rsidRPr="004653E7">
        <w:rPr>
          <w:rFonts w:ascii="Arial" w:hAnsi="Arial" w:cs="Arial"/>
          <w:b/>
          <w:sz w:val="20"/>
          <w:szCs w:val="20"/>
        </w:rPr>
        <w:t>-i</w:t>
      </w:r>
      <w:r w:rsidRPr="004653E7">
        <w:rPr>
          <w:rFonts w:ascii="Arial" w:hAnsi="Arial" w:cs="Arial"/>
          <w:b/>
          <w:sz w:val="20"/>
          <w:szCs w:val="20"/>
        </w:rPr>
        <w:t xml:space="preserve">ntegrated </w:t>
      </w:r>
      <w:r w:rsidR="004848F9" w:rsidRPr="004653E7">
        <w:rPr>
          <w:rFonts w:ascii="Arial" w:hAnsi="Arial" w:cs="Arial"/>
          <w:b/>
          <w:sz w:val="20"/>
          <w:szCs w:val="20"/>
        </w:rPr>
        <w:t>l</w:t>
      </w:r>
      <w:r w:rsidRPr="004653E7">
        <w:rPr>
          <w:rFonts w:ascii="Arial" w:hAnsi="Arial" w:cs="Arial"/>
          <w:b/>
          <w:sz w:val="20"/>
          <w:szCs w:val="20"/>
        </w:rPr>
        <w:t>earning</w:t>
      </w:r>
    </w:p>
    <w:p w14:paraId="6473FC7E" w14:textId="7C0E1484" w:rsidR="004C2E71" w:rsidRPr="004653E7" w:rsidRDefault="004C2E71" w:rsidP="002A24E3">
      <w:pPr>
        <w:rPr>
          <w:rFonts w:ascii="Arial" w:hAnsi="Arial" w:cs="Arial"/>
          <w:b/>
          <w:sz w:val="20"/>
          <w:szCs w:val="20"/>
        </w:rPr>
      </w:pPr>
    </w:p>
    <w:p w14:paraId="5B5E78E6" w14:textId="51465A19" w:rsidR="007B3140" w:rsidRDefault="00CA2401" w:rsidP="007B3140">
      <w:pPr>
        <w:pStyle w:val="AHPRAbody"/>
      </w:pPr>
      <w:r>
        <w:t>The Accreditation Committee expects that students are given extensive and diverse work-integrated learning experiences</w:t>
      </w:r>
      <w:r w:rsidR="007B3140">
        <w:t xml:space="preserve"> </w:t>
      </w:r>
      <w:r>
        <w:t>in a range of settings</w:t>
      </w:r>
      <w:r w:rsidR="007B3140" w:rsidRPr="00543FE4">
        <w:rPr>
          <w:szCs w:val="20"/>
        </w:rPr>
        <w:t xml:space="preserve">, such as (but not </w:t>
      </w:r>
      <w:r w:rsidR="007757AD">
        <w:rPr>
          <w:szCs w:val="20"/>
        </w:rPr>
        <w:t>limited</w:t>
      </w:r>
      <w:r w:rsidR="007757AD" w:rsidRPr="00543FE4">
        <w:rPr>
          <w:szCs w:val="20"/>
        </w:rPr>
        <w:t xml:space="preserve"> </w:t>
      </w:r>
      <w:r w:rsidR="007B3140" w:rsidRPr="00543FE4">
        <w:rPr>
          <w:szCs w:val="20"/>
        </w:rPr>
        <w:t xml:space="preserve">to) </w:t>
      </w:r>
      <w:r w:rsidR="003C0EF6">
        <w:rPr>
          <w:szCs w:val="20"/>
        </w:rPr>
        <w:t>community and hospital-based clinics</w:t>
      </w:r>
      <w:r w:rsidR="007B3140" w:rsidRPr="00543FE4">
        <w:rPr>
          <w:szCs w:val="20"/>
        </w:rPr>
        <w:t xml:space="preserve">, </w:t>
      </w:r>
      <w:r w:rsidR="003C0EF6">
        <w:rPr>
          <w:szCs w:val="20"/>
        </w:rPr>
        <w:t>private practices</w:t>
      </w:r>
      <w:r w:rsidR="00683DC7">
        <w:rPr>
          <w:szCs w:val="20"/>
        </w:rPr>
        <w:t xml:space="preserve"> (both on and off campus)</w:t>
      </w:r>
      <w:r w:rsidR="003C0EF6">
        <w:rPr>
          <w:szCs w:val="20"/>
        </w:rPr>
        <w:t xml:space="preserve">, </w:t>
      </w:r>
      <w:r w:rsidR="007B3140">
        <w:rPr>
          <w:szCs w:val="20"/>
        </w:rPr>
        <w:t>and</w:t>
      </w:r>
      <w:r w:rsidR="007B3140">
        <w:t xml:space="preserve"> </w:t>
      </w:r>
      <w:r>
        <w:t xml:space="preserve">with a range of </w:t>
      </w:r>
      <w:r w:rsidR="00624D5B">
        <w:t>patients</w:t>
      </w:r>
      <w:r>
        <w:t xml:space="preserve"> and clinical presentations</w:t>
      </w:r>
      <w:r w:rsidR="007B3140">
        <w:t xml:space="preserve"> including</w:t>
      </w:r>
      <w:r w:rsidR="008F4135">
        <w:t xml:space="preserve"> cases where patients</w:t>
      </w:r>
      <w:r w:rsidR="00DA6852">
        <w:t>:</w:t>
      </w:r>
      <w:r w:rsidR="007B3140">
        <w:t xml:space="preserve"> </w:t>
      </w:r>
    </w:p>
    <w:p w14:paraId="0E25EEF1" w14:textId="77777777" w:rsidR="00472B56" w:rsidRDefault="00472B56" w:rsidP="00456240">
      <w:pPr>
        <w:pStyle w:val="AHPRAbody"/>
        <w:numPr>
          <w:ilvl w:val="0"/>
          <w:numId w:val="46"/>
        </w:numPr>
      </w:pPr>
      <w:r>
        <w:t>are high risk, for example diabetes-related cases</w:t>
      </w:r>
    </w:p>
    <w:p w14:paraId="0EF83C6F" w14:textId="1ACD927A" w:rsidR="00FF3C92" w:rsidRDefault="007B3140" w:rsidP="00456240">
      <w:pPr>
        <w:pStyle w:val="AHPRAbody"/>
        <w:numPr>
          <w:ilvl w:val="0"/>
          <w:numId w:val="46"/>
        </w:numPr>
      </w:pPr>
      <w:r w:rsidRPr="007B3140">
        <w:t xml:space="preserve">have a range of comorbidities </w:t>
      </w:r>
    </w:p>
    <w:p w14:paraId="27C1E6D3" w14:textId="77777777" w:rsidR="007757AD" w:rsidRPr="007757AD" w:rsidRDefault="007B3140" w:rsidP="00456240">
      <w:pPr>
        <w:pStyle w:val="AHPRAbody"/>
        <w:numPr>
          <w:ilvl w:val="0"/>
          <w:numId w:val="46"/>
        </w:numPr>
        <w:rPr>
          <w:rFonts w:eastAsiaTheme="minorHAnsi"/>
          <w:sz w:val="24"/>
          <w:lang w:eastAsia="en-AU"/>
        </w:rPr>
      </w:pPr>
      <w:r w:rsidRPr="007B3140">
        <w:t>are at risk of adverse outcomes related to polypharmacy</w:t>
      </w:r>
      <w:r w:rsidR="00545472">
        <w:t>, and</w:t>
      </w:r>
      <w:bookmarkStart w:id="41" w:name="_Hlk40962276"/>
      <w:r w:rsidR="007757AD">
        <w:t xml:space="preserve"> </w:t>
      </w:r>
    </w:p>
    <w:p w14:paraId="447FDD0B" w14:textId="2283723A" w:rsidR="00DA33B4" w:rsidRPr="00DA33B4" w:rsidRDefault="00472B56" w:rsidP="00456240">
      <w:pPr>
        <w:pStyle w:val="AHPRAbody"/>
        <w:numPr>
          <w:ilvl w:val="0"/>
          <w:numId w:val="46"/>
        </w:numPr>
        <w:rPr>
          <w:rFonts w:eastAsiaTheme="minorHAnsi"/>
          <w:sz w:val="24"/>
          <w:lang w:eastAsia="en-AU"/>
        </w:rPr>
      </w:pPr>
      <w:r>
        <w:t xml:space="preserve">present with a range of </w:t>
      </w:r>
      <w:r w:rsidR="00C739A0">
        <w:t xml:space="preserve">complexities of </w:t>
      </w:r>
      <w:r>
        <w:t>foot and ankle pathology</w:t>
      </w:r>
      <w:bookmarkEnd w:id="41"/>
      <w:r w:rsidR="00545472">
        <w:t>.</w:t>
      </w:r>
      <w:r w:rsidR="00DA33B4">
        <w:rPr>
          <w:rStyle w:val="FootnoteReference"/>
          <w:rFonts w:cs="Times New Roman"/>
        </w:rPr>
        <w:footnoteReference w:id="18"/>
      </w:r>
      <w:r w:rsidR="00DA33B4" w:rsidRPr="00DA33B4">
        <w:rPr>
          <w:rFonts w:eastAsiaTheme="minorHAnsi"/>
          <w:lang w:eastAsia="en-AU"/>
        </w:rPr>
        <w:t xml:space="preserve"> </w:t>
      </w:r>
    </w:p>
    <w:p w14:paraId="477EA401" w14:textId="522852C6" w:rsidR="00CA2401" w:rsidRDefault="00CA2401" w:rsidP="007B3140">
      <w:pPr>
        <w:pStyle w:val="AHPRAbody"/>
      </w:pPr>
      <w:r>
        <w:t xml:space="preserve">The Accreditation Committee considers that direct </w:t>
      </w:r>
      <w:r w:rsidR="00624D5B">
        <w:t>patient</w:t>
      </w:r>
      <w:r>
        <w:t xml:space="preserve"> encounters throughout </w:t>
      </w:r>
      <w:r w:rsidR="00652CB9" w:rsidRPr="00FD2B92">
        <w:rPr>
          <w:szCs w:val="20"/>
        </w:rPr>
        <w:t>podiatry scheduled medicines education</w:t>
      </w:r>
      <w:r w:rsidR="00652CB9">
        <w:t xml:space="preserve"> </w:t>
      </w:r>
      <w:r>
        <w:t xml:space="preserve">will help to ensure students achieve the professional capabilities </w:t>
      </w:r>
      <w:r w:rsidR="00416B87">
        <w:t>required for endorsement of their registration</w:t>
      </w:r>
      <w:r>
        <w:t xml:space="preserve">. Education providers are expected to explain how the entire range of </w:t>
      </w:r>
      <w:r>
        <w:lastRenderedPageBreak/>
        <w:t>work-integrated learning experiences will ensure graduates achieve the professional capabilities</w:t>
      </w:r>
      <w:r w:rsidR="007B3140">
        <w:t xml:space="preserve"> </w:t>
      </w:r>
      <w:proofErr w:type="gramStart"/>
      <w:r w:rsidR="00416B87">
        <w:rPr>
          <w:szCs w:val="20"/>
        </w:rPr>
        <w:t xml:space="preserve">required </w:t>
      </w:r>
      <w:r w:rsidR="002D5CD2" w:rsidRPr="002D5CD2">
        <w:rPr>
          <w:szCs w:val="20"/>
        </w:rPr>
        <w:t xml:space="preserve"> to</w:t>
      </w:r>
      <w:proofErr w:type="gramEnd"/>
      <w:r w:rsidR="002D5CD2" w:rsidRPr="002D5CD2">
        <w:rPr>
          <w:szCs w:val="20"/>
        </w:rPr>
        <w:t xml:space="preserve"> prescribe medicines safely and effectively.</w:t>
      </w:r>
    </w:p>
    <w:p w14:paraId="6CCFB88A" w14:textId="66F8AF6A" w:rsidR="0003555B" w:rsidRDefault="00CA2401" w:rsidP="002A24E3">
      <w:pPr>
        <w:rPr>
          <w:rFonts w:ascii="Arial" w:hAnsi="Arial" w:cs="Arial"/>
          <w:sz w:val="20"/>
          <w:szCs w:val="20"/>
        </w:rPr>
      </w:pPr>
      <w:r w:rsidRPr="00CA2401">
        <w:rPr>
          <w:rFonts w:ascii="Arial" w:hAnsi="Arial" w:cs="Arial"/>
          <w:sz w:val="20"/>
          <w:szCs w:val="20"/>
        </w:rPr>
        <w:t xml:space="preserve">The Accreditation Committee expects the education provider to engage with practitioners </w:t>
      </w:r>
      <w:r w:rsidR="00FF3C92">
        <w:rPr>
          <w:rFonts w:ascii="Arial" w:hAnsi="Arial" w:cs="Arial"/>
          <w:sz w:val="20"/>
          <w:szCs w:val="20"/>
        </w:rPr>
        <w:t xml:space="preserve">who are </w:t>
      </w:r>
      <w:r w:rsidRPr="00CA2401">
        <w:rPr>
          <w:rFonts w:ascii="Arial" w:hAnsi="Arial" w:cs="Arial"/>
          <w:sz w:val="20"/>
          <w:szCs w:val="20"/>
        </w:rPr>
        <w:t>work-integrated learning supervisors. The examples of engagement supplied by the education provider should show work-integrated learning supervisors</w:t>
      </w:r>
      <w:r w:rsidR="00910A52">
        <w:rPr>
          <w:rFonts w:ascii="Arial" w:hAnsi="Arial" w:cs="Arial"/>
          <w:sz w:val="20"/>
          <w:szCs w:val="20"/>
        </w:rPr>
        <w:t xml:space="preserve"> </w:t>
      </w:r>
      <w:r w:rsidRPr="00CA2401">
        <w:rPr>
          <w:rFonts w:ascii="Arial" w:hAnsi="Arial" w:cs="Arial"/>
          <w:sz w:val="20"/>
          <w:szCs w:val="20"/>
        </w:rPr>
        <w:t>have an opportunity to provide feedback to the education provider on students’ work-integrated learning experiences</w:t>
      </w:r>
      <w:r w:rsidR="008A7416">
        <w:rPr>
          <w:rFonts w:ascii="Arial" w:hAnsi="Arial" w:cs="Arial"/>
          <w:sz w:val="20"/>
          <w:szCs w:val="20"/>
        </w:rPr>
        <w:t xml:space="preserve"> </w:t>
      </w:r>
      <w:r w:rsidR="00FF3C92">
        <w:rPr>
          <w:rFonts w:ascii="Arial" w:hAnsi="Arial" w:cs="Arial"/>
          <w:sz w:val="20"/>
          <w:szCs w:val="20"/>
        </w:rPr>
        <w:t xml:space="preserve">and </w:t>
      </w:r>
      <w:r w:rsidR="00416B87">
        <w:rPr>
          <w:rFonts w:ascii="Arial" w:hAnsi="Arial" w:cs="Arial"/>
          <w:sz w:val="20"/>
          <w:szCs w:val="20"/>
        </w:rPr>
        <w:t xml:space="preserve">in </w:t>
      </w:r>
      <w:r w:rsidR="00FF3C92">
        <w:rPr>
          <w:rFonts w:ascii="Arial" w:hAnsi="Arial" w:cs="Arial"/>
          <w:sz w:val="20"/>
          <w:szCs w:val="20"/>
        </w:rPr>
        <w:t>work-integrated learning</w:t>
      </w:r>
      <w:r>
        <w:rPr>
          <w:rFonts w:ascii="Arial" w:hAnsi="Arial" w:cs="Arial"/>
          <w:sz w:val="20"/>
          <w:szCs w:val="20"/>
        </w:rPr>
        <w:t>.</w:t>
      </w:r>
    </w:p>
    <w:p w14:paraId="33EB4783" w14:textId="642333C5" w:rsidR="002E33AC" w:rsidRDefault="002E33AC" w:rsidP="002A24E3">
      <w:pPr>
        <w:rPr>
          <w:rFonts w:ascii="Arial" w:hAnsi="Arial" w:cs="Arial"/>
          <w:sz w:val="20"/>
          <w:szCs w:val="20"/>
        </w:rPr>
      </w:pPr>
    </w:p>
    <w:p w14:paraId="701B1077" w14:textId="77777777" w:rsidR="002E33AC" w:rsidRPr="004653E7" w:rsidRDefault="002E33AC" w:rsidP="002E33AC">
      <w:pPr>
        <w:rPr>
          <w:rFonts w:ascii="Arial" w:hAnsi="Arial" w:cs="Arial"/>
          <w:b/>
          <w:sz w:val="20"/>
          <w:szCs w:val="20"/>
        </w:rPr>
      </w:pPr>
      <w:r w:rsidRPr="004653E7">
        <w:rPr>
          <w:rFonts w:ascii="Arial" w:hAnsi="Arial" w:cs="Arial"/>
          <w:b/>
          <w:sz w:val="20"/>
          <w:szCs w:val="20"/>
        </w:rPr>
        <w:t>Staffing profile for staff responsible for assessment of students in the program</w:t>
      </w:r>
    </w:p>
    <w:p w14:paraId="59538942" w14:textId="77777777" w:rsidR="002E33AC" w:rsidRPr="004653E7" w:rsidRDefault="002E33AC" w:rsidP="002E33AC">
      <w:pPr>
        <w:rPr>
          <w:rFonts w:ascii="Arial" w:hAnsi="Arial" w:cs="Arial"/>
          <w:b/>
          <w:sz w:val="20"/>
          <w:szCs w:val="20"/>
        </w:rPr>
      </w:pPr>
    </w:p>
    <w:p w14:paraId="74C595B2" w14:textId="6FFC480C" w:rsidR="002E33AC" w:rsidRPr="00A37A4C" w:rsidRDefault="002E33AC" w:rsidP="002E33AC">
      <w:pPr>
        <w:rPr>
          <w:rFonts w:ascii="Arial" w:hAnsi="Arial" w:cs="Arial"/>
          <w:b/>
          <w:sz w:val="20"/>
          <w:szCs w:val="20"/>
        </w:rPr>
      </w:pPr>
      <w:r w:rsidRPr="004653E7">
        <w:rPr>
          <w:rFonts w:ascii="Arial" w:hAnsi="Arial" w:cs="Arial"/>
          <w:sz w:val="20"/>
          <w:szCs w:val="20"/>
        </w:rPr>
        <w:t xml:space="preserve">A template for the staffing profile is available to education providers for completion, however use of this template is optional and the </w:t>
      </w:r>
      <w:r w:rsidRPr="008B02B6">
        <w:rPr>
          <w:rFonts w:ascii="Arial" w:hAnsi="Arial" w:cs="Arial"/>
          <w:sz w:val="20"/>
          <w:szCs w:val="20"/>
        </w:rPr>
        <w:t xml:space="preserve">information can be set out in a different format, </w:t>
      </w:r>
      <w:proofErr w:type="gramStart"/>
      <w:r w:rsidRPr="008B02B6">
        <w:rPr>
          <w:rFonts w:ascii="Arial" w:hAnsi="Arial" w:cs="Arial"/>
          <w:sz w:val="20"/>
          <w:szCs w:val="20"/>
        </w:rPr>
        <w:t>as long as</w:t>
      </w:r>
      <w:proofErr w:type="gramEnd"/>
      <w:r w:rsidRPr="008B02B6">
        <w:rPr>
          <w:rFonts w:ascii="Arial" w:hAnsi="Arial" w:cs="Arial"/>
          <w:sz w:val="20"/>
          <w:szCs w:val="20"/>
        </w:rPr>
        <w:t xml:space="preserve"> it includes the details identified in the expected information for Criterion </w:t>
      </w:r>
      <w:r>
        <w:rPr>
          <w:rFonts w:ascii="Arial" w:hAnsi="Arial" w:cs="Arial"/>
          <w:sz w:val="20"/>
          <w:szCs w:val="20"/>
        </w:rPr>
        <w:t>3.11</w:t>
      </w:r>
      <w:r w:rsidR="00541DF3" w:rsidRPr="004653E7">
        <w:rPr>
          <w:rStyle w:val="FootnoteReference"/>
          <w:rFonts w:eastAsia="Batang" w:cs="Arial"/>
        </w:rPr>
        <w:footnoteReference w:id="19"/>
      </w:r>
      <w:r w:rsidRPr="008B02B6">
        <w:rPr>
          <w:rFonts w:ascii="Arial" w:hAnsi="Arial" w:cs="Arial"/>
          <w:sz w:val="20"/>
          <w:szCs w:val="20"/>
        </w:rPr>
        <w:t>. The same template can also be used for Criteria 2.11</w:t>
      </w:r>
      <w:r>
        <w:rPr>
          <w:rFonts w:ascii="Arial" w:hAnsi="Arial" w:cs="Arial"/>
          <w:sz w:val="20"/>
          <w:szCs w:val="20"/>
        </w:rPr>
        <w:t xml:space="preserve"> and 5.4</w:t>
      </w:r>
      <w:r w:rsidRPr="008B02B6">
        <w:rPr>
          <w:rFonts w:ascii="Arial" w:hAnsi="Arial" w:cs="Arial"/>
          <w:sz w:val="20"/>
          <w:szCs w:val="20"/>
        </w:rPr>
        <w:t xml:space="preserve">. </w:t>
      </w:r>
    </w:p>
    <w:p w14:paraId="5B0CBD02" w14:textId="77777777" w:rsidR="002E33AC" w:rsidRPr="004653E7" w:rsidRDefault="002E33AC" w:rsidP="002E33AC">
      <w:pPr>
        <w:rPr>
          <w:rFonts w:ascii="Arial" w:hAnsi="Arial" w:cs="Arial"/>
          <w:sz w:val="20"/>
          <w:szCs w:val="20"/>
        </w:rPr>
      </w:pPr>
    </w:p>
    <w:p w14:paraId="12BBCC92" w14:textId="6D6E6FDD" w:rsidR="002E33AC" w:rsidRPr="004653E7" w:rsidRDefault="002E33AC" w:rsidP="002E33AC">
      <w:pPr>
        <w:rPr>
          <w:rFonts w:ascii="Arial" w:hAnsi="Arial" w:cs="Arial"/>
          <w:sz w:val="20"/>
          <w:szCs w:val="20"/>
        </w:rPr>
      </w:pPr>
      <w:r w:rsidRPr="004653E7">
        <w:rPr>
          <w:rFonts w:ascii="Arial" w:hAnsi="Arial" w:cs="Arial"/>
          <w:sz w:val="20"/>
          <w:szCs w:val="20"/>
        </w:rPr>
        <w:t xml:space="preserve">The Accreditation Committee expects the education provider to submit clear evidence that all staff with responsibilities for assessment of students in the </w:t>
      </w:r>
      <w:r w:rsidR="00AF43D5">
        <w:rPr>
          <w:rFonts w:ascii="Arial" w:hAnsi="Arial" w:cs="Arial"/>
          <w:sz w:val="20"/>
          <w:szCs w:val="20"/>
        </w:rPr>
        <w:t>program</w:t>
      </w:r>
      <w:r w:rsidRPr="004653E7">
        <w:rPr>
          <w:rFonts w:ascii="Arial" w:hAnsi="Arial" w:cs="Arial"/>
          <w:sz w:val="20"/>
          <w:szCs w:val="20"/>
        </w:rPr>
        <w:t xml:space="preserve"> have:</w:t>
      </w:r>
    </w:p>
    <w:p w14:paraId="49A3C485" w14:textId="77777777" w:rsidR="002E33AC" w:rsidRPr="004653E7" w:rsidRDefault="002E33AC" w:rsidP="002E33AC">
      <w:pPr>
        <w:rPr>
          <w:rFonts w:ascii="Arial" w:hAnsi="Arial" w:cs="Arial"/>
          <w:sz w:val="20"/>
          <w:szCs w:val="20"/>
        </w:rPr>
      </w:pPr>
    </w:p>
    <w:p w14:paraId="2AB70719" w14:textId="77777777" w:rsidR="002E33AC" w:rsidRPr="004653E7" w:rsidRDefault="002E33AC" w:rsidP="00456240">
      <w:pPr>
        <w:pStyle w:val="ListParagraph"/>
        <w:numPr>
          <w:ilvl w:val="0"/>
          <w:numId w:val="32"/>
        </w:numPr>
        <w:jc w:val="left"/>
        <w:rPr>
          <w:sz w:val="20"/>
          <w:szCs w:val="20"/>
        </w:rPr>
      </w:pPr>
      <w:r w:rsidRPr="004653E7">
        <w:rPr>
          <w:sz w:val="20"/>
          <w:szCs w:val="20"/>
        </w:rPr>
        <w:t xml:space="preserve">skills in contemporary assessment principles and practice relevant to their responsibilities, and </w:t>
      </w:r>
    </w:p>
    <w:p w14:paraId="4A980952" w14:textId="77777777" w:rsidR="002E33AC" w:rsidRPr="004653E7" w:rsidRDefault="002E33AC" w:rsidP="00456240">
      <w:pPr>
        <w:pStyle w:val="ListParagraph"/>
        <w:numPr>
          <w:ilvl w:val="0"/>
          <w:numId w:val="32"/>
        </w:numPr>
        <w:jc w:val="left"/>
        <w:rPr>
          <w:sz w:val="20"/>
          <w:szCs w:val="20"/>
        </w:rPr>
      </w:pPr>
      <w:r w:rsidRPr="004653E7">
        <w:rPr>
          <w:sz w:val="20"/>
          <w:szCs w:val="20"/>
        </w:rPr>
        <w:t>a qualification in a relevant discipline at least one level higher than the program, or equivalent relevant academic or professional or practice-based experience and expertise.</w:t>
      </w:r>
    </w:p>
    <w:p w14:paraId="45AA7451" w14:textId="77777777" w:rsidR="002E33AC" w:rsidRPr="004653E7" w:rsidRDefault="002E33AC" w:rsidP="002E33AC">
      <w:pPr>
        <w:rPr>
          <w:rFonts w:ascii="Arial" w:hAnsi="Arial" w:cs="Arial"/>
          <w:sz w:val="20"/>
          <w:szCs w:val="20"/>
        </w:rPr>
      </w:pPr>
    </w:p>
    <w:p w14:paraId="373D25FC" w14:textId="77777777" w:rsidR="002E33AC" w:rsidRPr="004653E7" w:rsidRDefault="002E33AC" w:rsidP="002E33AC">
      <w:pPr>
        <w:rPr>
          <w:rFonts w:ascii="Arial" w:hAnsi="Arial" w:cs="Arial"/>
          <w:sz w:val="20"/>
          <w:szCs w:val="20"/>
        </w:rPr>
      </w:pPr>
      <w:r w:rsidRPr="004653E7">
        <w:rPr>
          <w:rFonts w:ascii="Arial" w:hAnsi="Arial" w:cs="Arial"/>
          <w:sz w:val="20"/>
          <w:szCs w:val="20"/>
        </w:rPr>
        <w:t xml:space="preserve">If information at the level of the program has been assessed by TEQSA, evidence of the outcome of TEQSA’s assessment is </w:t>
      </w:r>
      <w:proofErr w:type="gramStart"/>
      <w:r w:rsidRPr="004653E7">
        <w:rPr>
          <w:rFonts w:ascii="Arial" w:hAnsi="Arial" w:cs="Arial"/>
          <w:sz w:val="20"/>
          <w:szCs w:val="20"/>
        </w:rPr>
        <w:t>sufficient</w:t>
      </w:r>
      <w:proofErr w:type="gramEnd"/>
      <w:r w:rsidRPr="004653E7">
        <w:rPr>
          <w:rFonts w:ascii="Arial" w:hAnsi="Arial" w:cs="Arial"/>
          <w:sz w:val="20"/>
          <w:szCs w:val="20"/>
        </w:rPr>
        <w:t>.</w:t>
      </w:r>
    </w:p>
    <w:p w14:paraId="3585FBD6" w14:textId="77777777" w:rsidR="002E33AC" w:rsidRDefault="002E33AC" w:rsidP="002A24E3">
      <w:pPr>
        <w:rPr>
          <w:rFonts w:ascii="Arial" w:hAnsi="Arial" w:cs="Arial"/>
          <w:sz w:val="20"/>
          <w:szCs w:val="20"/>
        </w:rPr>
      </w:pPr>
    </w:p>
    <w:p w14:paraId="6E75F015" w14:textId="77777777" w:rsidR="00910A52" w:rsidRDefault="00910A52">
      <w:pPr>
        <w:spacing w:after="200" w:line="276" w:lineRule="auto"/>
        <w:rPr>
          <w:rFonts w:ascii="Arial" w:eastAsia="Cambria" w:hAnsi="Arial" w:cs="Arial"/>
          <w:b/>
          <w:color w:val="007DC3"/>
        </w:rPr>
      </w:pPr>
      <w:r>
        <w:rPr>
          <w:rFonts w:ascii="Arial" w:eastAsia="Cambria" w:hAnsi="Arial" w:cs="Arial"/>
          <w:b/>
          <w:color w:val="007DC3"/>
        </w:rPr>
        <w:br w:type="page"/>
      </w:r>
    </w:p>
    <w:p w14:paraId="2A5832C2" w14:textId="4428DB68" w:rsidR="002A24E3" w:rsidRPr="002838B3" w:rsidRDefault="002A24E3" w:rsidP="002838B3">
      <w:pPr>
        <w:pStyle w:val="Heading2"/>
        <w:spacing w:before="200" w:after="200"/>
        <w:rPr>
          <w:rFonts w:ascii="Arial" w:hAnsi="Arial"/>
          <w:i w:val="0"/>
          <w:color w:val="007DC3"/>
        </w:rPr>
      </w:pPr>
      <w:bookmarkStart w:id="42" w:name="_Toc55994919"/>
      <w:r w:rsidRPr="002838B3">
        <w:rPr>
          <w:rFonts w:ascii="Arial" w:hAnsi="Arial"/>
          <w:i w:val="0"/>
          <w:color w:val="007DC3"/>
        </w:rPr>
        <w:lastRenderedPageBreak/>
        <w:t>Standard 4: The student experience</w:t>
      </w:r>
      <w:bookmarkEnd w:id="42"/>
    </w:p>
    <w:p w14:paraId="5A180F08" w14:textId="40C662E0" w:rsidR="002A24E3" w:rsidRPr="004653E7" w:rsidRDefault="00634109" w:rsidP="00484EAD">
      <w:pPr>
        <w:pStyle w:val="AHPRAbodybold"/>
        <w:rPr>
          <w:color w:val="007DC3"/>
          <w:sz w:val="22"/>
          <w:szCs w:val="22"/>
        </w:rPr>
      </w:pPr>
      <w:r>
        <w:rPr>
          <w:sz w:val="22"/>
          <w:szCs w:val="22"/>
          <w:lang w:eastAsia="en-AU"/>
        </w:rPr>
        <w:t xml:space="preserve">Standard statement: </w:t>
      </w:r>
      <w:r w:rsidR="00484EAD" w:rsidRPr="004653E7">
        <w:rPr>
          <w:sz w:val="22"/>
          <w:szCs w:val="22"/>
        </w:rPr>
        <w:t xml:space="preserve">Students in </w:t>
      </w:r>
      <w:r w:rsidR="00AE2120">
        <w:rPr>
          <w:sz w:val="22"/>
          <w:szCs w:val="22"/>
        </w:rPr>
        <w:t>each</w:t>
      </w:r>
      <w:r w:rsidR="00AE2120" w:rsidRPr="004653E7">
        <w:rPr>
          <w:sz w:val="22"/>
          <w:szCs w:val="22"/>
        </w:rPr>
        <w:t xml:space="preserve"> </w:t>
      </w:r>
      <w:r w:rsidR="006C5B3C" w:rsidRPr="006C5B3C">
        <w:rPr>
          <w:sz w:val="22"/>
          <w:szCs w:val="20"/>
        </w:rPr>
        <w:t>unit/subject</w:t>
      </w:r>
      <w:r w:rsidR="006C5B3C" w:rsidRPr="006C5B3C" w:rsidDel="006C5B3C">
        <w:rPr>
          <w:sz w:val="24"/>
          <w:szCs w:val="22"/>
        </w:rPr>
        <w:t xml:space="preserve"> </w:t>
      </w:r>
      <w:r w:rsidR="00B00676" w:rsidRPr="004653E7">
        <w:rPr>
          <w:sz w:val="22"/>
          <w:szCs w:val="22"/>
        </w:rPr>
        <w:t>have</w:t>
      </w:r>
      <w:r w:rsidR="00484EAD" w:rsidRPr="004653E7">
        <w:rPr>
          <w:sz w:val="22"/>
          <w:szCs w:val="22"/>
        </w:rPr>
        <w:t xml:space="preserve"> equitable and timely access to information and learning support. </w:t>
      </w:r>
      <w:r w:rsidR="00484EAD" w:rsidRPr="004653E7">
        <w:rPr>
          <w:rFonts w:eastAsiaTheme="minorHAnsi"/>
          <w:sz w:val="22"/>
          <w:szCs w:val="22"/>
        </w:rPr>
        <w:t xml:space="preserve"> </w:t>
      </w:r>
    </w:p>
    <w:tbl>
      <w:tblPr>
        <w:tblW w:w="9639" w:type="dxa"/>
        <w:tblInd w:w="-5" w:type="dxa"/>
        <w:tblLayout w:type="fixed"/>
        <w:tblLook w:val="04A0" w:firstRow="1" w:lastRow="0" w:firstColumn="1" w:lastColumn="0" w:noHBand="0" w:noVBand="1"/>
      </w:tblPr>
      <w:tblGrid>
        <w:gridCol w:w="709"/>
        <w:gridCol w:w="3403"/>
        <w:gridCol w:w="5527"/>
      </w:tblGrid>
      <w:tr w:rsidR="00484EAD" w:rsidRPr="004653E7" w14:paraId="52EB661F" w14:textId="77777777" w:rsidTr="00D1622A">
        <w:trPr>
          <w:trHeight w:val="409"/>
          <w:tblHeader/>
        </w:trPr>
        <w:tc>
          <w:tcPr>
            <w:tcW w:w="411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058716" w14:textId="77777777" w:rsidR="00484EAD" w:rsidRPr="004653E7" w:rsidRDefault="00484EAD" w:rsidP="00F23E41">
            <w:pPr>
              <w:spacing w:before="120" w:after="120"/>
              <w:rPr>
                <w:rFonts w:ascii="Arial" w:hAnsi="Arial" w:cs="Arial"/>
                <w:b/>
                <w:bCs/>
                <w:sz w:val="20"/>
                <w:szCs w:val="20"/>
                <w:lang w:eastAsia="en-AU"/>
              </w:rPr>
            </w:pPr>
            <w:r w:rsidRPr="004653E7">
              <w:rPr>
                <w:rFonts w:ascii="Arial" w:hAnsi="Arial" w:cs="Arial"/>
                <w:b/>
                <w:bCs/>
                <w:sz w:val="20"/>
                <w:szCs w:val="20"/>
                <w:lang w:eastAsia="en-AU"/>
              </w:rPr>
              <w:t>Criteria</w:t>
            </w:r>
          </w:p>
        </w:tc>
        <w:tc>
          <w:tcPr>
            <w:tcW w:w="552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71C4763" w14:textId="77777777" w:rsidR="00484EAD" w:rsidRPr="004653E7" w:rsidRDefault="00484EAD" w:rsidP="00F23E41">
            <w:pPr>
              <w:spacing w:before="120" w:after="120"/>
              <w:rPr>
                <w:rFonts w:ascii="Arial" w:hAnsi="Arial" w:cs="Arial"/>
                <w:b/>
                <w:bCs/>
                <w:sz w:val="20"/>
                <w:szCs w:val="20"/>
                <w:lang w:eastAsia="en-AU"/>
              </w:rPr>
            </w:pPr>
            <w:r w:rsidRPr="004653E7">
              <w:rPr>
                <w:rFonts w:ascii="Arial" w:hAnsi="Arial" w:cs="Arial"/>
                <w:b/>
                <w:bCs/>
                <w:sz w:val="20"/>
                <w:szCs w:val="20"/>
                <w:lang w:eastAsia="en-AU"/>
              </w:rPr>
              <w:t>Expected information for inclusion with accreditation application/monitoring response</w:t>
            </w:r>
          </w:p>
        </w:tc>
      </w:tr>
      <w:tr w:rsidR="00484EAD" w:rsidRPr="004653E7" w14:paraId="5B403BE2" w14:textId="77777777" w:rsidTr="00D1622A">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BB9A634" w14:textId="77777777" w:rsidR="00484EAD" w:rsidRPr="004653E7" w:rsidRDefault="00484EAD" w:rsidP="00624DC5">
            <w:pPr>
              <w:rPr>
                <w:rFonts w:ascii="Arial" w:hAnsi="Arial" w:cs="Arial"/>
                <w:sz w:val="20"/>
                <w:szCs w:val="20"/>
                <w:lang w:eastAsia="en-AU"/>
              </w:rPr>
            </w:pPr>
            <w:bookmarkStart w:id="43" w:name="_Hlk37939757"/>
            <w:r w:rsidRPr="004653E7">
              <w:rPr>
                <w:rFonts w:ascii="Arial" w:hAnsi="Arial" w:cs="Arial"/>
                <w:sz w:val="20"/>
                <w:szCs w:val="20"/>
                <w:lang w:eastAsia="en-AU"/>
              </w:rPr>
              <w:t>4.1</w:t>
            </w:r>
          </w:p>
        </w:tc>
        <w:tc>
          <w:tcPr>
            <w:tcW w:w="3403" w:type="dxa"/>
            <w:tcBorders>
              <w:top w:val="single" w:sz="4" w:space="0" w:color="auto"/>
              <w:left w:val="nil"/>
              <w:bottom w:val="single" w:sz="4" w:space="0" w:color="auto"/>
              <w:right w:val="single" w:sz="4" w:space="0" w:color="auto"/>
            </w:tcBorders>
            <w:shd w:val="clear" w:color="auto" w:fill="auto"/>
          </w:tcPr>
          <w:p w14:paraId="0C29E4CC" w14:textId="1A6C8C4D" w:rsidR="00484EAD" w:rsidRPr="004653E7" w:rsidRDefault="006C5B3C" w:rsidP="00624DC5">
            <w:pPr>
              <w:rPr>
                <w:rFonts w:ascii="Arial" w:hAnsi="Arial" w:cs="Arial"/>
                <w:sz w:val="20"/>
                <w:szCs w:val="20"/>
                <w:lang w:eastAsia="en-AU"/>
              </w:rPr>
            </w:pPr>
            <w:r>
              <w:rPr>
                <w:rFonts w:ascii="Arial" w:hAnsi="Arial" w:cs="Arial"/>
                <w:sz w:val="20"/>
                <w:szCs w:val="20"/>
                <w:lang w:eastAsia="en-AU"/>
              </w:rPr>
              <w:t>Unit/subject</w:t>
            </w:r>
            <w:r w:rsidRPr="004653E7">
              <w:rPr>
                <w:rFonts w:ascii="Arial" w:hAnsi="Arial" w:cs="Arial"/>
                <w:sz w:val="20"/>
                <w:szCs w:val="20"/>
                <w:lang w:eastAsia="en-AU"/>
              </w:rPr>
              <w:t xml:space="preserve"> </w:t>
            </w:r>
            <w:r w:rsidR="00484EAD" w:rsidRPr="004653E7">
              <w:rPr>
                <w:rFonts w:ascii="Arial" w:hAnsi="Arial" w:cs="Arial"/>
                <w:sz w:val="20"/>
                <w:szCs w:val="20"/>
                <w:lang w:eastAsia="en-AU"/>
              </w:rPr>
              <w:t>information is complete, accurate, clear</w:t>
            </w:r>
            <w:r w:rsidR="00023A90" w:rsidRPr="004653E7">
              <w:rPr>
                <w:rFonts w:ascii="Arial" w:hAnsi="Arial" w:cs="Arial"/>
                <w:sz w:val="20"/>
                <w:szCs w:val="20"/>
                <w:lang w:eastAsia="en-AU"/>
              </w:rPr>
              <w:t>,</w:t>
            </w:r>
            <w:r w:rsidR="00484EAD" w:rsidRPr="004653E7">
              <w:rPr>
                <w:rFonts w:ascii="Arial" w:hAnsi="Arial" w:cs="Arial"/>
                <w:sz w:val="20"/>
                <w:szCs w:val="20"/>
                <w:lang w:eastAsia="en-AU"/>
              </w:rPr>
              <w:t xml:space="preserve"> accessible and up-to-date.</w:t>
            </w:r>
          </w:p>
        </w:tc>
        <w:tc>
          <w:tcPr>
            <w:tcW w:w="5527" w:type="dxa"/>
            <w:tcBorders>
              <w:top w:val="single" w:sz="4" w:space="0" w:color="auto"/>
              <w:left w:val="nil"/>
              <w:bottom w:val="single" w:sz="4" w:space="0" w:color="auto"/>
              <w:right w:val="single" w:sz="4" w:space="0" w:color="auto"/>
            </w:tcBorders>
          </w:tcPr>
          <w:p w14:paraId="19EDCB50" w14:textId="7F1BFBBF" w:rsidR="00A518D9" w:rsidRDefault="00A518D9" w:rsidP="00A518D9">
            <w:pPr>
              <w:pStyle w:val="ListParagraph"/>
              <w:numPr>
                <w:ilvl w:val="0"/>
                <w:numId w:val="12"/>
              </w:numPr>
              <w:jc w:val="left"/>
              <w:rPr>
                <w:sz w:val="20"/>
                <w:szCs w:val="20"/>
              </w:rPr>
            </w:pPr>
            <w:r>
              <w:rPr>
                <w:sz w:val="20"/>
                <w:szCs w:val="20"/>
              </w:rPr>
              <w:t>Information and/or links to website pages provided to prospective students (before enrolment) and enrolled students about the program, including information on pre-requisites and recognition of prior learning.</w:t>
            </w:r>
          </w:p>
          <w:p w14:paraId="66AB6254" w14:textId="17A76288" w:rsidR="002C68D0" w:rsidRPr="004653E7" w:rsidRDefault="005A4271" w:rsidP="00A518D9">
            <w:pPr>
              <w:pStyle w:val="ListParagraph"/>
              <w:numPr>
                <w:ilvl w:val="0"/>
                <w:numId w:val="12"/>
              </w:numPr>
              <w:jc w:val="left"/>
              <w:rPr>
                <w:sz w:val="20"/>
                <w:szCs w:val="20"/>
              </w:rPr>
            </w:pPr>
            <w:r>
              <w:rPr>
                <w:sz w:val="20"/>
                <w:szCs w:val="20"/>
              </w:rPr>
              <w:t>Description of mechanisms by which s</w:t>
            </w:r>
            <w:r w:rsidR="002C68D0">
              <w:rPr>
                <w:sz w:val="20"/>
                <w:szCs w:val="20"/>
              </w:rPr>
              <w:t>tudents can access inherent requirements and reasonable adjustments to enable them to complete their studies.</w:t>
            </w:r>
          </w:p>
          <w:p w14:paraId="611BF90C" w14:textId="77777777" w:rsidR="005A4271" w:rsidRDefault="005A4271" w:rsidP="00A518D9">
            <w:pPr>
              <w:pStyle w:val="ListParagraph"/>
              <w:numPr>
                <w:ilvl w:val="0"/>
                <w:numId w:val="12"/>
              </w:numPr>
              <w:jc w:val="left"/>
              <w:rPr>
                <w:sz w:val="20"/>
                <w:szCs w:val="20"/>
              </w:rPr>
            </w:pPr>
            <w:r>
              <w:rPr>
                <w:sz w:val="20"/>
                <w:szCs w:val="20"/>
              </w:rPr>
              <w:t>De-identified examples of reasonable adjustments, together with student learning outcomes.</w:t>
            </w:r>
          </w:p>
          <w:p w14:paraId="474FCB8A" w14:textId="37B52041" w:rsidR="00484EAD" w:rsidRPr="00250A62" w:rsidRDefault="00484EAD" w:rsidP="00250A62">
            <w:pPr>
              <w:pStyle w:val="ListParagraph"/>
              <w:numPr>
                <w:ilvl w:val="0"/>
                <w:numId w:val="12"/>
              </w:numPr>
              <w:jc w:val="left"/>
              <w:rPr>
                <w:sz w:val="20"/>
                <w:szCs w:val="20"/>
              </w:rPr>
            </w:pPr>
            <w:r w:rsidRPr="004653E7">
              <w:rPr>
                <w:sz w:val="20"/>
                <w:szCs w:val="20"/>
              </w:rPr>
              <w:t xml:space="preserve">Explanation about when and how prospective and enrolled students are provided with full details about registration requirements, fees, refunds and any other costs involved in </w:t>
            </w:r>
            <w:r w:rsidR="0088785C">
              <w:rPr>
                <w:sz w:val="20"/>
                <w:szCs w:val="20"/>
              </w:rPr>
              <w:t>each</w:t>
            </w:r>
            <w:r w:rsidR="0088785C" w:rsidRPr="004653E7">
              <w:rPr>
                <w:sz w:val="20"/>
                <w:szCs w:val="20"/>
              </w:rPr>
              <w:t xml:space="preserve"> </w:t>
            </w:r>
            <w:r w:rsidR="006C5B3C" w:rsidRPr="002A0294">
              <w:rPr>
                <w:rFonts w:eastAsia="Cambria"/>
                <w:sz w:val="20"/>
                <w:szCs w:val="20"/>
              </w:rPr>
              <w:t>unit/subject</w:t>
            </w:r>
            <w:r w:rsidRPr="004653E7">
              <w:rPr>
                <w:sz w:val="20"/>
                <w:szCs w:val="20"/>
              </w:rPr>
              <w:t>.</w:t>
            </w:r>
          </w:p>
        </w:tc>
      </w:tr>
      <w:tr w:rsidR="001074EB" w:rsidRPr="004653E7" w14:paraId="40F13E94" w14:textId="77777777" w:rsidTr="00C52773">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D4C6BB5" w14:textId="77777777" w:rsidR="001074EB" w:rsidRPr="004653E7" w:rsidRDefault="001074EB" w:rsidP="00C52773">
            <w:pPr>
              <w:rPr>
                <w:rFonts w:ascii="Arial" w:hAnsi="Arial" w:cs="Arial"/>
                <w:sz w:val="20"/>
                <w:szCs w:val="20"/>
                <w:lang w:eastAsia="en-AU"/>
              </w:rPr>
            </w:pPr>
            <w:r w:rsidRPr="004653E7">
              <w:rPr>
                <w:rFonts w:ascii="Arial" w:hAnsi="Arial" w:cs="Arial"/>
                <w:sz w:val="20"/>
                <w:szCs w:val="20"/>
                <w:lang w:eastAsia="en-AU"/>
              </w:rPr>
              <w:t>4.2</w:t>
            </w:r>
          </w:p>
        </w:tc>
        <w:tc>
          <w:tcPr>
            <w:tcW w:w="3403" w:type="dxa"/>
            <w:tcBorders>
              <w:top w:val="single" w:sz="4" w:space="0" w:color="auto"/>
              <w:left w:val="nil"/>
              <w:bottom w:val="single" w:sz="4" w:space="0" w:color="auto"/>
              <w:right w:val="single" w:sz="4" w:space="0" w:color="auto"/>
            </w:tcBorders>
            <w:shd w:val="clear" w:color="auto" w:fill="auto"/>
          </w:tcPr>
          <w:p w14:paraId="67CCD824" w14:textId="77777777" w:rsidR="001074EB" w:rsidRPr="004653E7" w:rsidRDefault="001074EB" w:rsidP="00C52773">
            <w:pPr>
              <w:rPr>
                <w:rFonts w:ascii="Arial" w:hAnsi="Arial" w:cs="Arial"/>
                <w:sz w:val="20"/>
                <w:szCs w:val="20"/>
                <w:lang w:eastAsia="en-AU"/>
              </w:rPr>
            </w:pPr>
            <w:r w:rsidRPr="004653E7">
              <w:rPr>
                <w:rFonts w:ascii="Arial" w:hAnsi="Arial" w:cs="Arial"/>
                <w:sz w:val="20"/>
                <w:szCs w:val="20"/>
                <w:lang w:eastAsia="en-AU"/>
              </w:rPr>
              <w:t xml:space="preserve">The education provider </w:t>
            </w:r>
            <w:proofErr w:type="gramStart"/>
            <w:r w:rsidRPr="004653E7">
              <w:rPr>
                <w:rFonts w:ascii="Arial" w:hAnsi="Arial" w:cs="Arial"/>
                <w:sz w:val="20"/>
                <w:szCs w:val="20"/>
                <w:lang w:eastAsia="en-AU"/>
              </w:rPr>
              <w:t xml:space="preserve">ensures </w:t>
            </w:r>
            <w:r>
              <w:rPr>
                <w:rFonts w:ascii="Arial" w:hAnsi="Arial" w:cs="Arial"/>
                <w:sz w:val="20"/>
                <w:szCs w:val="20"/>
                <w:lang w:eastAsia="en-AU"/>
              </w:rPr>
              <w:t xml:space="preserve">physical and </w:t>
            </w:r>
            <w:r w:rsidRPr="004653E7">
              <w:rPr>
                <w:rFonts w:ascii="Arial" w:hAnsi="Arial" w:cs="Arial"/>
                <w:sz w:val="20"/>
                <w:szCs w:val="20"/>
                <w:lang w:eastAsia="en-AU"/>
              </w:rPr>
              <w:t>cultural safety for students at all times</w:t>
            </w:r>
            <w:proofErr w:type="gramEnd"/>
            <w:r w:rsidRPr="004653E7">
              <w:rPr>
                <w:rFonts w:ascii="Arial" w:hAnsi="Arial" w:cs="Arial"/>
                <w:sz w:val="20"/>
                <w:szCs w:val="20"/>
                <w:lang w:eastAsia="en-AU"/>
              </w:rPr>
              <w:t>.</w:t>
            </w:r>
          </w:p>
        </w:tc>
        <w:tc>
          <w:tcPr>
            <w:tcW w:w="5527" w:type="dxa"/>
            <w:tcBorders>
              <w:top w:val="single" w:sz="4" w:space="0" w:color="auto"/>
              <w:left w:val="nil"/>
              <w:bottom w:val="single" w:sz="4" w:space="0" w:color="auto"/>
              <w:right w:val="single" w:sz="4" w:space="0" w:color="auto"/>
            </w:tcBorders>
          </w:tcPr>
          <w:p w14:paraId="388CD1AB" w14:textId="67877CD5" w:rsidR="001074EB" w:rsidRPr="004653E7" w:rsidRDefault="001074EB" w:rsidP="00C273CB">
            <w:pPr>
              <w:pStyle w:val="ListParagraph"/>
              <w:numPr>
                <w:ilvl w:val="0"/>
                <w:numId w:val="12"/>
              </w:numPr>
              <w:jc w:val="left"/>
              <w:rPr>
                <w:sz w:val="20"/>
                <w:szCs w:val="20"/>
              </w:rPr>
            </w:pPr>
            <w:r w:rsidRPr="004653E7">
              <w:rPr>
                <w:sz w:val="20"/>
                <w:szCs w:val="20"/>
              </w:rPr>
              <w:t>Examples of implementation of formal mechanisms used to ensure</w:t>
            </w:r>
            <w:r>
              <w:rPr>
                <w:sz w:val="20"/>
                <w:szCs w:val="20"/>
              </w:rPr>
              <w:t xml:space="preserve"> that </w:t>
            </w:r>
            <w:r w:rsidRPr="004653E7">
              <w:rPr>
                <w:sz w:val="20"/>
                <w:szCs w:val="20"/>
              </w:rPr>
              <w:t>staff and student</w:t>
            </w:r>
            <w:r>
              <w:rPr>
                <w:sz w:val="20"/>
                <w:szCs w:val="20"/>
              </w:rPr>
              <w:t>s</w:t>
            </w:r>
            <w:r w:rsidRPr="004653E7">
              <w:rPr>
                <w:sz w:val="20"/>
                <w:szCs w:val="20"/>
              </w:rPr>
              <w:t xml:space="preserve"> work and learn</w:t>
            </w:r>
            <w:r>
              <w:rPr>
                <w:sz w:val="20"/>
                <w:szCs w:val="20"/>
              </w:rPr>
              <w:t xml:space="preserve"> </w:t>
            </w:r>
            <w:r w:rsidRPr="004653E7">
              <w:rPr>
                <w:sz w:val="20"/>
                <w:szCs w:val="20"/>
              </w:rPr>
              <w:t>in</w:t>
            </w:r>
            <w:r>
              <w:rPr>
                <w:sz w:val="20"/>
                <w:szCs w:val="20"/>
              </w:rPr>
              <w:t xml:space="preserve"> an</w:t>
            </w:r>
            <w:r w:rsidRPr="004653E7">
              <w:rPr>
                <w:sz w:val="20"/>
                <w:szCs w:val="20"/>
              </w:rPr>
              <w:t xml:space="preserve"> environment </w:t>
            </w:r>
            <w:r>
              <w:rPr>
                <w:sz w:val="20"/>
                <w:szCs w:val="20"/>
              </w:rPr>
              <w:t xml:space="preserve">that is </w:t>
            </w:r>
            <w:r w:rsidRPr="004653E7">
              <w:rPr>
                <w:sz w:val="20"/>
                <w:szCs w:val="20"/>
              </w:rPr>
              <w:t>physically and culturally safe</w:t>
            </w:r>
            <w:r w:rsidR="00B77FF9">
              <w:rPr>
                <w:sz w:val="20"/>
                <w:szCs w:val="20"/>
              </w:rPr>
              <w:t>, including in face-to-face and online environments</w:t>
            </w:r>
            <w:r w:rsidRPr="004653E7">
              <w:rPr>
                <w:sz w:val="20"/>
                <w:szCs w:val="20"/>
              </w:rPr>
              <w:t>.</w:t>
            </w:r>
          </w:p>
          <w:p w14:paraId="0D5458E1" w14:textId="77777777" w:rsidR="001074EB" w:rsidRPr="003C2B36" w:rsidRDefault="001074EB" w:rsidP="00C273CB">
            <w:pPr>
              <w:pStyle w:val="ListParagraph"/>
              <w:numPr>
                <w:ilvl w:val="0"/>
                <w:numId w:val="12"/>
              </w:numPr>
              <w:jc w:val="left"/>
              <w:rPr>
                <w:sz w:val="20"/>
                <w:szCs w:val="20"/>
              </w:rPr>
            </w:pPr>
            <w:r w:rsidRPr="003C2B36">
              <w:rPr>
                <w:sz w:val="20"/>
                <w:szCs w:val="20"/>
              </w:rPr>
              <w:t xml:space="preserve">Examples of feedback from students about the </w:t>
            </w:r>
            <w:r>
              <w:rPr>
                <w:sz w:val="20"/>
                <w:szCs w:val="20"/>
              </w:rPr>
              <w:t xml:space="preserve">cultural </w:t>
            </w:r>
            <w:r w:rsidRPr="003C2B36">
              <w:rPr>
                <w:sz w:val="20"/>
                <w:szCs w:val="20"/>
              </w:rPr>
              <w:t>safety of the environment.</w:t>
            </w:r>
          </w:p>
          <w:p w14:paraId="77E25559" w14:textId="77777777" w:rsidR="001074EB" w:rsidRPr="004653E7" w:rsidRDefault="001074EB" w:rsidP="00C273CB">
            <w:pPr>
              <w:pStyle w:val="ListParagraph"/>
              <w:numPr>
                <w:ilvl w:val="0"/>
                <w:numId w:val="12"/>
              </w:numPr>
              <w:jc w:val="left"/>
              <w:rPr>
                <w:sz w:val="20"/>
                <w:szCs w:val="20"/>
              </w:rPr>
            </w:pPr>
            <w:r w:rsidRPr="004653E7">
              <w:rPr>
                <w:sz w:val="20"/>
                <w:szCs w:val="20"/>
              </w:rPr>
              <w:t xml:space="preserve">Examples of resolving any issues that compromised the physical and/or cultural safety of </w:t>
            </w:r>
            <w:r>
              <w:rPr>
                <w:sz w:val="20"/>
                <w:szCs w:val="20"/>
              </w:rPr>
              <w:t>the environment for students.</w:t>
            </w:r>
          </w:p>
        </w:tc>
      </w:tr>
      <w:bookmarkEnd w:id="43"/>
      <w:tr w:rsidR="00C273CB" w:rsidRPr="004653E7" w14:paraId="0FCB2FED" w14:textId="77777777" w:rsidTr="00D1622A">
        <w:trPr>
          <w:trHeight w:val="559"/>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56FDB79" w14:textId="37EF3B53" w:rsidR="00C273CB" w:rsidRPr="004653E7" w:rsidRDefault="00C273CB" w:rsidP="00C273CB">
            <w:pPr>
              <w:rPr>
                <w:rFonts w:ascii="Arial" w:hAnsi="Arial" w:cs="Arial"/>
                <w:sz w:val="20"/>
                <w:szCs w:val="20"/>
                <w:lang w:eastAsia="en-AU"/>
              </w:rPr>
            </w:pPr>
            <w:r>
              <w:rPr>
                <w:rFonts w:ascii="Arial" w:hAnsi="Arial" w:cs="Arial"/>
                <w:sz w:val="20"/>
                <w:szCs w:val="20"/>
                <w:lang w:eastAsia="en-AU"/>
              </w:rPr>
              <w:t>4.3</w:t>
            </w:r>
          </w:p>
        </w:tc>
        <w:tc>
          <w:tcPr>
            <w:tcW w:w="3403" w:type="dxa"/>
            <w:tcBorders>
              <w:top w:val="single" w:sz="4" w:space="0" w:color="auto"/>
              <w:left w:val="nil"/>
              <w:bottom w:val="single" w:sz="4" w:space="0" w:color="auto"/>
              <w:right w:val="single" w:sz="4" w:space="0" w:color="auto"/>
            </w:tcBorders>
            <w:shd w:val="clear" w:color="auto" w:fill="auto"/>
          </w:tcPr>
          <w:p w14:paraId="4F4372E5" w14:textId="02CB5043" w:rsidR="00C273CB" w:rsidRPr="004653E7" w:rsidRDefault="00C273CB" w:rsidP="00C273CB">
            <w:pPr>
              <w:rPr>
                <w:rFonts w:ascii="Arial" w:hAnsi="Arial" w:cs="Arial"/>
                <w:sz w:val="20"/>
                <w:szCs w:val="20"/>
                <w:lang w:eastAsia="en-AU"/>
              </w:rPr>
            </w:pPr>
            <w:r w:rsidRPr="004653E7">
              <w:rPr>
                <w:rFonts w:ascii="Arial" w:hAnsi="Arial" w:cs="Arial"/>
                <w:sz w:val="20"/>
                <w:szCs w:val="20"/>
                <w:lang w:eastAsia="en-AU"/>
              </w:rPr>
              <w:t xml:space="preserve">The education provider assesses and actively manages risks to </w:t>
            </w:r>
            <w:r>
              <w:rPr>
                <w:rFonts w:ascii="Arial" w:hAnsi="Arial" w:cs="Arial"/>
                <w:sz w:val="20"/>
                <w:szCs w:val="20"/>
                <w:lang w:eastAsia="en-AU"/>
              </w:rPr>
              <w:t>students enrolled in the program</w:t>
            </w:r>
            <w:r w:rsidRPr="004653E7">
              <w:rPr>
                <w:rFonts w:ascii="Arial" w:hAnsi="Arial" w:cs="Arial"/>
                <w:sz w:val="20"/>
                <w:szCs w:val="20"/>
                <w:lang w:eastAsia="en-AU"/>
              </w:rPr>
              <w:t>.</w:t>
            </w:r>
          </w:p>
        </w:tc>
        <w:tc>
          <w:tcPr>
            <w:tcW w:w="5527" w:type="dxa"/>
            <w:tcBorders>
              <w:top w:val="single" w:sz="4" w:space="0" w:color="auto"/>
              <w:left w:val="nil"/>
              <w:bottom w:val="single" w:sz="4" w:space="0" w:color="auto"/>
              <w:right w:val="single" w:sz="4" w:space="0" w:color="auto"/>
            </w:tcBorders>
          </w:tcPr>
          <w:p w14:paraId="1C36BB15" w14:textId="4D095FEE" w:rsidR="00C273CB" w:rsidRDefault="00C273CB" w:rsidP="00C273CB">
            <w:pPr>
              <w:pStyle w:val="ListParagraph"/>
              <w:numPr>
                <w:ilvl w:val="0"/>
                <w:numId w:val="23"/>
              </w:numPr>
              <w:tabs>
                <w:tab w:val="left" w:pos="1656"/>
              </w:tabs>
              <w:jc w:val="left"/>
              <w:rPr>
                <w:sz w:val="20"/>
                <w:szCs w:val="20"/>
              </w:rPr>
            </w:pPr>
            <w:r w:rsidRPr="004653E7">
              <w:rPr>
                <w:sz w:val="20"/>
                <w:szCs w:val="20"/>
              </w:rPr>
              <w:t xml:space="preserve">Examples of </w:t>
            </w:r>
            <w:r>
              <w:rPr>
                <w:sz w:val="20"/>
                <w:szCs w:val="20"/>
              </w:rPr>
              <w:t xml:space="preserve">development and </w:t>
            </w:r>
            <w:r w:rsidRPr="004653E7">
              <w:rPr>
                <w:sz w:val="20"/>
                <w:szCs w:val="20"/>
              </w:rPr>
              <w:t>implementation of a risk management plan</w:t>
            </w:r>
            <w:r w:rsidR="00AD585A">
              <w:rPr>
                <w:sz w:val="20"/>
                <w:szCs w:val="20"/>
              </w:rPr>
              <w:t>.</w:t>
            </w:r>
          </w:p>
          <w:p w14:paraId="7AB3C75A" w14:textId="6F313526" w:rsidR="00C273CB" w:rsidRDefault="00C273CB" w:rsidP="00C273CB">
            <w:pPr>
              <w:pStyle w:val="ListParagraph"/>
              <w:numPr>
                <w:ilvl w:val="0"/>
                <w:numId w:val="23"/>
              </w:numPr>
              <w:tabs>
                <w:tab w:val="left" w:pos="1656"/>
              </w:tabs>
              <w:jc w:val="left"/>
              <w:rPr>
                <w:sz w:val="20"/>
                <w:szCs w:val="20"/>
              </w:rPr>
            </w:pPr>
            <w:r>
              <w:rPr>
                <w:sz w:val="20"/>
                <w:szCs w:val="20"/>
              </w:rPr>
              <w:t>Examples of</w:t>
            </w:r>
            <w:r w:rsidRPr="004653E7">
              <w:rPr>
                <w:sz w:val="20"/>
                <w:szCs w:val="20"/>
              </w:rPr>
              <w:t xml:space="preserve"> formal mechanisms for assessing</w:t>
            </w:r>
            <w:r>
              <w:rPr>
                <w:sz w:val="20"/>
                <w:szCs w:val="20"/>
              </w:rPr>
              <w:t>,</w:t>
            </w:r>
            <w:r w:rsidRPr="004653E7">
              <w:rPr>
                <w:sz w:val="20"/>
                <w:szCs w:val="20"/>
              </w:rPr>
              <w:t xml:space="preserve"> mitigating </w:t>
            </w:r>
            <w:r>
              <w:rPr>
                <w:sz w:val="20"/>
                <w:szCs w:val="20"/>
              </w:rPr>
              <w:t xml:space="preserve">and addressing </w:t>
            </w:r>
            <w:r w:rsidRPr="004653E7">
              <w:rPr>
                <w:sz w:val="20"/>
                <w:szCs w:val="20"/>
              </w:rPr>
              <w:t>risk</w:t>
            </w:r>
            <w:r>
              <w:rPr>
                <w:sz w:val="20"/>
                <w:szCs w:val="20"/>
              </w:rPr>
              <w:t>s to students enrolled in the program</w:t>
            </w:r>
            <w:r w:rsidRPr="004653E7">
              <w:rPr>
                <w:sz w:val="20"/>
                <w:szCs w:val="20"/>
              </w:rPr>
              <w:t>.</w:t>
            </w:r>
          </w:p>
          <w:p w14:paraId="5DF3C6C6" w14:textId="77777777" w:rsidR="00C273CB" w:rsidRPr="004653E7" w:rsidRDefault="00C273CB" w:rsidP="00C273CB">
            <w:pPr>
              <w:pStyle w:val="ListParagraph"/>
              <w:numPr>
                <w:ilvl w:val="0"/>
                <w:numId w:val="23"/>
              </w:numPr>
              <w:jc w:val="left"/>
              <w:rPr>
                <w:sz w:val="20"/>
                <w:szCs w:val="20"/>
              </w:rPr>
            </w:pPr>
            <w:r w:rsidRPr="004653E7">
              <w:rPr>
                <w:sz w:val="20"/>
                <w:szCs w:val="20"/>
              </w:rPr>
              <w:t>Examples of engagement between the education provider and practitioners who provide instruction and supervision to students during work-integrated learning.</w:t>
            </w:r>
          </w:p>
          <w:p w14:paraId="699B8F09" w14:textId="6C1D762A" w:rsidR="00C273CB" w:rsidRPr="004653E7" w:rsidRDefault="00C273CB" w:rsidP="00C273CB">
            <w:pPr>
              <w:pStyle w:val="ListParagraph"/>
              <w:numPr>
                <w:ilvl w:val="0"/>
                <w:numId w:val="12"/>
              </w:numPr>
              <w:jc w:val="left"/>
              <w:rPr>
                <w:sz w:val="20"/>
                <w:szCs w:val="20"/>
              </w:rPr>
            </w:pPr>
            <w:r w:rsidRPr="004653E7">
              <w:rPr>
                <w:sz w:val="20"/>
                <w:szCs w:val="20"/>
              </w:rPr>
              <w:t>Examples of implementation of formal mechanisms used for training and monitoring work-integrated learning supervisors.</w:t>
            </w:r>
          </w:p>
        </w:tc>
      </w:tr>
      <w:tr w:rsidR="00C273CB" w:rsidRPr="004653E7" w14:paraId="4B35A4F1" w14:textId="77777777" w:rsidTr="00D1622A">
        <w:trPr>
          <w:trHeight w:val="559"/>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71BD75F" w14:textId="172D9B31" w:rsidR="00C273CB" w:rsidRPr="004653E7" w:rsidRDefault="00C273CB" w:rsidP="00C273CB">
            <w:pPr>
              <w:rPr>
                <w:rFonts w:ascii="Arial" w:hAnsi="Arial" w:cs="Arial"/>
                <w:sz w:val="20"/>
                <w:szCs w:val="20"/>
                <w:lang w:eastAsia="en-AU"/>
              </w:rPr>
            </w:pPr>
            <w:r w:rsidRPr="004653E7">
              <w:rPr>
                <w:rFonts w:ascii="Arial" w:hAnsi="Arial" w:cs="Arial"/>
                <w:sz w:val="20"/>
                <w:szCs w:val="20"/>
                <w:lang w:eastAsia="en-AU"/>
              </w:rPr>
              <w:t>4.</w:t>
            </w:r>
            <w:r>
              <w:rPr>
                <w:rFonts w:ascii="Arial" w:hAnsi="Arial" w:cs="Arial"/>
                <w:sz w:val="20"/>
                <w:szCs w:val="20"/>
                <w:lang w:eastAsia="en-AU"/>
              </w:rPr>
              <w:t>4</w:t>
            </w:r>
          </w:p>
        </w:tc>
        <w:tc>
          <w:tcPr>
            <w:tcW w:w="3403" w:type="dxa"/>
            <w:tcBorders>
              <w:top w:val="single" w:sz="4" w:space="0" w:color="auto"/>
              <w:left w:val="nil"/>
              <w:bottom w:val="single" w:sz="4" w:space="0" w:color="auto"/>
              <w:right w:val="single" w:sz="4" w:space="0" w:color="auto"/>
            </w:tcBorders>
            <w:shd w:val="clear" w:color="auto" w:fill="auto"/>
          </w:tcPr>
          <w:p w14:paraId="72222FB3" w14:textId="6F503B2D" w:rsidR="00C273CB" w:rsidRPr="004653E7" w:rsidRDefault="00C273CB" w:rsidP="00C273CB">
            <w:pPr>
              <w:rPr>
                <w:rFonts w:ascii="Arial" w:hAnsi="Arial" w:cs="Arial"/>
                <w:sz w:val="20"/>
                <w:szCs w:val="20"/>
                <w:lang w:eastAsia="en-AU"/>
              </w:rPr>
            </w:pPr>
            <w:r w:rsidRPr="004653E7">
              <w:rPr>
                <w:rFonts w:ascii="Arial" w:hAnsi="Arial" w:cs="Arial"/>
                <w:sz w:val="20"/>
                <w:szCs w:val="20"/>
                <w:lang w:eastAsia="en-AU"/>
              </w:rPr>
              <w:t>The education provider identifies and provides support services</w:t>
            </w:r>
            <w:r>
              <w:rPr>
                <w:rFonts w:ascii="Arial" w:hAnsi="Arial" w:cs="Arial"/>
                <w:sz w:val="20"/>
                <w:szCs w:val="20"/>
                <w:lang w:eastAsia="en-AU"/>
              </w:rPr>
              <w:t>, including cultural support services,</w:t>
            </w:r>
            <w:r w:rsidRPr="004653E7">
              <w:rPr>
                <w:rFonts w:ascii="Arial" w:hAnsi="Arial" w:cs="Arial"/>
                <w:sz w:val="20"/>
                <w:szCs w:val="20"/>
                <w:lang w:eastAsia="en-AU"/>
              </w:rPr>
              <w:t xml:space="preserve"> to meet the needs of students.</w:t>
            </w:r>
          </w:p>
        </w:tc>
        <w:tc>
          <w:tcPr>
            <w:tcW w:w="5527" w:type="dxa"/>
            <w:tcBorders>
              <w:top w:val="single" w:sz="4" w:space="0" w:color="auto"/>
              <w:left w:val="nil"/>
              <w:bottom w:val="single" w:sz="4" w:space="0" w:color="auto"/>
              <w:right w:val="single" w:sz="4" w:space="0" w:color="auto"/>
            </w:tcBorders>
          </w:tcPr>
          <w:p w14:paraId="248CDE37" w14:textId="43577FCB" w:rsidR="00C273CB" w:rsidRPr="004653E7" w:rsidRDefault="00C273CB" w:rsidP="00C273CB">
            <w:pPr>
              <w:pStyle w:val="ListParagraph"/>
              <w:numPr>
                <w:ilvl w:val="0"/>
                <w:numId w:val="12"/>
              </w:numPr>
              <w:jc w:val="left"/>
              <w:rPr>
                <w:sz w:val="20"/>
                <w:szCs w:val="20"/>
              </w:rPr>
            </w:pPr>
            <w:r w:rsidRPr="004653E7">
              <w:rPr>
                <w:sz w:val="20"/>
                <w:szCs w:val="20"/>
              </w:rPr>
              <w:t xml:space="preserve">Examples of </w:t>
            </w:r>
            <w:r>
              <w:rPr>
                <w:sz w:val="20"/>
                <w:szCs w:val="20"/>
              </w:rPr>
              <w:t>the implementation and availability</w:t>
            </w:r>
            <w:r w:rsidRPr="004653E7">
              <w:rPr>
                <w:sz w:val="20"/>
                <w:szCs w:val="20"/>
              </w:rPr>
              <w:t xml:space="preserve"> of </w:t>
            </w:r>
            <w:r>
              <w:rPr>
                <w:sz w:val="20"/>
                <w:szCs w:val="20"/>
              </w:rPr>
              <w:t xml:space="preserve">adequate </w:t>
            </w:r>
            <w:r w:rsidRPr="004653E7">
              <w:rPr>
                <w:sz w:val="20"/>
                <w:szCs w:val="20"/>
              </w:rPr>
              <w:t>support services to meet the needs of students.</w:t>
            </w:r>
          </w:p>
        </w:tc>
      </w:tr>
      <w:tr w:rsidR="00C273CB" w:rsidRPr="004653E7" w14:paraId="613C76A3" w14:textId="77777777" w:rsidTr="00D1622A">
        <w:trPr>
          <w:trHeight w:val="631"/>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4059DE5" w14:textId="1B08F3E6" w:rsidR="00C273CB" w:rsidRPr="004653E7" w:rsidRDefault="00C273CB" w:rsidP="00C273CB">
            <w:pPr>
              <w:rPr>
                <w:rFonts w:ascii="Arial" w:hAnsi="Arial" w:cs="Arial"/>
                <w:sz w:val="20"/>
                <w:szCs w:val="20"/>
                <w:lang w:eastAsia="en-AU"/>
              </w:rPr>
            </w:pPr>
            <w:r w:rsidRPr="004653E7">
              <w:rPr>
                <w:rFonts w:ascii="Arial" w:hAnsi="Arial" w:cs="Arial"/>
                <w:sz w:val="20"/>
                <w:szCs w:val="20"/>
                <w:lang w:eastAsia="en-AU"/>
              </w:rPr>
              <w:t>4.</w:t>
            </w:r>
            <w:r>
              <w:rPr>
                <w:rFonts w:ascii="Arial" w:hAnsi="Arial" w:cs="Arial"/>
                <w:sz w:val="20"/>
                <w:szCs w:val="20"/>
                <w:lang w:eastAsia="en-AU"/>
              </w:rPr>
              <w:t>5</w:t>
            </w:r>
          </w:p>
        </w:tc>
        <w:tc>
          <w:tcPr>
            <w:tcW w:w="3403" w:type="dxa"/>
            <w:tcBorders>
              <w:top w:val="single" w:sz="4" w:space="0" w:color="auto"/>
              <w:left w:val="nil"/>
              <w:bottom w:val="single" w:sz="4" w:space="0" w:color="auto"/>
              <w:right w:val="single" w:sz="4" w:space="0" w:color="auto"/>
            </w:tcBorders>
            <w:shd w:val="clear" w:color="auto" w:fill="auto"/>
          </w:tcPr>
          <w:p w14:paraId="46874D0E" w14:textId="0ECE60B9" w:rsidR="00C273CB" w:rsidRPr="004653E7" w:rsidRDefault="00C273CB" w:rsidP="00C273CB">
            <w:pPr>
              <w:rPr>
                <w:rFonts w:ascii="Arial" w:hAnsi="Arial" w:cs="Arial"/>
                <w:sz w:val="20"/>
                <w:szCs w:val="20"/>
                <w:lang w:eastAsia="en-AU"/>
              </w:rPr>
            </w:pPr>
            <w:r w:rsidRPr="004653E7">
              <w:rPr>
                <w:rFonts w:ascii="Arial" w:hAnsi="Arial" w:cs="Arial"/>
                <w:sz w:val="20"/>
                <w:szCs w:val="20"/>
                <w:lang w:eastAsia="en-AU"/>
              </w:rPr>
              <w:t xml:space="preserve">There are specific strategies to address the recruitment, admission, participation and completion of the </w:t>
            </w:r>
            <w:r w:rsidR="00AF43D5">
              <w:rPr>
                <w:rFonts w:ascii="Arial" w:eastAsia="Cambria" w:hAnsi="Arial" w:cs="Arial"/>
                <w:sz w:val="20"/>
                <w:szCs w:val="20"/>
              </w:rPr>
              <w:t>program</w:t>
            </w:r>
            <w:r w:rsidRPr="004653E7" w:rsidDel="006C5B3C">
              <w:rPr>
                <w:rFonts w:ascii="Arial" w:hAnsi="Arial" w:cs="Arial"/>
                <w:sz w:val="20"/>
                <w:szCs w:val="20"/>
                <w:lang w:eastAsia="en-AU"/>
              </w:rPr>
              <w:t xml:space="preserve"> </w:t>
            </w:r>
            <w:r w:rsidRPr="004653E7">
              <w:rPr>
                <w:rFonts w:ascii="Arial" w:hAnsi="Arial" w:cs="Arial"/>
                <w:sz w:val="20"/>
                <w:szCs w:val="20"/>
                <w:lang w:eastAsia="en-AU"/>
              </w:rPr>
              <w:t xml:space="preserve">by Aboriginal and Torres Strait Islander Peoples. </w:t>
            </w:r>
          </w:p>
        </w:tc>
        <w:tc>
          <w:tcPr>
            <w:tcW w:w="5527" w:type="dxa"/>
            <w:tcBorders>
              <w:top w:val="single" w:sz="4" w:space="0" w:color="auto"/>
              <w:left w:val="nil"/>
              <w:bottom w:val="single" w:sz="4" w:space="0" w:color="auto"/>
              <w:right w:val="single" w:sz="4" w:space="0" w:color="auto"/>
            </w:tcBorders>
          </w:tcPr>
          <w:p w14:paraId="0AA3D7B5" w14:textId="77777777" w:rsidR="00C273CB" w:rsidRPr="00411057" w:rsidRDefault="00C273CB" w:rsidP="00C273CB">
            <w:pPr>
              <w:pStyle w:val="ListParagraph"/>
              <w:numPr>
                <w:ilvl w:val="0"/>
                <w:numId w:val="12"/>
              </w:numPr>
              <w:rPr>
                <w:sz w:val="20"/>
                <w:szCs w:val="20"/>
              </w:rPr>
            </w:pPr>
            <w:r w:rsidRPr="00411057">
              <w:rPr>
                <w:sz w:val="20"/>
                <w:szCs w:val="20"/>
              </w:rPr>
              <w:t>Examples of implementation of formal mechanisms for recruitment and admission to the program by Aboriginal and/or Torres Strait Islander Peoples.</w:t>
            </w:r>
          </w:p>
          <w:p w14:paraId="4FA3FD62" w14:textId="607BDEB1" w:rsidR="00C273CB" w:rsidRPr="004653E7" w:rsidRDefault="00C273CB" w:rsidP="00C273CB">
            <w:pPr>
              <w:pStyle w:val="ListParagraph"/>
              <w:numPr>
                <w:ilvl w:val="0"/>
                <w:numId w:val="12"/>
              </w:numPr>
              <w:jc w:val="left"/>
              <w:rPr>
                <w:sz w:val="20"/>
                <w:szCs w:val="20"/>
              </w:rPr>
            </w:pPr>
            <w:r w:rsidRPr="00411057">
              <w:rPr>
                <w:sz w:val="20"/>
                <w:szCs w:val="20"/>
              </w:rPr>
              <w:t>Examples of implementation of formal mechanisms to support retention of Aboriginal and Torres Strait Islander Peoples.</w:t>
            </w:r>
          </w:p>
        </w:tc>
      </w:tr>
    </w:tbl>
    <w:p w14:paraId="67A0237A" w14:textId="1269DF58" w:rsidR="002A24E3" w:rsidRDefault="002A24E3" w:rsidP="002A24E3">
      <w:pPr>
        <w:rPr>
          <w:rFonts w:ascii="Arial" w:eastAsia="Cambria" w:hAnsi="Arial" w:cs="Arial"/>
          <w:b/>
          <w:color w:val="007DC3"/>
          <w:sz w:val="20"/>
          <w:szCs w:val="20"/>
        </w:rPr>
      </w:pPr>
    </w:p>
    <w:p w14:paraId="1C9DA891" w14:textId="67588DD4" w:rsidR="001E4EFC" w:rsidRDefault="001E4EFC" w:rsidP="002A24E3">
      <w:pPr>
        <w:rPr>
          <w:rFonts w:ascii="Arial" w:eastAsia="Cambria" w:hAnsi="Arial" w:cs="Arial"/>
          <w:b/>
          <w:color w:val="007DC3"/>
          <w:sz w:val="20"/>
          <w:szCs w:val="20"/>
        </w:rPr>
      </w:pPr>
    </w:p>
    <w:p w14:paraId="3824435F" w14:textId="7BB1F983" w:rsidR="00AD585A" w:rsidRDefault="00AD585A">
      <w:pPr>
        <w:spacing w:after="200" w:line="276" w:lineRule="auto"/>
        <w:rPr>
          <w:rFonts w:ascii="Arial" w:eastAsia="Cambria" w:hAnsi="Arial" w:cs="Arial"/>
          <w:b/>
          <w:color w:val="007DC3"/>
          <w:sz w:val="20"/>
          <w:szCs w:val="20"/>
        </w:rPr>
      </w:pPr>
      <w:r>
        <w:rPr>
          <w:rFonts w:ascii="Arial" w:eastAsia="Cambria" w:hAnsi="Arial" w:cs="Arial"/>
          <w:b/>
          <w:color w:val="007DC3"/>
          <w:sz w:val="20"/>
          <w:szCs w:val="20"/>
        </w:rPr>
        <w:br w:type="page"/>
      </w:r>
    </w:p>
    <w:p w14:paraId="75BDFE70" w14:textId="77777777" w:rsidR="002A24E3" w:rsidRPr="004653E7" w:rsidRDefault="002A24E3" w:rsidP="002A24E3">
      <w:pPr>
        <w:rPr>
          <w:rFonts w:ascii="Arial" w:eastAsia="Cambria" w:hAnsi="Arial" w:cs="Arial"/>
          <w:b/>
          <w:color w:val="007DC3"/>
          <w:sz w:val="20"/>
          <w:szCs w:val="20"/>
        </w:rPr>
      </w:pPr>
    </w:p>
    <w:p w14:paraId="139E6CB7" w14:textId="77777777" w:rsidR="002A24E3" w:rsidRPr="004653E7" w:rsidRDefault="002A24E3" w:rsidP="002A24E3">
      <w:pPr>
        <w:rPr>
          <w:rFonts w:ascii="Arial" w:eastAsia="Cambria" w:hAnsi="Arial" w:cs="Arial"/>
          <w:b/>
          <w:color w:val="007DC3"/>
          <w:sz w:val="20"/>
          <w:szCs w:val="20"/>
        </w:rPr>
      </w:pPr>
      <w:r w:rsidRPr="004653E7">
        <w:rPr>
          <w:rFonts w:ascii="Arial" w:eastAsia="Cambria" w:hAnsi="Arial" w:cs="Arial"/>
          <w:b/>
          <w:color w:val="007DC3"/>
          <w:sz w:val="20"/>
          <w:szCs w:val="20"/>
        </w:rPr>
        <w:t>Standard 4: Explanatory notes</w:t>
      </w:r>
    </w:p>
    <w:p w14:paraId="3FBD6147" w14:textId="77777777" w:rsidR="002A24E3" w:rsidRPr="004653E7" w:rsidRDefault="002A24E3" w:rsidP="002A24E3">
      <w:pPr>
        <w:rPr>
          <w:rFonts w:ascii="Arial" w:eastAsia="Cambria" w:hAnsi="Arial" w:cs="Arial"/>
          <w:b/>
          <w:color w:val="007DC3"/>
          <w:sz w:val="20"/>
          <w:szCs w:val="20"/>
        </w:rPr>
      </w:pPr>
    </w:p>
    <w:p w14:paraId="5F49AE7E" w14:textId="7A612B6F" w:rsidR="002A24E3" w:rsidRPr="004653E7" w:rsidRDefault="002A24E3" w:rsidP="002A24E3">
      <w:pPr>
        <w:rPr>
          <w:rFonts w:ascii="Arial" w:eastAsia="Cambria" w:hAnsi="Arial" w:cs="Arial"/>
          <w:sz w:val="20"/>
          <w:szCs w:val="20"/>
        </w:rPr>
      </w:pPr>
      <w:r w:rsidRPr="004653E7">
        <w:rPr>
          <w:rFonts w:ascii="Arial" w:hAnsi="Arial" w:cs="Arial"/>
          <w:sz w:val="20"/>
          <w:szCs w:val="20"/>
        </w:rPr>
        <w:t xml:space="preserve">This </w:t>
      </w:r>
      <w:r w:rsidR="005C0EE2" w:rsidRPr="004653E7">
        <w:rPr>
          <w:rFonts w:ascii="Arial" w:hAnsi="Arial" w:cs="Arial"/>
          <w:sz w:val="20"/>
          <w:szCs w:val="20"/>
        </w:rPr>
        <w:t>s</w:t>
      </w:r>
      <w:r w:rsidRPr="004653E7">
        <w:rPr>
          <w:rFonts w:ascii="Arial" w:hAnsi="Arial" w:cs="Arial"/>
          <w:sz w:val="20"/>
          <w:szCs w:val="20"/>
        </w:rPr>
        <w:t xml:space="preserve">tandard focuses on how the education provider </w:t>
      </w:r>
      <w:r w:rsidR="00F65CC4">
        <w:rPr>
          <w:rFonts w:ascii="Arial" w:hAnsi="Arial" w:cs="Arial"/>
          <w:sz w:val="20"/>
          <w:szCs w:val="20"/>
        </w:rPr>
        <w:t>ensures</w:t>
      </w:r>
      <w:r w:rsidR="00270547" w:rsidRPr="004653E7">
        <w:rPr>
          <w:rFonts w:ascii="Arial" w:hAnsi="Arial" w:cs="Arial"/>
          <w:sz w:val="20"/>
          <w:szCs w:val="20"/>
        </w:rPr>
        <w:t xml:space="preserve"> students have equitable </w:t>
      </w:r>
      <w:r w:rsidR="00B00676" w:rsidRPr="004653E7">
        <w:rPr>
          <w:rFonts w:ascii="Arial" w:hAnsi="Arial" w:cs="Arial"/>
          <w:sz w:val="20"/>
          <w:szCs w:val="20"/>
        </w:rPr>
        <w:t xml:space="preserve">and timely </w:t>
      </w:r>
      <w:r w:rsidR="00270547" w:rsidRPr="004653E7">
        <w:rPr>
          <w:rFonts w:ascii="Arial" w:hAnsi="Arial" w:cs="Arial"/>
          <w:sz w:val="20"/>
          <w:szCs w:val="20"/>
        </w:rPr>
        <w:t xml:space="preserve">access to </w:t>
      </w:r>
      <w:r w:rsidR="006C5B3C" w:rsidRPr="002A0294">
        <w:rPr>
          <w:rFonts w:ascii="Arial" w:eastAsia="Cambria" w:hAnsi="Arial" w:cs="Arial"/>
          <w:sz w:val="20"/>
          <w:szCs w:val="20"/>
        </w:rPr>
        <w:t>unit/subject</w:t>
      </w:r>
      <w:r w:rsidR="006C5B3C" w:rsidRPr="004653E7" w:rsidDel="006C5B3C">
        <w:rPr>
          <w:rFonts w:ascii="Arial" w:hAnsi="Arial" w:cs="Arial"/>
          <w:sz w:val="20"/>
          <w:szCs w:val="20"/>
        </w:rPr>
        <w:t xml:space="preserve"> </w:t>
      </w:r>
      <w:r w:rsidR="00270547" w:rsidRPr="004653E7">
        <w:rPr>
          <w:rFonts w:ascii="Arial" w:hAnsi="Arial" w:cs="Arial"/>
          <w:sz w:val="20"/>
          <w:szCs w:val="20"/>
        </w:rPr>
        <w:t xml:space="preserve">information and learning </w:t>
      </w:r>
      <w:r w:rsidR="00050FA5" w:rsidRPr="004653E7">
        <w:rPr>
          <w:rFonts w:ascii="Arial" w:hAnsi="Arial" w:cs="Arial"/>
          <w:sz w:val="20"/>
          <w:szCs w:val="20"/>
        </w:rPr>
        <w:t>support</w:t>
      </w:r>
      <w:r w:rsidR="00050FA5">
        <w:rPr>
          <w:rFonts w:ascii="Arial" w:eastAsia="Calibri" w:hAnsi="Arial" w:cs="Arial"/>
          <w:color w:val="000000"/>
          <w:sz w:val="20"/>
          <w:szCs w:val="20"/>
        </w:rPr>
        <w:t xml:space="preserve"> and</w:t>
      </w:r>
      <w:r w:rsidR="00F65CC4">
        <w:rPr>
          <w:rFonts w:ascii="Arial" w:hAnsi="Arial" w:cs="Arial"/>
          <w:sz w:val="20"/>
          <w:szCs w:val="20"/>
        </w:rPr>
        <w:t xml:space="preserve"> delivers a student experience that is culturally safe.</w:t>
      </w:r>
    </w:p>
    <w:p w14:paraId="28B7FF7A" w14:textId="77777777" w:rsidR="00270547" w:rsidRPr="004653E7" w:rsidRDefault="00270547" w:rsidP="002A24E3">
      <w:pPr>
        <w:rPr>
          <w:rFonts w:ascii="Arial" w:eastAsia="Cambria" w:hAnsi="Arial" w:cs="Arial"/>
          <w:sz w:val="20"/>
          <w:szCs w:val="20"/>
        </w:rPr>
      </w:pPr>
    </w:p>
    <w:p w14:paraId="3914912E" w14:textId="7A15C768" w:rsidR="00270547" w:rsidRPr="004653E7" w:rsidRDefault="00270547" w:rsidP="00270547">
      <w:pPr>
        <w:rPr>
          <w:rFonts w:ascii="Arial" w:hAnsi="Arial" w:cs="Arial"/>
          <w:sz w:val="20"/>
          <w:szCs w:val="20"/>
        </w:rPr>
      </w:pPr>
      <w:r w:rsidRPr="004653E7">
        <w:rPr>
          <w:rFonts w:ascii="Arial" w:hAnsi="Arial" w:cs="Arial"/>
          <w:sz w:val="20"/>
          <w:szCs w:val="20"/>
        </w:rPr>
        <w:t xml:space="preserve">The Accreditation Committee does not assess against the </w:t>
      </w:r>
      <w:r w:rsidR="00581C28" w:rsidRPr="00866076">
        <w:rPr>
          <w:rFonts w:ascii="Arial" w:hAnsi="Arial" w:cs="Arial"/>
          <w:sz w:val="20"/>
          <w:szCs w:val="20"/>
        </w:rPr>
        <w:t>threshold HES</w:t>
      </w:r>
      <w:r w:rsidRPr="004653E7">
        <w:rPr>
          <w:rFonts w:ascii="Arial" w:hAnsi="Arial" w:cs="Arial"/>
          <w:i/>
          <w:sz w:val="20"/>
          <w:szCs w:val="20"/>
        </w:rPr>
        <w:t>,</w:t>
      </w:r>
      <w:r w:rsidRPr="004653E7">
        <w:rPr>
          <w:rFonts w:ascii="Arial" w:hAnsi="Arial" w:cs="Arial"/>
          <w:sz w:val="20"/>
          <w:szCs w:val="20"/>
        </w:rPr>
        <w:t xml:space="preserve"> but it expects the education provider to submit clear evidence of implementation at the level of the </w:t>
      </w:r>
      <w:r w:rsidR="006C5B3C" w:rsidRPr="002A0294">
        <w:rPr>
          <w:rFonts w:ascii="Arial" w:eastAsia="Cambria" w:hAnsi="Arial" w:cs="Arial"/>
          <w:sz w:val="20"/>
          <w:szCs w:val="20"/>
        </w:rPr>
        <w:t>unit/subject</w:t>
      </w:r>
      <w:r w:rsidRPr="004653E7">
        <w:rPr>
          <w:rFonts w:ascii="Arial" w:hAnsi="Arial" w:cs="Arial"/>
          <w:sz w:val="20"/>
          <w:szCs w:val="20"/>
        </w:rPr>
        <w:t xml:space="preserve">, of any formal mechanisms </w:t>
      </w:r>
      <w:r w:rsidR="00023A90" w:rsidRPr="004653E7">
        <w:rPr>
          <w:rFonts w:ascii="Arial" w:hAnsi="Arial" w:cs="Arial"/>
          <w:sz w:val="20"/>
          <w:szCs w:val="20"/>
        </w:rPr>
        <w:t xml:space="preserve">used </w:t>
      </w:r>
      <w:r w:rsidRPr="004653E7">
        <w:rPr>
          <w:rFonts w:ascii="Arial" w:hAnsi="Arial" w:cs="Arial"/>
          <w:sz w:val="20"/>
          <w:szCs w:val="20"/>
        </w:rPr>
        <w:t xml:space="preserve">to ensure student access to </w:t>
      </w:r>
      <w:bookmarkStart w:id="44" w:name="_Hlk533074050"/>
      <w:r w:rsidRPr="004653E7">
        <w:rPr>
          <w:rFonts w:ascii="Arial" w:hAnsi="Arial" w:cs="Arial"/>
          <w:sz w:val="20"/>
          <w:szCs w:val="20"/>
        </w:rPr>
        <w:t>information and learning support</w:t>
      </w:r>
      <w:r w:rsidRPr="004653E7">
        <w:rPr>
          <w:rFonts w:ascii="Arial" w:eastAsia="Calibri" w:hAnsi="Arial" w:cs="Arial"/>
          <w:color w:val="000000"/>
          <w:sz w:val="20"/>
          <w:szCs w:val="20"/>
        </w:rPr>
        <w:t>.</w:t>
      </w:r>
    </w:p>
    <w:bookmarkEnd w:id="44"/>
    <w:p w14:paraId="65125E23" w14:textId="77777777" w:rsidR="002A24E3" w:rsidRPr="004653E7" w:rsidRDefault="002A24E3" w:rsidP="002A24E3">
      <w:pPr>
        <w:rPr>
          <w:rFonts w:ascii="Arial" w:hAnsi="Arial" w:cs="Arial"/>
          <w:sz w:val="20"/>
          <w:szCs w:val="20"/>
        </w:rPr>
      </w:pPr>
    </w:p>
    <w:p w14:paraId="0CB2490C" w14:textId="77777777" w:rsidR="002A24E3" w:rsidRPr="004653E7" w:rsidRDefault="002A24E3" w:rsidP="002A24E3">
      <w:pPr>
        <w:rPr>
          <w:rFonts w:ascii="Arial" w:hAnsi="Arial" w:cs="Arial"/>
          <w:b/>
          <w:sz w:val="20"/>
          <w:szCs w:val="20"/>
        </w:rPr>
      </w:pPr>
      <w:r w:rsidRPr="004653E7">
        <w:rPr>
          <w:rFonts w:ascii="Arial" w:hAnsi="Arial" w:cs="Arial"/>
          <w:b/>
          <w:sz w:val="20"/>
          <w:szCs w:val="20"/>
        </w:rPr>
        <w:t>Registration requirements</w:t>
      </w:r>
    </w:p>
    <w:p w14:paraId="2EA90D27" w14:textId="77777777" w:rsidR="002C20F0" w:rsidRPr="004653E7" w:rsidRDefault="002C20F0" w:rsidP="002A24E3">
      <w:pPr>
        <w:rPr>
          <w:rFonts w:ascii="Arial" w:hAnsi="Arial" w:cs="Arial"/>
          <w:b/>
          <w:sz w:val="20"/>
          <w:szCs w:val="20"/>
        </w:rPr>
      </w:pPr>
    </w:p>
    <w:p w14:paraId="266A6910" w14:textId="7D32D459" w:rsidR="0067231E" w:rsidRDefault="002A24E3" w:rsidP="002A24E3">
      <w:pPr>
        <w:rPr>
          <w:rFonts w:ascii="Arial" w:hAnsi="Arial" w:cs="Arial"/>
          <w:sz w:val="20"/>
          <w:szCs w:val="20"/>
        </w:rPr>
      </w:pPr>
      <w:r w:rsidRPr="004653E7">
        <w:rPr>
          <w:rFonts w:ascii="Arial" w:hAnsi="Arial" w:cs="Arial"/>
          <w:sz w:val="20"/>
          <w:szCs w:val="20"/>
        </w:rPr>
        <w:t xml:space="preserve">The </w:t>
      </w:r>
      <w:r w:rsidR="00350A92" w:rsidRPr="004653E7">
        <w:rPr>
          <w:rFonts w:ascii="Arial" w:hAnsi="Arial" w:cs="Arial"/>
          <w:sz w:val="20"/>
          <w:szCs w:val="20"/>
        </w:rPr>
        <w:t>Accreditation Committee</w:t>
      </w:r>
      <w:r w:rsidRPr="004653E7">
        <w:rPr>
          <w:rFonts w:ascii="Arial" w:hAnsi="Arial" w:cs="Arial"/>
          <w:sz w:val="20"/>
          <w:szCs w:val="20"/>
        </w:rPr>
        <w:t xml:space="preserve"> expects that the education provider clearly and fully informs prospective students about the Board’s </w:t>
      </w:r>
      <w:r w:rsidR="006C5B3C">
        <w:rPr>
          <w:rFonts w:ascii="Arial" w:hAnsi="Arial" w:cs="Arial"/>
          <w:sz w:val="20"/>
          <w:szCs w:val="20"/>
        </w:rPr>
        <w:t xml:space="preserve">requirements for endorsement for scheduled medicines </w:t>
      </w:r>
      <w:r w:rsidR="0067231E" w:rsidRPr="004653E7">
        <w:rPr>
          <w:rFonts w:ascii="Arial" w:hAnsi="Arial" w:cs="Arial"/>
          <w:sz w:val="20"/>
          <w:szCs w:val="20"/>
        </w:rPr>
        <w:t>before</w:t>
      </w:r>
      <w:r w:rsidRPr="004653E7">
        <w:rPr>
          <w:rFonts w:ascii="Arial" w:hAnsi="Arial" w:cs="Arial"/>
          <w:sz w:val="20"/>
          <w:szCs w:val="20"/>
        </w:rPr>
        <w:t xml:space="preserve"> the students enrol in </w:t>
      </w:r>
      <w:r w:rsidR="0088785C">
        <w:rPr>
          <w:rFonts w:ascii="Arial" w:hAnsi="Arial" w:cs="Arial"/>
          <w:sz w:val="20"/>
          <w:szCs w:val="20"/>
        </w:rPr>
        <w:t>any</w:t>
      </w:r>
      <w:r w:rsidR="0088785C" w:rsidRPr="004653E7">
        <w:rPr>
          <w:rFonts w:ascii="Arial" w:hAnsi="Arial" w:cs="Arial"/>
          <w:sz w:val="20"/>
          <w:szCs w:val="20"/>
        </w:rPr>
        <w:t xml:space="preserve"> </w:t>
      </w:r>
      <w:r w:rsidR="006C5B3C" w:rsidRPr="002A0294">
        <w:rPr>
          <w:rFonts w:ascii="Arial" w:eastAsia="Cambria" w:hAnsi="Arial" w:cs="Arial"/>
          <w:sz w:val="20"/>
          <w:szCs w:val="20"/>
        </w:rPr>
        <w:t>unit/subject</w:t>
      </w:r>
      <w:r w:rsidRPr="004653E7">
        <w:rPr>
          <w:rFonts w:ascii="Arial" w:hAnsi="Arial" w:cs="Arial"/>
          <w:sz w:val="20"/>
          <w:szCs w:val="20"/>
        </w:rPr>
        <w:t>.</w:t>
      </w:r>
      <w:r w:rsidR="00AD585A" w:rsidRPr="004653E7">
        <w:rPr>
          <w:rStyle w:val="FootnoteReference"/>
          <w:szCs w:val="20"/>
        </w:rPr>
        <w:footnoteReference w:id="20"/>
      </w:r>
      <w:r w:rsidRPr="004653E7">
        <w:rPr>
          <w:rFonts w:ascii="Arial" w:hAnsi="Arial" w:cs="Arial"/>
          <w:sz w:val="20"/>
          <w:szCs w:val="20"/>
        </w:rPr>
        <w:t xml:space="preserve"> </w:t>
      </w:r>
      <w:r w:rsidR="0088785C">
        <w:rPr>
          <w:rFonts w:ascii="Arial" w:hAnsi="Arial" w:cs="Arial"/>
          <w:sz w:val="20"/>
          <w:szCs w:val="20"/>
        </w:rPr>
        <w:t>Enrolled s</w:t>
      </w:r>
      <w:r w:rsidRPr="004653E7">
        <w:rPr>
          <w:rFonts w:ascii="Arial" w:hAnsi="Arial" w:cs="Arial"/>
          <w:sz w:val="20"/>
          <w:szCs w:val="20"/>
        </w:rPr>
        <w:t>tudents should also be reminded of the requirements</w:t>
      </w:r>
      <w:r w:rsidR="00B00676" w:rsidRPr="004653E7">
        <w:rPr>
          <w:rFonts w:ascii="Arial" w:hAnsi="Arial" w:cs="Arial"/>
          <w:sz w:val="20"/>
          <w:szCs w:val="20"/>
        </w:rPr>
        <w:t>.</w:t>
      </w:r>
      <w:r w:rsidR="005A4271">
        <w:rPr>
          <w:rFonts w:ascii="Arial" w:hAnsi="Arial" w:cs="Arial"/>
          <w:sz w:val="20"/>
          <w:szCs w:val="20"/>
        </w:rPr>
        <w:t xml:space="preserve"> </w:t>
      </w:r>
      <w:r w:rsidR="001C5087">
        <w:rPr>
          <w:rFonts w:ascii="Arial" w:hAnsi="Arial" w:cs="Arial"/>
          <w:sz w:val="20"/>
          <w:szCs w:val="20"/>
        </w:rPr>
        <w:t xml:space="preserve">These are outlined on the Board’s website at </w:t>
      </w:r>
      <w:hyperlink r:id="rId14" w:history="1">
        <w:r w:rsidR="001C5087" w:rsidRPr="00B43F22">
          <w:rPr>
            <w:rStyle w:val="Hyperlink"/>
            <w:rFonts w:ascii="Arial" w:hAnsi="Arial" w:cs="Arial"/>
            <w:sz w:val="20"/>
            <w:szCs w:val="20"/>
          </w:rPr>
          <w:t>https://www.podiatryboard.gov.au/Registration-Endorsement/Endorsement-Scheduled-Medicines.aspx</w:t>
        </w:r>
      </w:hyperlink>
      <w:r w:rsidR="001C5087">
        <w:rPr>
          <w:rFonts w:ascii="Arial" w:hAnsi="Arial" w:cs="Arial"/>
          <w:sz w:val="20"/>
          <w:szCs w:val="20"/>
        </w:rPr>
        <w:t xml:space="preserve">. </w:t>
      </w:r>
    </w:p>
    <w:p w14:paraId="17DC6E99" w14:textId="1104BEFB" w:rsidR="00282E36" w:rsidRDefault="00282E36" w:rsidP="002A24E3">
      <w:pPr>
        <w:rPr>
          <w:rFonts w:ascii="Arial" w:hAnsi="Arial" w:cs="Arial"/>
          <w:sz w:val="20"/>
          <w:szCs w:val="20"/>
        </w:rPr>
      </w:pPr>
    </w:p>
    <w:p w14:paraId="45109EFB" w14:textId="77777777" w:rsidR="00282E36" w:rsidRDefault="00282E36" w:rsidP="00282E36">
      <w:pPr>
        <w:rPr>
          <w:rFonts w:ascii="Arial" w:hAnsi="Arial" w:cs="Arial"/>
          <w:sz w:val="20"/>
          <w:szCs w:val="20"/>
        </w:rPr>
      </w:pPr>
      <w:r>
        <w:rPr>
          <w:rFonts w:ascii="Arial" w:hAnsi="Arial" w:cs="Arial"/>
          <w:b/>
          <w:sz w:val="20"/>
          <w:szCs w:val="20"/>
        </w:rPr>
        <w:t>Inherent requirements</w:t>
      </w:r>
    </w:p>
    <w:p w14:paraId="29AFCCEA" w14:textId="77777777" w:rsidR="00282E36" w:rsidRDefault="00282E36" w:rsidP="00282E36">
      <w:pPr>
        <w:rPr>
          <w:rFonts w:ascii="Arial" w:hAnsi="Arial" w:cs="Arial"/>
          <w:sz w:val="20"/>
          <w:szCs w:val="20"/>
        </w:rPr>
      </w:pPr>
    </w:p>
    <w:p w14:paraId="5854FCA8" w14:textId="77777777" w:rsidR="00282E36" w:rsidRDefault="00282E36" w:rsidP="00282E36">
      <w:pPr>
        <w:rPr>
          <w:rFonts w:ascii="Arial" w:hAnsi="Arial" w:cs="Arial"/>
          <w:sz w:val="20"/>
          <w:szCs w:val="20"/>
        </w:rPr>
      </w:pPr>
      <w:r>
        <w:rPr>
          <w:rFonts w:ascii="Arial" w:hAnsi="Arial" w:cs="Arial"/>
          <w:sz w:val="20"/>
          <w:szCs w:val="20"/>
        </w:rPr>
        <w:t xml:space="preserve">Inherent requirements are the core activities, tasks or skills that are essential to a workplace in general, and to a specific position or role. The activities and/or tasks cannot be allocated elsewhere, are a core element of the position or role, and result in significant consequences if they are not performed. </w:t>
      </w:r>
    </w:p>
    <w:p w14:paraId="4F6D9617" w14:textId="77777777" w:rsidR="00282E36" w:rsidRDefault="00282E36" w:rsidP="00282E36">
      <w:pPr>
        <w:rPr>
          <w:rFonts w:ascii="Arial" w:hAnsi="Arial" w:cs="Arial"/>
          <w:sz w:val="20"/>
          <w:szCs w:val="20"/>
        </w:rPr>
      </w:pPr>
    </w:p>
    <w:p w14:paraId="7E1F60C5" w14:textId="7967EE6D" w:rsidR="00282E36" w:rsidRPr="004653E7" w:rsidRDefault="00282E36" w:rsidP="002A24E3">
      <w:pPr>
        <w:rPr>
          <w:rFonts w:ascii="Arial" w:hAnsi="Arial" w:cs="Arial"/>
          <w:sz w:val="20"/>
          <w:szCs w:val="20"/>
        </w:rPr>
      </w:pPr>
      <w:r>
        <w:rPr>
          <w:rFonts w:ascii="Arial" w:hAnsi="Arial" w:cs="Arial"/>
          <w:sz w:val="20"/>
          <w:szCs w:val="20"/>
        </w:rPr>
        <w:t>The HES state that “Prospective students must be made aware of any inherent requirements for undertaking a course, or parts of a course, that may affect those students in special circumstances or with special needs (such as a particular type of practicum), especially where a course of study leads to a qualification that may lead to registration as a professional practitioner by a registering authority.”</w:t>
      </w:r>
      <w:r>
        <w:rPr>
          <w:rStyle w:val="FootnoteReference"/>
          <w:szCs w:val="20"/>
        </w:rPr>
        <w:footnoteReference w:id="21"/>
      </w:r>
    </w:p>
    <w:p w14:paraId="5B4D40C2" w14:textId="77777777" w:rsidR="0067231E" w:rsidRPr="004653E7" w:rsidRDefault="0067231E" w:rsidP="002A24E3">
      <w:pPr>
        <w:rPr>
          <w:rFonts w:ascii="Arial" w:hAnsi="Arial" w:cs="Arial"/>
          <w:sz w:val="20"/>
          <w:szCs w:val="20"/>
        </w:rPr>
      </w:pPr>
    </w:p>
    <w:p w14:paraId="17A165C3" w14:textId="2A42A77C" w:rsidR="002A24E3" w:rsidRPr="004653E7" w:rsidRDefault="002A24E3" w:rsidP="002A24E3">
      <w:pPr>
        <w:rPr>
          <w:rFonts w:ascii="Arial" w:hAnsi="Arial" w:cs="Arial"/>
          <w:b/>
          <w:sz w:val="20"/>
          <w:szCs w:val="20"/>
        </w:rPr>
      </w:pPr>
      <w:r w:rsidRPr="004653E7">
        <w:rPr>
          <w:rFonts w:ascii="Arial" w:hAnsi="Arial" w:cs="Arial"/>
          <w:b/>
          <w:sz w:val="20"/>
          <w:szCs w:val="20"/>
        </w:rPr>
        <w:t xml:space="preserve">Student support services and facilities </w:t>
      </w:r>
      <w:r w:rsidR="00277009" w:rsidRPr="004653E7">
        <w:rPr>
          <w:rFonts w:ascii="Arial" w:hAnsi="Arial" w:cs="Arial"/>
          <w:b/>
          <w:sz w:val="20"/>
          <w:szCs w:val="20"/>
        </w:rPr>
        <w:t>to meet learning</w:t>
      </w:r>
      <w:r w:rsidR="00411057">
        <w:rPr>
          <w:rFonts w:ascii="Arial" w:hAnsi="Arial" w:cs="Arial"/>
          <w:b/>
          <w:sz w:val="20"/>
          <w:szCs w:val="20"/>
        </w:rPr>
        <w:t>, welfare and cultural</w:t>
      </w:r>
      <w:r w:rsidR="00277009" w:rsidRPr="004653E7">
        <w:rPr>
          <w:rFonts w:ascii="Arial" w:hAnsi="Arial" w:cs="Arial"/>
          <w:b/>
          <w:sz w:val="20"/>
          <w:szCs w:val="20"/>
        </w:rPr>
        <w:t xml:space="preserve"> needs</w:t>
      </w:r>
    </w:p>
    <w:p w14:paraId="25C9B06D" w14:textId="77777777" w:rsidR="002C20F0" w:rsidRPr="004653E7" w:rsidRDefault="002C20F0" w:rsidP="002A24E3">
      <w:pPr>
        <w:rPr>
          <w:rFonts w:ascii="Arial" w:hAnsi="Arial" w:cs="Arial"/>
          <w:b/>
          <w:sz w:val="20"/>
          <w:szCs w:val="20"/>
        </w:rPr>
      </w:pPr>
    </w:p>
    <w:p w14:paraId="57B9512C" w14:textId="4F03AF6C" w:rsidR="007744DD" w:rsidRDefault="00B95533" w:rsidP="00B95533">
      <w:pPr>
        <w:rPr>
          <w:rFonts w:ascii="Arial" w:hAnsi="Arial" w:cs="Arial"/>
          <w:sz w:val="20"/>
          <w:szCs w:val="20"/>
        </w:rPr>
      </w:pPr>
      <w:r w:rsidRPr="004653E7">
        <w:rPr>
          <w:rFonts w:ascii="Arial" w:hAnsi="Arial" w:cs="Arial"/>
          <w:sz w:val="20"/>
          <w:szCs w:val="20"/>
        </w:rPr>
        <w:t xml:space="preserve">The Accreditation Committee expects that evidence of implementation of adequate student learning support services is provided at the level of the </w:t>
      </w:r>
      <w:r w:rsidR="006C5B3C" w:rsidRPr="002A0294">
        <w:rPr>
          <w:rFonts w:ascii="Arial" w:eastAsia="Cambria" w:hAnsi="Arial" w:cs="Arial"/>
          <w:sz w:val="20"/>
          <w:szCs w:val="20"/>
        </w:rPr>
        <w:t>unit/subject</w:t>
      </w:r>
      <w:r w:rsidRPr="004653E7">
        <w:rPr>
          <w:rFonts w:ascii="Arial" w:hAnsi="Arial" w:cs="Arial"/>
          <w:sz w:val="20"/>
          <w:szCs w:val="20"/>
        </w:rPr>
        <w:t xml:space="preserve">. </w:t>
      </w:r>
    </w:p>
    <w:p w14:paraId="7B6BE484" w14:textId="5183F966" w:rsidR="007744DD" w:rsidRDefault="007744DD" w:rsidP="007744DD">
      <w:pPr>
        <w:pStyle w:val="AHPRAAUtablebulletlevel1"/>
      </w:pPr>
      <w:r w:rsidRPr="007744DD">
        <w:t>Meeting the learning, welfare and cultural needs of students</w:t>
      </w:r>
      <w:r w:rsidRPr="00CB023E">
        <w:t xml:space="preserve"> may include providing mental health support services that recognise the unique needs of students during studies and during work integrated learning, such as dealing with situations involving patient critical</w:t>
      </w:r>
      <w:r>
        <w:t>-</w:t>
      </w:r>
      <w:r w:rsidRPr="00CB023E">
        <w:t>incident scenarios and death.</w:t>
      </w:r>
    </w:p>
    <w:p w14:paraId="4581FD1F" w14:textId="2ECED6A8" w:rsidR="00B95533" w:rsidRPr="004653E7" w:rsidRDefault="00B95533" w:rsidP="00B95533">
      <w:pPr>
        <w:rPr>
          <w:rFonts w:ascii="Arial" w:hAnsi="Arial" w:cs="Arial"/>
          <w:b/>
          <w:sz w:val="20"/>
          <w:szCs w:val="20"/>
        </w:rPr>
      </w:pPr>
      <w:r w:rsidRPr="004653E7">
        <w:rPr>
          <w:rFonts w:ascii="Arial" w:hAnsi="Arial" w:cs="Arial"/>
          <w:sz w:val="20"/>
          <w:szCs w:val="20"/>
        </w:rPr>
        <w:t xml:space="preserve">Evidence of implementation of support services could include how students access student </w:t>
      </w:r>
      <w:r w:rsidR="00411057">
        <w:rPr>
          <w:rFonts w:ascii="Arial" w:hAnsi="Arial" w:cs="Arial"/>
          <w:sz w:val="20"/>
          <w:szCs w:val="20"/>
        </w:rPr>
        <w:t>learning, wel</w:t>
      </w:r>
      <w:r w:rsidR="007744DD">
        <w:rPr>
          <w:rFonts w:ascii="Arial" w:hAnsi="Arial" w:cs="Arial"/>
          <w:sz w:val="20"/>
          <w:szCs w:val="20"/>
        </w:rPr>
        <w:t>f</w:t>
      </w:r>
      <w:r w:rsidR="00411057">
        <w:rPr>
          <w:rFonts w:ascii="Arial" w:hAnsi="Arial" w:cs="Arial"/>
          <w:sz w:val="20"/>
          <w:szCs w:val="20"/>
        </w:rPr>
        <w:t>are and cultural support services</w:t>
      </w:r>
      <w:r w:rsidRPr="004653E7">
        <w:rPr>
          <w:rFonts w:ascii="Arial" w:hAnsi="Arial" w:cs="Arial"/>
          <w:sz w:val="20"/>
          <w:szCs w:val="20"/>
        </w:rPr>
        <w:t>.</w:t>
      </w:r>
    </w:p>
    <w:p w14:paraId="26D85898" w14:textId="77777777" w:rsidR="00B95533" w:rsidRPr="004653E7" w:rsidRDefault="00B95533" w:rsidP="002A24E3">
      <w:pPr>
        <w:rPr>
          <w:rFonts w:ascii="Arial" w:hAnsi="Arial" w:cs="Arial"/>
          <w:sz w:val="20"/>
          <w:szCs w:val="20"/>
        </w:rPr>
      </w:pPr>
    </w:p>
    <w:p w14:paraId="54CB79E3" w14:textId="77777777" w:rsidR="002A24E3" w:rsidRPr="004653E7" w:rsidRDefault="002A24E3" w:rsidP="002A24E3">
      <w:pPr>
        <w:rPr>
          <w:rFonts w:ascii="Arial" w:eastAsia="Cambria" w:hAnsi="Arial" w:cs="Arial"/>
          <w:b/>
          <w:color w:val="007DC3"/>
          <w:sz w:val="20"/>
          <w:szCs w:val="20"/>
        </w:rPr>
      </w:pPr>
      <w:r w:rsidRPr="004653E7">
        <w:rPr>
          <w:rFonts w:ascii="Arial" w:eastAsia="Cambria" w:hAnsi="Arial" w:cs="Arial"/>
          <w:b/>
          <w:color w:val="007DC3"/>
          <w:sz w:val="20"/>
          <w:szCs w:val="20"/>
        </w:rPr>
        <w:br w:type="page"/>
      </w:r>
    </w:p>
    <w:p w14:paraId="1D0FDBEC" w14:textId="77777777" w:rsidR="002A24E3" w:rsidRPr="002838B3" w:rsidRDefault="002A24E3" w:rsidP="002838B3">
      <w:pPr>
        <w:pStyle w:val="Heading2"/>
        <w:spacing w:before="200" w:after="200"/>
        <w:rPr>
          <w:rFonts w:ascii="Arial" w:hAnsi="Arial"/>
          <w:i w:val="0"/>
          <w:color w:val="007DC3"/>
        </w:rPr>
      </w:pPr>
      <w:bookmarkStart w:id="45" w:name="_Toc55994920"/>
      <w:r w:rsidRPr="002838B3">
        <w:rPr>
          <w:rFonts w:ascii="Arial" w:hAnsi="Arial"/>
          <w:i w:val="0"/>
          <w:color w:val="007DC3"/>
        </w:rPr>
        <w:lastRenderedPageBreak/>
        <w:t>Standard 5: Assessment</w:t>
      </w:r>
      <w:bookmarkEnd w:id="45"/>
    </w:p>
    <w:p w14:paraId="0D159C8C" w14:textId="2233E816" w:rsidR="002A24E3" w:rsidRPr="004653E7" w:rsidRDefault="00634109" w:rsidP="00484EAD">
      <w:pPr>
        <w:pStyle w:val="AHPRAbodybold"/>
        <w:rPr>
          <w:color w:val="007DC3"/>
          <w:sz w:val="24"/>
        </w:rPr>
      </w:pPr>
      <w:r>
        <w:rPr>
          <w:sz w:val="22"/>
          <w:szCs w:val="22"/>
          <w:lang w:eastAsia="en-AU"/>
        </w:rPr>
        <w:t xml:space="preserve">Standard statement: </w:t>
      </w:r>
      <w:r w:rsidR="00484EAD" w:rsidRPr="00DE3856">
        <w:rPr>
          <w:sz w:val="22"/>
        </w:rPr>
        <w:t>All graduates have demonstrated achievement of the learning outcomes</w:t>
      </w:r>
      <w:r w:rsidR="00DE3856">
        <w:rPr>
          <w:sz w:val="22"/>
        </w:rPr>
        <w:t xml:space="preserve"> taught and assessed</w:t>
      </w:r>
      <w:r w:rsidR="00484EAD" w:rsidRPr="00DE3856">
        <w:rPr>
          <w:sz w:val="22"/>
        </w:rPr>
        <w:t xml:space="preserve"> during the </w:t>
      </w:r>
      <w:r w:rsidR="00AF43D5">
        <w:rPr>
          <w:sz w:val="22"/>
        </w:rPr>
        <w:t>program</w:t>
      </w:r>
      <w:r w:rsidR="00484EAD" w:rsidRPr="00DE3856">
        <w:rPr>
          <w:sz w:val="22"/>
        </w:rPr>
        <w:t>.</w:t>
      </w:r>
    </w:p>
    <w:tbl>
      <w:tblPr>
        <w:tblW w:w="9639" w:type="dxa"/>
        <w:tblInd w:w="-5" w:type="dxa"/>
        <w:tblLayout w:type="fixed"/>
        <w:tblLook w:val="04A0" w:firstRow="1" w:lastRow="0" w:firstColumn="1" w:lastColumn="0" w:noHBand="0" w:noVBand="1"/>
      </w:tblPr>
      <w:tblGrid>
        <w:gridCol w:w="709"/>
        <w:gridCol w:w="3402"/>
        <w:gridCol w:w="5528"/>
      </w:tblGrid>
      <w:tr w:rsidR="00484EAD" w:rsidRPr="004653E7" w14:paraId="5723EA75" w14:textId="77777777" w:rsidTr="002A44C2">
        <w:trPr>
          <w:trHeight w:val="410"/>
          <w:tblHeader/>
        </w:trPr>
        <w:tc>
          <w:tcPr>
            <w:tcW w:w="411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235372" w14:textId="77777777" w:rsidR="00484EAD" w:rsidRPr="004653E7" w:rsidRDefault="00484EAD" w:rsidP="00F23E41">
            <w:pPr>
              <w:spacing w:before="120" w:after="120"/>
              <w:rPr>
                <w:rFonts w:ascii="Arial" w:hAnsi="Arial" w:cs="Arial"/>
                <w:b/>
                <w:bCs/>
                <w:sz w:val="20"/>
                <w:szCs w:val="20"/>
                <w:lang w:eastAsia="en-AU"/>
              </w:rPr>
            </w:pPr>
            <w:r w:rsidRPr="004653E7">
              <w:rPr>
                <w:rFonts w:ascii="Arial" w:hAnsi="Arial" w:cs="Arial"/>
                <w:b/>
                <w:bCs/>
                <w:sz w:val="20"/>
                <w:szCs w:val="20"/>
                <w:lang w:eastAsia="en-AU"/>
              </w:rPr>
              <w:t>Criteria</w:t>
            </w:r>
          </w:p>
        </w:tc>
        <w:tc>
          <w:tcPr>
            <w:tcW w:w="552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44F2D1" w14:textId="77777777" w:rsidR="00484EAD" w:rsidRPr="004653E7" w:rsidRDefault="00484EAD" w:rsidP="00F23E41">
            <w:pPr>
              <w:spacing w:before="120" w:after="120"/>
              <w:rPr>
                <w:rFonts w:ascii="Arial" w:hAnsi="Arial" w:cs="Arial"/>
                <w:b/>
                <w:bCs/>
                <w:sz w:val="20"/>
                <w:szCs w:val="20"/>
                <w:lang w:eastAsia="en-AU"/>
              </w:rPr>
            </w:pPr>
            <w:r w:rsidRPr="004653E7">
              <w:rPr>
                <w:rFonts w:ascii="Arial" w:hAnsi="Arial" w:cs="Arial"/>
                <w:b/>
                <w:bCs/>
                <w:sz w:val="20"/>
                <w:szCs w:val="20"/>
                <w:lang w:eastAsia="en-AU"/>
              </w:rPr>
              <w:t>Expected information for inclusion with accreditation application/monitoring response</w:t>
            </w:r>
          </w:p>
        </w:tc>
      </w:tr>
      <w:tr w:rsidR="00484EAD" w:rsidRPr="004653E7" w14:paraId="768F62E3" w14:textId="77777777" w:rsidTr="00484EAD">
        <w:trPr>
          <w:trHeight w:val="374"/>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7E65CA1" w14:textId="77777777" w:rsidR="00484EAD" w:rsidRPr="004653E7" w:rsidRDefault="00484EAD" w:rsidP="00624DC5">
            <w:pPr>
              <w:rPr>
                <w:rFonts w:ascii="Arial" w:hAnsi="Arial" w:cs="Arial"/>
                <w:sz w:val="20"/>
                <w:szCs w:val="20"/>
                <w:lang w:eastAsia="en-AU"/>
              </w:rPr>
            </w:pPr>
            <w:r w:rsidRPr="004653E7">
              <w:rPr>
                <w:rFonts w:ascii="Arial" w:hAnsi="Arial" w:cs="Arial"/>
                <w:sz w:val="20"/>
                <w:szCs w:val="20"/>
                <w:lang w:eastAsia="en-AU"/>
              </w:rPr>
              <w:t>5.1</w:t>
            </w:r>
          </w:p>
        </w:tc>
        <w:tc>
          <w:tcPr>
            <w:tcW w:w="3402" w:type="dxa"/>
            <w:tcBorders>
              <w:top w:val="single" w:sz="4" w:space="0" w:color="auto"/>
              <w:left w:val="nil"/>
              <w:bottom w:val="single" w:sz="4" w:space="0" w:color="auto"/>
              <w:right w:val="single" w:sz="4" w:space="0" w:color="auto"/>
            </w:tcBorders>
            <w:shd w:val="clear" w:color="auto" w:fill="auto"/>
          </w:tcPr>
          <w:p w14:paraId="7B7C42F5" w14:textId="3C5B5BA0" w:rsidR="00484EAD" w:rsidRPr="004653E7" w:rsidRDefault="00484EAD" w:rsidP="00624DC5">
            <w:pPr>
              <w:rPr>
                <w:rFonts w:ascii="Arial" w:hAnsi="Arial" w:cs="Arial"/>
                <w:sz w:val="20"/>
                <w:szCs w:val="20"/>
                <w:lang w:eastAsia="en-AU"/>
              </w:rPr>
            </w:pPr>
            <w:r w:rsidRPr="004653E7">
              <w:rPr>
                <w:rFonts w:ascii="Arial" w:hAnsi="Arial" w:cs="Arial"/>
                <w:sz w:val="20"/>
                <w:szCs w:val="20"/>
                <w:lang w:eastAsia="en-AU"/>
              </w:rPr>
              <w:t xml:space="preserve">All </w:t>
            </w:r>
            <w:r w:rsidR="00D17B66">
              <w:rPr>
                <w:rFonts w:ascii="Arial" w:hAnsi="Arial" w:cs="Arial"/>
                <w:sz w:val="20"/>
                <w:szCs w:val="20"/>
                <w:lang w:eastAsia="en-AU"/>
              </w:rPr>
              <w:t>relevant</w:t>
            </w:r>
            <w:r w:rsidR="00D17B66" w:rsidRPr="004653E7">
              <w:rPr>
                <w:rFonts w:ascii="Arial" w:hAnsi="Arial" w:cs="Arial"/>
                <w:sz w:val="20"/>
                <w:szCs w:val="20"/>
                <w:lang w:eastAsia="en-AU"/>
              </w:rPr>
              <w:t xml:space="preserve"> </w:t>
            </w:r>
            <w:r w:rsidRPr="004653E7">
              <w:rPr>
                <w:rFonts w:ascii="Arial" w:hAnsi="Arial" w:cs="Arial"/>
                <w:sz w:val="20"/>
                <w:szCs w:val="20"/>
              </w:rPr>
              <w:t xml:space="preserve">professional capabilities for </w:t>
            </w:r>
            <w:r w:rsidR="00C62E32">
              <w:rPr>
                <w:rFonts w:ascii="Arial" w:hAnsi="Arial" w:cs="Arial"/>
                <w:sz w:val="20"/>
                <w:szCs w:val="20"/>
              </w:rPr>
              <w:t>endorsement of registration in relation to scheduled medicines</w:t>
            </w:r>
            <w:r w:rsidRPr="004653E7" w:rsidDel="004152C3">
              <w:rPr>
                <w:rFonts w:ascii="Arial" w:hAnsi="Arial" w:cs="Arial"/>
                <w:sz w:val="20"/>
                <w:szCs w:val="20"/>
                <w:lang w:eastAsia="en-AU"/>
              </w:rPr>
              <w:t xml:space="preserve"> </w:t>
            </w:r>
            <w:r w:rsidRPr="004653E7">
              <w:rPr>
                <w:rFonts w:ascii="Arial" w:hAnsi="Arial" w:cs="Arial"/>
                <w:sz w:val="20"/>
                <w:szCs w:val="20"/>
                <w:lang w:eastAsia="en-AU"/>
              </w:rPr>
              <w:t>and unit/subject learning outcomes are mapped to assessment tasks.</w:t>
            </w:r>
          </w:p>
        </w:tc>
        <w:tc>
          <w:tcPr>
            <w:tcW w:w="5528" w:type="dxa"/>
            <w:tcBorders>
              <w:top w:val="single" w:sz="4" w:space="0" w:color="auto"/>
              <w:left w:val="nil"/>
              <w:bottom w:val="single" w:sz="4" w:space="0" w:color="auto"/>
              <w:right w:val="single" w:sz="4" w:space="0" w:color="auto"/>
            </w:tcBorders>
          </w:tcPr>
          <w:p w14:paraId="6921B33A" w14:textId="072D364D" w:rsidR="00484EAD" w:rsidRDefault="00484EAD" w:rsidP="00456240">
            <w:pPr>
              <w:pStyle w:val="ListParagraph"/>
              <w:numPr>
                <w:ilvl w:val="0"/>
                <w:numId w:val="12"/>
              </w:numPr>
              <w:jc w:val="left"/>
              <w:rPr>
                <w:sz w:val="20"/>
                <w:szCs w:val="20"/>
              </w:rPr>
            </w:pPr>
            <w:bookmarkStart w:id="46" w:name="_Hlk524035"/>
            <w:r w:rsidRPr="004653E7">
              <w:rPr>
                <w:sz w:val="20"/>
                <w:szCs w:val="20"/>
              </w:rPr>
              <w:t>Assessment matrix or other consolidated and comprehensive assessment design documents to demonstrate alignment</w:t>
            </w:r>
            <w:r w:rsidR="00023A90" w:rsidRPr="004653E7">
              <w:rPr>
                <w:sz w:val="20"/>
                <w:szCs w:val="20"/>
              </w:rPr>
              <w:t xml:space="preserve"> and </w:t>
            </w:r>
            <w:r w:rsidRPr="004653E7">
              <w:rPr>
                <w:sz w:val="20"/>
                <w:szCs w:val="20"/>
              </w:rPr>
              <w:t>mapping of all assessment tasks, all unit/subject learning outcomes and all professional capabilities</w:t>
            </w:r>
            <w:bookmarkEnd w:id="46"/>
            <w:r w:rsidRPr="004653E7">
              <w:rPr>
                <w:sz w:val="20"/>
                <w:szCs w:val="20"/>
              </w:rPr>
              <w:t xml:space="preserve">. </w:t>
            </w:r>
          </w:p>
          <w:p w14:paraId="4CE5AC95" w14:textId="17D6D57B" w:rsidR="00484EAD" w:rsidRPr="00A9382C" w:rsidRDefault="00484EAD" w:rsidP="00456240">
            <w:pPr>
              <w:pStyle w:val="ListParagraph"/>
              <w:numPr>
                <w:ilvl w:val="0"/>
                <w:numId w:val="12"/>
              </w:numPr>
              <w:jc w:val="left"/>
              <w:rPr>
                <w:sz w:val="20"/>
                <w:szCs w:val="20"/>
              </w:rPr>
            </w:pPr>
            <w:r w:rsidRPr="00A9382C">
              <w:rPr>
                <w:sz w:val="20"/>
                <w:szCs w:val="20"/>
              </w:rPr>
              <w:t xml:space="preserve">Detailed unit/subject profile/outline, including details of the assessment tasks for </w:t>
            </w:r>
            <w:r w:rsidR="00866A37">
              <w:rPr>
                <w:sz w:val="20"/>
                <w:szCs w:val="20"/>
              </w:rPr>
              <w:t>each</w:t>
            </w:r>
            <w:r w:rsidR="00866A37" w:rsidRPr="00A9382C">
              <w:rPr>
                <w:sz w:val="20"/>
                <w:szCs w:val="20"/>
              </w:rPr>
              <w:t xml:space="preserve"> </w:t>
            </w:r>
            <w:r w:rsidRPr="00A9382C">
              <w:rPr>
                <w:sz w:val="20"/>
                <w:szCs w:val="20"/>
              </w:rPr>
              <w:t>unit/subject.</w:t>
            </w:r>
          </w:p>
          <w:p w14:paraId="6671E71D" w14:textId="77777777" w:rsidR="00324B15" w:rsidRDefault="00435513" w:rsidP="00456240">
            <w:pPr>
              <w:pStyle w:val="ListParagraph"/>
              <w:numPr>
                <w:ilvl w:val="0"/>
                <w:numId w:val="12"/>
              </w:numPr>
              <w:jc w:val="left"/>
              <w:rPr>
                <w:sz w:val="20"/>
                <w:szCs w:val="20"/>
              </w:rPr>
            </w:pPr>
            <w:r>
              <w:rPr>
                <w:sz w:val="20"/>
                <w:szCs w:val="20"/>
              </w:rPr>
              <w:t>A range of</w:t>
            </w:r>
            <w:r w:rsidR="00B00676" w:rsidRPr="004653E7">
              <w:rPr>
                <w:sz w:val="20"/>
                <w:szCs w:val="20"/>
              </w:rPr>
              <w:t xml:space="preserve"> different assessment tools or modalities used during work-integrated learning </w:t>
            </w:r>
            <w:r w:rsidR="00023A90" w:rsidRPr="004653E7">
              <w:rPr>
                <w:sz w:val="20"/>
                <w:szCs w:val="20"/>
              </w:rPr>
              <w:t xml:space="preserve">that </w:t>
            </w:r>
            <w:r w:rsidR="00B00676" w:rsidRPr="004653E7">
              <w:rPr>
                <w:sz w:val="20"/>
                <w:szCs w:val="20"/>
              </w:rPr>
              <w:t xml:space="preserve">show </w:t>
            </w:r>
            <w:r w:rsidR="00581C28" w:rsidRPr="004653E7">
              <w:rPr>
                <w:sz w:val="20"/>
                <w:szCs w:val="20"/>
              </w:rPr>
              <w:t>how students attain</w:t>
            </w:r>
            <w:r w:rsidR="00B00676" w:rsidRPr="004653E7">
              <w:rPr>
                <w:sz w:val="20"/>
                <w:szCs w:val="20"/>
              </w:rPr>
              <w:t xml:space="preserve"> the professional capabilities</w:t>
            </w:r>
            <w:r w:rsidR="00411057">
              <w:rPr>
                <w:sz w:val="20"/>
                <w:szCs w:val="20"/>
              </w:rPr>
              <w:t>, including culturally safe practice</w:t>
            </w:r>
            <w:r w:rsidR="00B00676" w:rsidRPr="004653E7">
              <w:rPr>
                <w:sz w:val="20"/>
                <w:szCs w:val="20"/>
              </w:rPr>
              <w:t xml:space="preserve">. </w:t>
            </w:r>
          </w:p>
          <w:p w14:paraId="221ABB47" w14:textId="27042E53" w:rsidR="001C5087" w:rsidRPr="0065343E" w:rsidRDefault="00B00676" w:rsidP="00456240">
            <w:pPr>
              <w:pStyle w:val="ListParagraph"/>
              <w:numPr>
                <w:ilvl w:val="0"/>
                <w:numId w:val="12"/>
              </w:numPr>
              <w:jc w:val="left"/>
              <w:rPr>
                <w:sz w:val="20"/>
                <w:szCs w:val="20"/>
              </w:rPr>
            </w:pPr>
            <w:r w:rsidRPr="004653E7">
              <w:rPr>
                <w:sz w:val="20"/>
                <w:szCs w:val="20"/>
              </w:rPr>
              <w:t>For each tool</w:t>
            </w:r>
            <w:r w:rsidR="00023A90" w:rsidRPr="004653E7">
              <w:rPr>
                <w:sz w:val="20"/>
                <w:szCs w:val="20"/>
              </w:rPr>
              <w:t xml:space="preserve"> or </w:t>
            </w:r>
            <w:r w:rsidRPr="004653E7">
              <w:rPr>
                <w:sz w:val="20"/>
                <w:szCs w:val="20"/>
              </w:rPr>
              <w:t>modality</w:t>
            </w:r>
            <w:r w:rsidR="00023A90" w:rsidRPr="004653E7">
              <w:rPr>
                <w:sz w:val="20"/>
                <w:szCs w:val="20"/>
              </w:rPr>
              <w:t>,</w:t>
            </w:r>
            <w:r w:rsidRPr="004653E7">
              <w:rPr>
                <w:sz w:val="20"/>
                <w:szCs w:val="20"/>
              </w:rPr>
              <w:t xml:space="preserve"> </w:t>
            </w:r>
            <w:r w:rsidR="00761300">
              <w:rPr>
                <w:sz w:val="20"/>
                <w:szCs w:val="20"/>
              </w:rPr>
              <w:t>provide</w:t>
            </w:r>
            <w:r w:rsidR="00761300" w:rsidRPr="004653E7">
              <w:rPr>
                <w:sz w:val="20"/>
                <w:szCs w:val="20"/>
              </w:rPr>
              <w:t xml:space="preserve"> </w:t>
            </w:r>
            <w:r w:rsidR="00857C74">
              <w:rPr>
                <w:sz w:val="20"/>
                <w:szCs w:val="20"/>
              </w:rPr>
              <w:t>a range of</w:t>
            </w:r>
            <w:r w:rsidRPr="004653E7">
              <w:rPr>
                <w:sz w:val="20"/>
                <w:szCs w:val="20"/>
              </w:rPr>
              <w:t xml:space="preserve"> de-identified examples from students across the range of performance. Where possible </w:t>
            </w:r>
            <w:r w:rsidR="00761300">
              <w:rPr>
                <w:sz w:val="20"/>
                <w:szCs w:val="20"/>
              </w:rPr>
              <w:t>provide</w:t>
            </w:r>
            <w:r w:rsidR="00761300" w:rsidRPr="004653E7">
              <w:rPr>
                <w:sz w:val="20"/>
                <w:szCs w:val="20"/>
              </w:rPr>
              <w:t xml:space="preserve"> </w:t>
            </w:r>
            <w:r w:rsidRPr="004653E7">
              <w:rPr>
                <w:sz w:val="20"/>
                <w:szCs w:val="20"/>
              </w:rPr>
              <w:t>an example of a satisfactory or pass, and an example of unsatisfactory or fail.</w:t>
            </w:r>
          </w:p>
        </w:tc>
      </w:tr>
      <w:tr w:rsidR="00484EAD" w:rsidRPr="004653E7" w14:paraId="165EEF0A" w14:textId="77777777" w:rsidTr="00484EAD">
        <w:trPr>
          <w:trHeight w:val="582"/>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5D1A555" w14:textId="77777777" w:rsidR="00484EAD" w:rsidRPr="004653E7" w:rsidRDefault="00484EAD" w:rsidP="00624DC5">
            <w:pPr>
              <w:rPr>
                <w:rFonts w:ascii="Arial" w:hAnsi="Arial" w:cs="Arial"/>
                <w:sz w:val="20"/>
                <w:szCs w:val="20"/>
                <w:lang w:eastAsia="en-AU"/>
              </w:rPr>
            </w:pPr>
            <w:r w:rsidRPr="004653E7">
              <w:rPr>
                <w:rFonts w:ascii="Arial" w:hAnsi="Arial" w:cs="Arial"/>
                <w:sz w:val="20"/>
                <w:szCs w:val="20"/>
                <w:lang w:eastAsia="en-AU"/>
              </w:rPr>
              <w:t>5.2</w:t>
            </w:r>
          </w:p>
        </w:tc>
        <w:tc>
          <w:tcPr>
            <w:tcW w:w="3402" w:type="dxa"/>
            <w:tcBorders>
              <w:top w:val="single" w:sz="4" w:space="0" w:color="auto"/>
              <w:left w:val="nil"/>
              <w:bottom w:val="single" w:sz="4" w:space="0" w:color="auto"/>
              <w:right w:val="single" w:sz="4" w:space="0" w:color="auto"/>
            </w:tcBorders>
            <w:shd w:val="clear" w:color="auto" w:fill="auto"/>
          </w:tcPr>
          <w:p w14:paraId="06C0AC49" w14:textId="05720EE7" w:rsidR="00484EAD" w:rsidRPr="004653E7" w:rsidRDefault="00484EAD" w:rsidP="00624DC5">
            <w:pPr>
              <w:rPr>
                <w:rFonts w:ascii="Arial" w:hAnsi="Arial" w:cs="Arial"/>
                <w:sz w:val="20"/>
                <w:szCs w:val="20"/>
                <w:lang w:eastAsia="en-AU"/>
              </w:rPr>
            </w:pPr>
            <w:r w:rsidRPr="004653E7">
              <w:rPr>
                <w:rFonts w:ascii="Arial" w:hAnsi="Arial" w:cs="Arial"/>
                <w:sz w:val="20"/>
                <w:szCs w:val="20"/>
                <w:lang w:eastAsia="en-AU"/>
              </w:rPr>
              <w:t xml:space="preserve">Multiple valid and reliable assessment tools, modes and sampling are used throughout the </w:t>
            </w:r>
            <w:r w:rsidR="00E12C15" w:rsidRPr="002A0294">
              <w:rPr>
                <w:rFonts w:ascii="Arial" w:eastAsia="Cambria" w:hAnsi="Arial" w:cs="Arial"/>
                <w:sz w:val="20"/>
                <w:szCs w:val="20"/>
              </w:rPr>
              <w:t>unit</w:t>
            </w:r>
            <w:r w:rsidR="002A305D">
              <w:rPr>
                <w:rFonts w:ascii="Arial" w:eastAsia="Cambria" w:hAnsi="Arial" w:cs="Arial"/>
                <w:sz w:val="20"/>
                <w:szCs w:val="20"/>
              </w:rPr>
              <w:t>s</w:t>
            </w:r>
            <w:r w:rsidR="00E12C15" w:rsidRPr="002A0294">
              <w:rPr>
                <w:rFonts w:ascii="Arial" w:eastAsia="Cambria" w:hAnsi="Arial" w:cs="Arial"/>
                <w:sz w:val="20"/>
                <w:szCs w:val="20"/>
              </w:rPr>
              <w:t>/subject</w:t>
            </w:r>
            <w:r w:rsidR="002A305D">
              <w:rPr>
                <w:rFonts w:ascii="Arial" w:eastAsia="Cambria" w:hAnsi="Arial" w:cs="Arial"/>
                <w:sz w:val="20"/>
                <w:szCs w:val="20"/>
              </w:rPr>
              <w:t>s</w:t>
            </w:r>
            <w:r w:rsidRPr="004653E7">
              <w:rPr>
                <w:rFonts w:ascii="Arial" w:hAnsi="Arial" w:cs="Arial"/>
                <w:sz w:val="20"/>
                <w:szCs w:val="20"/>
                <w:lang w:eastAsia="en-AU"/>
              </w:rPr>
              <w:t xml:space="preserve">, including evaluation of student capability through direct observation of students in the clinical </w:t>
            </w:r>
            <w:r w:rsidR="00EC1D5C">
              <w:rPr>
                <w:rFonts w:ascii="Arial" w:hAnsi="Arial" w:cs="Arial"/>
                <w:sz w:val="20"/>
                <w:szCs w:val="20"/>
                <w:lang w:eastAsia="en-AU"/>
              </w:rPr>
              <w:t xml:space="preserve">and non-clinical </w:t>
            </w:r>
            <w:r w:rsidRPr="004653E7">
              <w:rPr>
                <w:rFonts w:ascii="Arial" w:hAnsi="Arial" w:cs="Arial"/>
                <w:sz w:val="20"/>
                <w:szCs w:val="20"/>
                <w:lang w:eastAsia="en-AU"/>
              </w:rPr>
              <w:t>setting</w:t>
            </w:r>
            <w:r w:rsidR="00EC1D5C">
              <w:rPr>
                <w:rFonts w:ascii="Arial" w:hAnsi="Arial" w:cs="Arial"/>
                <w:sz w:val="20"/>
                <w:szCs w:val="20"/>
                <w:lang w:eastAsia="en-AU"/>
              </w:rPr>
              <w:t>s</w:t>
            </w:r>
            <w:r w:rsidRPr="004653E7">
              <w:rPr>
                <w:rFonts w:ascii="Arial" w:hAnsi="Arial" w:cs="Arial"/>
                <w:sz w:val="20"/>
                <w:szCs w:val="20"/>
                <w:lang w:eastAsia="en-AU"/>
              </w:rPr>
              <w:t>.</w:t>
            </w:r>
          </w:p>
        </w:tc>
        <w:tc>
          <w:tcPr>
            <w:tcW w:w="5528" w:type="dxa"/>
            <w:tcBorders>
              <w:top w:val="single" w:sz="4" w:space="0" w:color="auto"/>
              <w:left w:val="nil"/>
              <w:bottom w:val="single" w:sz="4" w:space="0" w:color="auto"/>
              <w:right w:val="single" w:sz="4" w:space="0" w:color="auto"/>
            </w:tcBorders>
          </w:tcPr>
          <w:p w14:paraId="289E307B" w14:textId="7CCFACEC" w:rsidR="00484EAD" w:rsidRPr="004653E7" w:rsidRDefault="00484EAD" w:rsidP="009B05C5">
            <w:pPr>
              <w:pStyle w:val="ListParagraph"/>
              <w:numPr>
                <w:ilvl w:val="0"/>
                <w:numId w:val="26"/>
              </w:numPr>
              <w:jc w:val="left"/>
              <w:rPr>
                <w:sz w:val="20"/>
                <w:szCs w:val="20"/>
              </w:rPr>
            </w:pPr>
            <w:r w:rsidRPr="004653E7">
              <w:rPr>
                <w:sz w:val="20"/>
                <w:szCs w:val="20"/>
              </w:rPr>
              <w:t>Details of the assessment strategy, identifying assessment tools, modes and sampling.</w:t>
            </w:r>
          </w:p>
          <w:p w14:paraId="57B6AEDB" w14:textId="1351C115" w:rsidR="00484EAD" w:rsidRPr="004653E7" w:rsidRDefault="00484EAD" w:rsidP="009B05C5">
            <w:pPr>
              <w:pStyle w:val="ListParagraph"/>
              <w:numPr>
                <w:ilvl w:val="0"/>
                <w:numId w:val="26"/>
              </w:numPr>
              <w:jc w:val="left"/>
              <w:rPr>
                <w:sz w:val="20"/>
                <w:szCs w:val="20"/>
              </w:rPr>
            </w:pPr>
            <w:r w:rsidRPr="004653E7">
              <w:rPr>
                <w:sz w:val="20"/>
                <w:szCs w:val="20"/>
              </w:rPr>
              <w:t xml:space="preserve">Examples of implementation of formal mechanisms </w:t>
            </w:r>
            <w:r w:rsidR="00023A90" w:rsidRPr="004653E7">
              <w:rPr>
                <w:sz w:val="20"/>
                <w:szCs w:val="20"/>
              </w:rPr>
              <w:t xml:space="preserve">used </w:t>
            </w:r>
            <w:r w:rsidRPr="004653E7">
              <w:rPr>
                <w:sz w:val="20"/>
                <w:szCs w:val="20"/>
              </w:rPr>
              <w:t>to evaluate student capability in the clinical setting.</w:t>
            </w:r>
          </w:p>
        </w:tc>
      </w:tr>
      <w:tr w:rsidR="00484EAD" w:rsidRPr="004653E7" w14:paraId="1BDD1137" w14:textId="77777777" w:rsidTr="00484EAD">
        <w:trPr>
          <w:trHeight w:val="274"/>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3050030" w14:textId="77777777" w:rsidR="00484EAD" w:rsidRPr="004653E7" w:rsidRDefault="00484EAD" w:rsidP="00624DC5">
            <w:pPr>
              <w:rPr>
                <w:rFonts w:ascii="Arial" w:hAnsi="Arial" w:cs="Arial"/>
                <w:sz w:val="20"/>
                <w:szCs w:val="20"/>
                <w:lang w:eastAsia="en-AU"/>
              </w:rPr>
            </w:pPr>
            <w:r w:rsidRPr="004653E7">
              <w:rPr>
                <w:rFonts w:ascii="Arial" w:hAnsi="Arial" w:cs="Arial"/>
                <w:sz w:val="20"/>
                <w:szCs w:val="20"/>
                <w:lang w:eastAsia="en-AU"/>
              </w:rPr>
              <w:t>5.3</w:t>
            </w:r>
          </w:p>
        </w:tc>
        <w:tc>
          <w:tcPr>
            <w:tcW w:w="3402" w:type="dxa"/>
            <w:tcBorders>
              <w:top w:val="single" w:sz="4" w:space="0" w:color="auto"/>
              <w:left w:val="nil"/>
              <w:bottom w:val="single" w:sz="4" w:space="0" w:color="auto"/>
              <w:right w:val="single" w:sz="4" w:space="0" w:color="auto"/>
            </w:tcBorders>
            <w:shd w:val="clear" w:color="auto" w:fill="auto"/>
          </w:tcPr>
          <w:p w14:paraId="4558A7D3" w14:textId="01C62D22" w:rsidR="001C5087" w:rsidRDefault="001C5087" w:rsidP="001C5087">
            <w:pPr>
              <w:rPr>
                <w:rFonts w:ascii="Arial" w:hAnsi="Arial" w:cs="Arial"/>
                <w:sz w:val="20"/>
                <w:szCs w:val="20"/>
                <w:lang w:eastAsia="en-AU"/>
              </w:rPr>
            </w:pPr>
            <w:r>
              <w:rPr>
                <w:rFonts w:ascii="Arial" w:hAnsi="Arial" w:cs="Arial"/>
                <w:sz w:val="20"/>
                <w:szCs w:val="20"/>
                <w:lang w:eastAsia="en-AU"/>
              </w:rPr>
              <w:t>Formal mechanisms exist that ensure assessment of student learning outcomes reflects the principles of assessment.</w:t>
            </w:r>
          </w:p>
          <w:p w14:paraId="01E51C11" w14:textId="0DDD8D6D" w:rsidR="00484EAD" w:rsidRPr="004653E7" w:rsidRDefault="00484EAD" w:rsidP="002321AC">
            <w:pPr>
              <w:rPr>
                <w:rFonts w:ascii="Arial" w:hAnsi="Arial" w:cs="Arial"/>
                <w:sz w:val="20"/>
                <w:szCs w:val="20"/>
                <w:lang w:eastAsia="en-AU"/>
              </w:rPr>
            </w:pPr>
          </w:p>
        </w:tc>
        <w:tc>
          <w:tcPr>
            <w:tcW w:w="5528" w:type="dxa"/>
            <w:tcBorders>
              <w:top w:val="single" w:sz="4" w:space="0" w:color="auto"/>
              <w:left w:val="nil"/>
              <w:bottom w:val="single" w:sz="4" w:space="0" w:color="auto"/>
              <w:right w:val="single" w:sz="4" w:space="0" w:color="auto"/>
            </w:tcBorders>
          </w:tcPr>
          <w:p w14:paraId="4D72577F" w14:textId="72674F14" w:rsidR="00484EAD" w:rsidRPr="000C4086" w:rsidRDefault="00EC1D5C" w:rsidP="009B05C5">
            <w:pPr>
              <w:pStyle w:val="ListParagraph"/>
              <w:numPr>
                <w:ilvl w:val="0"/>
                <w:numId w:val="28"/>
              </w:numPr>
              <w:jc w:val="left"/>
              <w:rPr>
                <w:sz w:val="20"/>
                <w:szCs w:val="20"/>
              </w:rPr>
            </w:pPr>
            <w:r w:rsidRPr="006D4542">
              <w:rPr>
                <w:sz w:val="20"/>
                <w:szCs w:val="20"/>
              </w:rPr>
              <w:t>Examples of the formal assessment mechanisms used to determine student competence</w:t>
            </w:r>
            <w:r w:rsidR="00484EAD" w:rsidRPr="000C4086">
              <w:rPr>
                <w:sz w:val="20"/>
                <w:szCs w:val="20"/>
              </w:rPr>
              <w:t>.</w:t>
            </w:r>
          </w:p>
          <w:p w14:paraId="36937A22" w14:textId="4404035F" w:rsidR="00484EAD" w:rsidRPr="004653E7" w:rsidRDefault="00EC1D5C" w:rsidP="009B05C5">
            <w:pPr>
              <w:pStyle w:val="ListParagraph"/>
              <w:numPr>
                <w:ilvl w:val="0"/>
                <w:numId w:val="28"/>
              </w:numPr>
              <w:jc w:val="left"/>
              <w:rPr>
                <w:sz w:val="20"/>
                <w:szCs w:val="20"/>
              </w:rPr>
            </w:pPr>
            <w:r w:rsidRPr="006D4542">
              <w:rPr>
                <w:sz w:val="20"/>
                <w:szCs w:val="20"/>
              </w:rPr>
              <w:t>Examples of assessment review processes and their use in quality improvement outcomes</w:t>
            </w:r>
            <w:r w:rsidR="006677AC">
              <w:rPr>
                <w:sz w:val="20"/>
                <w:szCs w:val="20"/>
              </w:rPr>
              <w:t>.</w:t>
            </w:r>
            <w:r w:rsidRPr="000C4086">
              <w:rPr>
                <w:sz w:val="20"/>
                <w:szCs w:val="20"/>
              </w:rPr>
              <w:t xml:space="preserve"> </w:t>
            </w:r>
          </w:p>
          <w:p w14:paraId="28764C85" w14:textId="77777777" w:rsidR="009B05C5" w:rsidRPr="004653E7" w:rsidRDefault="009B05C5" w:rsidP="009B05C5">
            <w:pPr>
              <w:pStyle w:val="ListParagraph"/>
              <w:numPr>
                <w:ilvl w:val="0"/>
                <w:numId w:val="28"/>
              </w:numPr>
              <w:jc w:val="left"/>
              <w:rPr>
                <w:sz w:val="20"/>
                <w:szCs w:val="20"/>
              </w:rPr>
            </w:pPr>
            <w:r w:rsidRPr="004653E7">
              <w:rPr>
                <w:sz w:val="20"/>
                <w:szCs w:val="20"/>
              </w:rPr>
              <w:t xml:space="preserve">Examples of assessment moderation and validation, </w:t>
            </w:r>
            <w:r>
              <w:rPr>
                <w:sz w:val="20"/>
                <w:szCs w:val="20"/>
              </w:rPr>
              <w:t xml:space="preserve">including peer validation. This should include </w:t>
            </w:r>
            <w:r w:rsidRPr="004653E7">
              <w:rPr>
                <w:sz w:val="20"/>
                <w:szCs w:val="20"/>
              </w:rPr>
              <w:t>the outcomes</w:t>
            </w:r>
            <w:r>
              <w:rPr>
                <w:sz w:val="20"/>
                <w:szCs w:val="20"/>
              </w:rPr>
              <w:t>, and responses to those outcomes</w:t>
            </w:r>
            <w:r w:rsidRPr="004653E7">
              <w:rPr>
                <w:sz w:val="20"/>
                <w:szCs w:val="20"/>
              </w:rPr>
              <w:t>.</w:t>
            </w:r>
          </w:p>
          <w:p w14:paraId="586AFF9D" w14:textId="0D12A843" w:rsidR="00484EAD" w:rsidRPr="006677AC" w:rsidRDefault="009B05C5" w:rsidP="006677AC">
            <w:pPr>
              <w:pStyle w:val="ListParagraph"/>
              <w:numPr>
                <w:ilvl w:val="0"/>
                <w:numId w:val="28"/>
              </w:numPr>
              <w:jc w:val="left"/>
              <w:rPr>
                <w:sz w:val="20"/>
                <w:szCs w:val="20"/>
              </w:rPr>
            </w:pPr>
            <w:r w:rsidRPr="004653E7">
              <w:rPr>
                <w:sz w:val="20"/>
                <w:szCs w:val="20"/>
              </w:rPr>
              <w:t xml:space="preserve">Examples of </w:t>
            </w:r>
            <w:r>
              <w:rPr>
                <w:sz w:val="20"/>
                <w:szCs w:val="20"/>
              </w:rPr>
              <w:t xml:space="preserve">external referencing of </w:t>
            </w:r>
            <w:r w:rsidRPr="004653E7">
              <w:rPr>
                <w:sz w:val="20"/>
                <w:szCs w:val="20"/>
              </w:rPr>
              <w:t xml:space="preserve">assessment </w:t>
            </w:r>
            <w:r>
              <w:rPr>
                <w:sz w:val="20"/>
                <w:szCs w:val="20"/>
              </w:rPr>
              <w:t xml:space="preserve">methods </w:t>
            </w:r>
            <w:r w:rsidRPr="004653E7">
              <w:rPr>
                <w:sz w:val="20"/>
                <w:szCs w:val="20"/>
              </w:rPr>
              <w:t>including the outcomes.</w:t>
            </w:r>
          </w:p>
        </w:tc>
      </w:tr>
      <w:tr w:rsidR="00484EAD" w:rsidRPr="004653E7" w14:paraId="21470D34" w14:textId="77777777" w:rsidTr="00484EAD">
        <w:trPr>
          <w:trHeight w:val="41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AEA2308" w14:textId="77777777" w:rsidR="00484EAD" w:rsidRPr="004653E7" w:rsidRDefault="00484EAD" w:rsidP="00624DC5">
            <w:pPr>
              <w:rPr>
                <w:rFonts w:ascii="Arial" w:hAnsi="Arial" w:cs="Arial"/>
                <w:sz w:val="20"/>
                <w:szCs w:val="20"/>
                <w:lang w:eastAsia="en-AU"/>
              </w:rPr>
            </w:pPr>
            <w:r w:rsidRPr="004653E7">
              <w:rPr>
                <w:rFonts w:ascii="Arial" w:hAnsi="Arial" w:cs="Arial"/>
                <w:sz w:val="20"/>
                <w:szCs w:val="20"/>
                <w:lang w:eastAsia="en-AU"/>
              </w:rPr>
              <w:t>5.4</w:t>
            </w:r>
          </w:p>
        </w:tc>
        <w:tc>
          <w:tcPr>
            <w:tcW w:w="3402" w:type="dxa"/>
            <w:tcBorders>
              <w:top w:val="single" w:sz="4" w:space="0" w:color="auto"/>
              <w:left w:val="nil"/>
              <w:bottom w:val="single" w:sz="4" w:space="0" w:color="auto"/>
              <w:right w:val="single" w:sz="4" w:space="0" w:color="auto"/>
            </w:tcBorders>
            <w:shd w:val="clear" w:color="auto" w:fill="auto"/>
          </w:tcPr>
          <w:p w14:paraId="534E9849" w14:textId="22095E6F" w:rsidR="00484EAD" w:rsidRPr="004653E7" w:rsidRDefault="00484EAD" w:rsidP="008A1EBB">
            <w:pPr>
              <w:rPr>
                <w:rFonts w:ascii="Arial" w:hAnsi="Arial" w:cs="Arial"/>
                <w:sz w:val="20"/>
                <w:szCs w:val="20"/>
                <w:lang w:eastAsia="en-AU"/>
              </w:rPr>
            </w:pPr>
            <w:r w:rsidRPr="004653E7">
              <w:rPr>
                <w:rFonts w:ascii="Arial" w:hAnsi="Arial" w:cs="Arial"/>
                <w:sz w:val="20"/>
                <w:szCs w:val="20"/>
                <w:lang w:eastAsia="en-AU"/>
              </w:rPr>
              <w:t>Staff assess</w:t>
            </w:r>
            <w:r w:rsidR="001C5087">
              <w:rPr>
                <w:rFonts w:ascii="Arial" w:hAnsi="Arial" w:cs="Arial"/>
                <w:sz w:val="20"/>
                <w:szCs w:val="20"/>
                <w:lang w:eastAsia="en-AU"/>
              </w:rPr>
              <w:t>ing</w:t>
            </w:r>
            <w:r w:rsidRPr="004653E7">
              <w:rPr>
                <w:rFonts w:ascii="Arial" w:hAnsi="Arial" w:cs="Arial"/>
                <w:sz w:val="20"/>
                <w:szCs w:val="20"/>
                <w:lang w:eastAsia="en-AU"/>
              </w:rPr>
              <w:t xml:space="preserve"> </w:t>
            </w:r>
            <w:r w:rsidR="006E3E18">
              <w:rPr>
                <w:rFonts w:ascii="Arial" w:hAnsi="Arial" w:cs="Arial"/>
                <w:sz w:val="20"/>
                <w:szCs w:val="20"/>
              </w:rPr>
              <w:t xml:space="preserve">(including staff assessing work-integrated learning) </w:t>
            </w:r>
            <w:r w:rsidRPr="004653E7">
              <w:rPr>
                <w:rFonts w:ascii="Arial" w:hAnsi="Arial" w:cs="Arial"/>
                <w:sz w:val="20"/>
                <w:szCs w:val="20"/>
                <w:lang w:eastAsia="en-AU"/>
              </w:rPr>
              <w:t>are suitably experienced, prepared for the role</w:t>
            </w:r>
            <w:r w:rsidR="00023A90" w:rsidRPr="004653E7">
              <w:rPr>
                <w:rFonts w:ascii="Arial" w:hAnsi="Arial" w:cs="Arial"/>
                <w:sz w:val="20"/>
                <w:szCs w:val="20"/>
                <w:lang w:eastAsia="en-AU"/>
              </w:rPr>
              <w:t>,</w:t>
            </w:r>
            <w:r w:rsidRPr="004653E7">
              <w:rPr>
                <w:rFonts w:ascii="Arial" w:hAnsi="Arial" w:cs="Arial"/>
                <w:sz w:val="20"/>
                <w:szCs w:val="20"/>
                <w:lang w:eastAsia="en-AU"/>
              </w:rPr>
              <w:t xml:space="preserve"> and hold appropriate qualifications.</w:t>
            </w:r>
          </w:p>
        </w:tc>
        <w:tc>
          <w:tcPr>
            <w:tcW w:w="5528" w:type="dxa"/>
            <w:tcBorders>
              <w:top w:val="single" w:sz="4" w:space="0" w:color="auto"/>
              <w:left w:val="nil"/>
              <w:bottom w:val="single" w:sz="4" w:space="0" w:color="auto"/>
              <w:right w:val="single" w:sz="4" w:space="0" w:color="auto"/>
            </w:tcBorders>
          </w:tcPr>
          <w:p w14:paraId="09351312" w14:textId="4428E8BE" w:rsidR="00484EAD" w:rsidRPr="004653E7" w:rsidRDefault="00484EAD" w:rsidP="009B05C5">
            <w:pPr>
              <w:pStyle w:val="ListParagraph"/>
              <w:numPr>
                <w:ilvl w:val="0"/>
                <w:numId w:val="12"/>
              </w:numPr>
              <w:jc w:val="left"/>
              <w:rPr>
                <w:rFonts w:eastAsia="MS Mincho"/>
                <w:sz w:val="20"/>
                <w:szCs w:val="20"/>
              </w:rPr>
            </w:pPr>
            <w:r w:rsidRPr="004653E7">
              <w:rPr>
                <w:rFonts w:eastAsia="MS Mincho"/>
                <w:sz w:val="20"/>
                <w:szCs w:val="20"/>
              </w:rPr>
              <w:t xml:space="preserve">Staffing profile for academic staff responsible for assessment of students in the </w:t>
            </w:r>
            <w:r w:rsidR="00E12C15" w:rsidRPr="002A0294">
              <w:rPr>
                <w:rFonts w:eastAsia="Cambria"/>
                <w:sz w:val="20"/>
                <w:szCs w:val="20"/>
              </w:rPr>
              <w:t>unit/subject</w:t>
            </w:r>
            <w:r w:rsidR="00E12C15" w:rsidRPr="004653E7" w:rsidDel="006C5B3C">
              <w:rPr>
                <w:sz w:val="20"/>
                <w:szCs w:val="20"/>
              </w:rPr>
              <w:t xml:space="preserve"> </w:t>
            </w:r>
            <w:r w:rsidRPr="004653E7">
              <w:rPr>
                <w:rFonts w:eastAsia="MS Mincho"/>
                <w:sz w:val="20"/>
                <w:szCs w:val="20"/>
              </w:rPr>
              <w:t>identifying</w:t>
            </w:r>
            <w:r w:rsidR="009311C6">
              <w:rPr>
                <w:rFonts w:eastAsia="MS Mincho"/>
                <w:sz w:val="20"/>
                <w:szCs w:val="20"/>
              </w:rPr>
              <w:t xml:space="preserve"> </w:t>
            </w:r>
            <w:proofErr w:type="spellStart"/>
            <w:r w:rsidR="009311C6">
              <w:rPr>
                <w:rFonts w:eastAsia="MS Mincho"/>
                <w:sz w:val="20"/>
                <w:szCs w:val="20"/>
              </w:rPr>
              <w:t>their</w:t>
            </w:r>
            <w:proofErr w:type="spellEnd"/>
            <w:r w:rsidRPr="004653E7">
              <w:rPr>
                <w:rFonts w:eastAsia="MS Mincho"/>
                <w:sz w:val="20"/>
                <w:szCs w:val="20"/>
              </w:rPr>
              <w:t>:</w:t>
            </w:r>
          </w:p>
          <w:p w14:paraId="54295841" w14:textId="14716BF2" w:rsidR="00484EAD" w:rsidRPr="004653E7" w:rsidRDefault="00484EAD" w:rsidP="009B05C5">
            <w:pPr>
              <w:pStyle w:val="ListParagraph"/>
              <w:numPr>
                <w:ilvl w:val="0"/>
                <w:numId w:val="29"/>
              </w:numPr>
              <w:ind w:left="647" w:hanging="284"/>
              <w:jc w:val="left"/>
              <w:rPr>
                <w:rFonts w:eastAsia="MS Mincho"/>
                <w:sz w:val="20"/>
                <w:szCs w:val="20"/>
              </w:rPr>
            </w:pPr>
            <w:r w:rsidRPr="004653E7">
              <w:rPr>
                <w:rFonts w:eastAsia="MS Mincho"/>
                <w:sz w:val="20"/>
                <w:szCs w:val="20"/>
              </w:rPr>
              <w:t>academic level of appointment</w:t>
            </w:r>
          </w:p>
          <w:p w14:paraId="512B90BA" w14:textId="6AC8A1B2" w:rsidR="00484EAD" w:rsidRPr="004653E7" w:rsidRDefault="00484EAD" w:rsidP="009B05C5">
            <w:pPr>
              <w:pStyle w:val="ListParagraph"/>
              <w:numPr>
                <w:ilvl w:val="0"/>
                <w:numId w:val="29"/>
              </w:numPr>
              <w:ind w:left="647" w:hanging="284"/>
              <w:jc w:val="left"/>
              <w:rPr>
                <w:rFonts w:eastAsia="MS Mincho"/>
                <w:sz w:val="20"/>
                <w:szCs w:val="20"/>
              </w:rPr>
            </w:pPr>
            <w:r w:rsidRPr="004653E7">
              <w:rPr>
                <w:rFonts w:eastAsia="MS Mincho"/>
                <w:sz w:val="20"/>
                <w:szCs w:val="20"/>
              </w:rPr>
              <w:t xml:space="preserve">role in assessment of students </w:t>
            </w:r>
          </w:p>
          <w:p w14:paraId="0F5C049E" w14:textId="2DF0212D" w:rsidR="00484EAD" w:rsidRPr="004653E7" w:rsidRDefault="00484EAD" w:rsidP="009B05C5">
            <w:pPr>
              <w:pStyle w:val="ListParagraph"/>
              <w:numPr>
                <w:ilvl w:val="0"/>
                <w:numId w:val="29"/>
              </w:numPr>
              <w:ind w:left="647" w:hanging="284"/>
              <w:jc w:val="left"/>
              <w:rPr>
                <w:rFonts w:eastAsia="MS Mincho"/>
                <w:sz w:val="20"/>
                <w:szCs w:val="20"/>
              </w:rPr>
            </w:pPr>
            <w:r w:rsidRPr="004653E7">
              <w:rPr>
                <w:rFonts w:eastAsia="MS Mincho"/>
                <w:sz w:val="20"/>
                <w:szCs w:val="20"/>
              </w:rPr>
              <w:t xml:space="preserve">fraction (full-time, part-time) and type (ongoing, contract, casual) </w:t>
            </w:r>
            <w:r w:rsidR="00E12C15" w:rsidRPr="004653E7">
              <w:rPr>
                <w:rFonts w:eastAsia="MS Mincho"/>
                <w:sz w:val="20"/>
                <w:szCs w:val="20"/>
              </w:rPr>
              <w:t>of appointment</w:t>
            </w:r>
          </w:p>
          <w:p w14:paraId="5829DB18" w14:textId="66F0A2C3" w:rsidR="00484EAD" w:rsidRPr="004653E7" w:rsidRDefault="00484EAD" w:rsidP="009B05C5">
            <w:pPr>
              <w:pStyle w:val="ListParagraph"/>
              <w:numPr>
                <w:ilvl w:val="0"/>
                <w:numId w:val="29"/>
              </w:numPr>
              <w:ind w:left="647" w:hanging="284"/>
              <w:jc w:val="left"/>
              <w:rPr>
                <w:rFonts w:eastAsia="MS Mincho"/>
                <w:sz w:val="20"/>
                <w:szCs w:val="20"/>
              </w:rPr>
            </w:pPr>
            <w:r w:rsidRPr="004653E7">
              <w:rPr>
                <w:rFonts w:eastAsia="MS Mincho"/>
                <w:sz w:val="20"/>
                <w:szCs w:val="20"/>
              </w:rPr>
              <w:t>qualifications and/or experience relevant to their responsibilities</w:t>
            </w:r>
          </w:p>
          <w:p w14:paraId="58C6FC50" w14:textId="0C2A2615" w:rsidR="00484EAD" w:rsidRPr="004653E7" w:rsidRDefault="00484EAD" w:rsidP="009B05C5">
            <w:pPr>
              <w:pStyle w:val="ListParagraph"/>
              <w:numPr>
                <w:ilvl w:val="0"/>
                <w:numId w:val="29"/>
              </w:numPr>
              <w:ind w:left="647" w:hanging="284"/>
              <w:jc w:val="left"/>
              <w:rPr>
                <w:rFonts w:eastAsia="MS Mincho"/>
                <w:sz w:val="20"/>
                <w:szCs w:val="20"/>
              </w:rPr>
            </w:pPr>
            <w:r w:rsidRPr="004653E7">
              <w:rPr>
                <w:rFonts w:eastAsia="MS Mincho"/>
                <w:sz w:val="20"/>
                <w:szCs w:val="20"/>
              </w:rPr>
              <w:t>relevant registration status</w:t>
            </w:r>
            <w:r w:rsidR="001C5087">
              <w:rPr>
                <w:rFonts w:eastAsia="MS Mincho"/>
                <w:sz w:val="20"/>
                <w:szCs w:val="20"/>
              </w:rPr>
              <w:t xml:space="preserve"> (for health practitioners)</w:t>
            </w:r>
            <w:r w:rsidRPr="004653E7">
              <w:rPr>
                <w:rFonts w:eastAsia="MS Mincho"/>
                <w:sz w:val="20"/>
                <w:szCs w:val="20"/>
              </w:rPr>
              <w:t>, and</w:t>
            </w:r>
          </w:p>
          <w:p w14:paraId="64CA65AC" w14:textId="15FFC332" w:rsidR="00484EAD" w:rsidRPr="004653E7" w:rsidRDefault="00484EAD" w:rsidP="009B05C5">
            <w:pPr>
              <w:pStyle w:val="ListParagraph"/>
              <w:numPr>
                <w:ilvl w:val="0"/>
                <w:numId w:val="29"/>
              </w:numPr>
              <w:ind w:left="647" w:hanging="284"/>
              <w:jc w:val="left"/>
              <w:rPr>
                <w:rFonts w:eastAsia="MS Mincho"/>
                <w:sz w:val="20"/>
                <w:szCs w:val="20"/>
              </w:rPr>
            </w:pPr>
            <w:r w:rsidRPr="004653E7">
              <w:rPr>
                <w:rFonts w:eastAsia="MS Mincho"/>
                <w:sz w:val="20"/>
                <w:szCs w:val="20"/>
              </w:rPr>
              <w:t>engagement in further learning related to</w:t>
            </w:r>
            <w:r w:rsidR="00556249" w:rsidRPr="004653E7">
              <w:rPr>
                <w:rFonts w:eastAsia="MS Mincho"/>
                <w:sz w:val="20"/>
                <w:szCs w:val="20"/>
              </w:rPr>
              <w:t xml:space="preserve"> their</w:t>
            </w:r>
            <w:r w:rsidRPr="004653E7">
              <w:rPr>
                <w:rFonts w:eastAsia="MS Mincho"/>
                <w:sz w:val="20"/>
                <w:szCs w:val="20"/>
              </w:rPr>
              <w:t xml:space="preserve"> role and responsibilities.</w:t>
            </w:r>
          </w:p>
          <w:p w14:paraId="675C3092" w14:textId="4803A29C" w:rsidR="00484EAD" w:rsidRDefault="00484EAD" w:rsidP="00456240">
            <w:pPr>
              <w:pStyle w:val="ListParagraph"/>
              <w:numPr>
                <w:ilvl w:val="0"/>
                <w:numId w:val="13"/>
              </w:numPr>
              <w:jc w:val="left"/>
              <w:rPr>
                <w:rFonts w:eastAsia="MS Mincho"/>
                <w:sz w:val="20"/>
                <w:szCs w:val="20"/>
                <w:lang w:eastAsia="en-US"/>
              </w:rPr>
            </w:pPr>
            <w:r w:rsidRPr="004653E7">
              <w:rPr>
                <w:rFonts w:eastAsia="MS Mincho"/>
                <w:sz w:val="20"/>
                <w:szCs w:val="20"/>
                <w:lang w:eastAsia="en-US"/>
              </w:rPr>
              <w:lastRenderedPageBreak/>
              <w:t>Details of arrangements</w:t>
            </w:r>
            <w:r w:rsidR="00B00676" w:rsidRPr="004653E7">
              <w:rPr>
                <w:rFonts w:eastAsia="MS Mincho"/>
                <w:sz w:val="20"/>
                <w:szCs w:val="20"/>
                <w:lang w:eastAsia="en-US"/>
              </w:rPr>
              <w:t xml:space="preserve"> to monitor staff who</w:t>
            </w:r>
            <w:r w:rsidRPr="004653E7">
              <w:rPr>
                <w:rFonts w:eastAsia="MS Mincho"/>
                <w:sz w:val="20"/>
                <w:szCs w:val="20"/>
                <w:lang w:eastAsia="en-US"/>
              </w:rPr>
              <w:t xml:space="preserve"> </w:t>
            </w:r>
            <w:r w:rsidR="00B00676" w:rsidRPr="004653E7">
              <w:rPr>
                <w:rFonts w:eastAsia="MS Mincho"/>
                <w:sz w:val="20"/>
                <w:szCs w:val="20"/>
                <w:lang w:eastAsia="en-US"/>
              </w:rPr>
              <w:t>assess</w:t>
            </w:r>
            <w:r w:rsidRPr="004653E7">
              <w:rPr>
                <w:rFonts w:eastAsia="MS Mincho"/>
                <w:sz w:val="20"/>
                <w:szCs w:val="20"/>
              </w:rPr>
              <w:t xml:space="preserve"> students during work-integrated learning</w:t>
            </w:r>
            <w:r w:rsidR="00683DC7">
              <w:rPr>
                <w:rFonts w:eastAsia="MS Mincho"/>
                <w:sz w:val="20"/>
                <w:szCs w:val="20"/>
              </w:rPr>
              <w:t xml:space="preserve"> </w:t>
            </w:r>
            <w:r w:rsidR="00496971">
              <w:rPr>
                <w:rFonts w:eastAsia="MS Mincho"/>
                <w:sz w:val="20"/>
                <w:szCs w:val="20"/>
              </w:rPr>
              <w:t>to ensure assessment is based on the principles of assessment</w:t>
            </w:r>
            <w:r w:rsidR="00683DC7">
              <w:rPr>
                <w:rFonts w:eastAsia="MS Mincho"/>
                <w:sz w:val="20"/>
                <w:szCs w:val="20"/>
              </w:rPr>
              <w:t>.</w:t>
            </w:r>
          </w:p>
          <w:p w14:paraId="43AB64CE" w14:textId="408BB2A0" w:rsidR="00496971" w:rsidRPr="004653E7" w:rsidRDefault="00496971" w:rsidP="00456240">
            <w:pPr>
              <w:pStyle w:val="ListParagraph"/>
              <w:numPr>
                <w:ilvl w:val="0"/>
                <w:numId w:val="13"/>
              </w:numPr>
              <w:jc w:val="left"/>
              <w:rPr>
                <w:rFonts w:eastAsia="MS Mincho"/>
                <w:sz w:val="20"/>
                <w:szCs w:val="20"/>
                <w:lang w:eastAsia="en-US"/>
              </w:rPr>
            </w:pPr>
            <w:r w:rsidRPr="00496971">
              <w:rPr>
                <w:rFonts w:eastAsia="MS Mincho"/>
                <w:sz w:val="20"/>
                <w:szCs w:val="20"/>
                <w:lang w:eastAsia="en-US"/>
              </w:rPr>
              <w:t>Details of arrangements to monitor the cultural competence of staff who assess students.</w:t>
            </w:r>
          </w:p>
        </w:tc>
      </w:tr>
      <w:tr w:rsidR="00484EAD" w:rsidRPr="004653E7" w14:paraId="75821638" w14:textId="77777777" w:rsidTr="00484EAD">
        <w:trPr>
          <w:trHeight w:val="41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DD2399D" w14:textId="265F8B18" w:rsidR="00484EAD" w:rsidRPr="004653E7" w:rsidRDefault="00484EAD" w:rsidP="00624DC5">
            <w:pPr>
              <w:rPr>
                <w:rFonts w:ascii="Arial" w:hAnsi="Arial" w:cs="Arial"/>
                <w:sz w:val="20"/>
                <w:szCs w:val="20"/>
                <w:lang w:eastAsia="en-AU"/>
              </w:rPr>
            </w:pPr>
            <w:r w:rsidRPr="004653E7">
              <w:rPr>
                <w:rFonts w:ascii="Arial" w:hAnsi="Arial" w:cs="Arial"/>
                <w:sz w:val="20"/>
                <w:szCs w:val="20"/>
                <w:lang w:eastAsia="en-AU"/>
              </w:rPr>
              <w:lastRenderedPageBreak/>
              <w:t>5.5</w:t>
            </w:r>
          </w:p>
        </w:tc>
        <w:tc>
          <w:tcPr>
            <w:tcW w:w="3402" w:type="dxa"/>
            <w:tcBorders>
              <w:top w:val="single" w:sz="4" w:space="0" w:color="auto"/>
              <w:left w:val="nil"/>
              <w:bottom w:val="single" w:sz="4" w:space="0" w:color="auto"/>
              <w:right w:val="single" w:sz="4" w:space="0" w:color="auto"/>
            </w:tcBorders>
            <w:shd w:val="clear" w:color="auto" w:fill="auto"/>
          </w:tcPr>
          <w:p w14:paraId="44F91EF1" w14:textId="36C89538" w:rsidR="00484EAD" w:rsidRPr="004653E7" w:rsidRDefault="00484EAD" w:rsidP="004A0A4D">
            <w:pPr>
              <w:rPr>
                <w:rFonts w:ascii="Arial" w:hAnsi="Arial" w:cs="Arial"/>
                <w:sz w:val="20"/>
                <w:szCs w:val="20"/>
                <w:lang w:eastAsia="en-AU"/>
              </w:rPr>
            </w:pPr>
            <w:r w:rsidRPr="004653E7">
              <w:rPr>
                <w:rFonts w:ascii="Arial" w:hAnsi="Arial" w:cs="Arial"/>
                <w:sz w:val="20"/>
                <w:szCs w:val="20"/>
                <w:lang w:eastAsia="en-AU"/>
              </w:rPr>
              <w:t xml:space="preserve">Formal mechanisms </w:t>
            </w:r>
            <w:r w:rsidR="00A346F4" w:rsidRPr="004653E7">
              <w:rPr>
                <w:rFonts w:ascii="Arial" w:hAnsi="Arial" w:cs="Arial"/>
                <w:sz w:val="20"/>
                <w:szCs w:val="20"/>
                <w:lang w:eastAsia="en-AU"/>
              </w:rPr>
              <w:t>exist</w:t>
            </w:r>
            <w:r w:rsidRPr="004653E7">
              <w:rPr>
                <w:rFonts w:ascii="Arial" w:hAnsi="Arial" w:cs="Arial"/>
                <w:sz w:val="20"/>
                <w:szCs w:val="20"/>
                <w:lang w:eastAsia="en-AU"/>
              </w:rPr>
              <w:t xml:space="preserve"> to ensure the learning outcomes and assessment for all work-integrated learning activities are defined and known to both students and supervisors.</w:t>
            </w:r>
          </w:p>
        </w:tc>
        <w:tc>
          <w:tcPr>
            <w:tcW w:w="5528" w:type="dxa"/>
            <w:tcBorders>
              <w:top w:val="single" w:sz="4" w:space="0" w:color="auto"/>
              <w:left w:val="nil"/>
              <w:bottom w:val="single" w:sz="4" w:space="0" w:color="auto"/>
              <w:right w:val="single" w:sz="4" w:space="0" w:color="auto"/>
            </w:tcBorders>
          </w:tcPr>
          <w:p w14:paraId="53645B60" w14:textId="77777777" w:rsidR="001C5087" w:rsidRPr="004653E7" w:rsidRDefault="001C5087" w:rsidP="00456240">
            <w:pPr>
              <w:pStyle w:val="ListParagraph"/>
              <w:numPr>
                <w:ilvl w:val="0"/>
                <w:numId w:val="12"/>
              </w:numPr>
              <w:jc w:val="left"/>
              <w:rPr>
                <w:rFonts w:eastAsia="MS Mincho"/>
                <w:sz w:val="20"/>
                <w:szCs w:val="20"/>
              </w:rPr>
            </w:pPr>
            <w:r w:rsidRPr="004653E7">
              <w:rPr>
                <w:sz w:val="20"/>
                <w:szCs w:val="20"/>
              </w:rPr>
              <w:t>Information provided to students and supervisors about work-integrated learning activities and assessment.</w:t>
            </w:r>
          </w:p>
          <w:p w14:paraId="2424D467" w14:textId="4811609B" w:rsidR="00484EAD" w:rsidRPr="004653E7" w:rsidRDefault="00A346F4" w:rsidP="00456240">
            <w:pPr>
              <w:pStyle w:val="ListParagraph"/>
              <w:numPr>
                <w:ilvl w:val="0"/>
                <w:numId w:val="12"/>
              </w:numPr>
              <w:jc w:val="left"/>
              <w:rPr>
                <w:rFonts w:eastAsia="MS Mincho"/>
                <w:sz w:val="20"/>
                <w:szCs w:val="20"/>
              </w:rPr>
            </w:pPr>
            <w:r w:rsidRPr="004653E7">
              <w:rPr>
                <w:sz w:val="20"/>
                <w:szCs w:val="20"/>
              </w:rPr>
              <w:t>Examples of i</w:t>
            </w:r>
            <w:r w:rsidR="00581C28" w:rsidRPr="004653E7">
              <w:rPr>
                <w:sz w:val="20"/>
                <w:szCs w:val="20"/>
              </w:rPr>
              <w:t xml:space="preserve">mplementation </w:t>
            </w:r>
            <w:r w:rsidR="00484EAD" w:rsidRPr="004653E7">
              <w:rPr>
                <w:sz w:val="20"/>
                <w:szCs w:val="20"/>
              </w:rPr>
              <w:t xml:space="preserve">of formal mechanisms </w:t>
            </w:r>
            <w:r w:rsidR="00F4035A" w:rsidRPr="004653E7">
              <w:rPr>
                <w:sz w:val="20"/>
                <w:szCs w:val="20"/>
              </w:rPr>
              <w:t>used</w:t>
            </w:r>
            <w:r w:rsidR="00484EAD" w:rsidRPr="004653E7">
              <w:rPr>
                <w:sz w:val="20"/>
                <w:szCs w:val="20"/>
              </w:rPr>
              <w:t xml:space="preserve"> to ensure the learning outcomes and assessment for all work-integrated learning activities are defined and known to both students and supervisors. </w:t>
            </w:r>
          </w:p>
          <w:p w14:paraId="5ED39182" w14:textId="5D08D7B3" w:rsidR="00484EAD" w:rsidRPr="004653E7" w:rsidRDefault="00484EAD" w:rsidP="00456240">
            <w:pPr>
              <w:pStyle w:val="ListParagraph"/>
              <w:numPr>
                <w:ilvl w:val="0"/>
                <w:numId w:val="12"/>
              </w:numPr>
              <w:jc w:val="left"/>
              <w:rPr>
                <w:rFonts w:eastAsia="MS Mincho"/>
                <w:sz w:val="20"/>
                <w:szCs w:val="20"/>
              </w:rPr>
            </w:pPr>
            <w:r w:rsidRPr="004653E7">
              <w:rPr>
                <w:sz w:val="20"/>
                <w:szCs w:val="20"/>
              </w:rPr>
              <w:t>Examples of guidance provided to work-integrated learning supervisors</w:t>
            </w:r>
            <w:r w:rsidR="00910A52">
              <w:rPr>
                <w:sz w:val="20"/>
                <w:szCs w:val="20"/>
              </w:rPr>
              <w:t xml:space="preserve"> </w:t>
            </w:r>
            <w:r w:rsidRPr="004653E7">
              <w:rPr>
                <w:sz w:val="20"/>
                <w:szCs w:val="20"/>
              </w:rPr>
              <w:t xml:space="preserve">on </w:t>
            </w:r>
            <w:r w:rsidR="009E5A14">
              <w:rPr>
                <w:sz w:val="20"/>
                <w:szCs w:val="20"/>
              </w:rPr>
              <w:t xml:space="preserve">the </w:t>
            </w:r>
            <w:r w:rsidRPr="004653E7">
              <w:rPr>
                <w:sz w:val="20"/>
                <w:szCs w:val="20"/>
              </w:rPr>
              <w:t xml:space="preserve">use </w:t>
            </w:r>
            <w:r w:rsidR="002C7CE8">
              <w:rPr>
                <w:sz w:val="20"/>
                <w:szCs w:val="20"/>
              </w:rPr>
              <w:t xml:space="preserve">of </w:t>
            </w:r>
            <w:r w:rsidRPr="004653E7">
              <w:rPr>
                <w:sz w:val="20"/>
                <w:szCs w:val="20"/>
              </w:rPr>
              <w:t xml:space="preserve">assessment tools </w:t>
            </w:r>
            <w:r w:rsidR="00B00676" w:rsidRPr="004653E7">
              <w:rPr>
                <w:sz w:val="20"/>
                <w:szCs w:val="20"/>
              </w:rPr>
              <w:t>to enhance the validity and reliability of their assessments.</w:t>
            </w:r>
          </w:p>
        </w:tc>
      </w:tr>
    </w:tbl>
    <w:p w14:paraId="1A9B5510" w14:textId="77777777" w:rsidR="002A24E3" w:rsidRPr="004653E7" w:rsidRDefault="002A24E3" w:rsidP="002A24E3">
      <w:pPr>
        <w:rPr>
          <w:rFonts w:ascii="Arial" w:eastAsia="Cambria" w:hAnsi="Arial" w:cs="Arial"/>
          <w:b/>
          <w:color w:val="007DC3"/>
          <w:sz w:val="20"/>
          <w:szCs w:val="20"/>
        </w:rPr>
      </w:pPr>
      <w:r w:rsidRPr="004653E7">
        <w:rPr>
          <w:szCs w:val="20"/>
        </w:rPr>
        <w:br w:type="page"/>
      </w:r>
      <w:r w:rsidRPr="004653E7">
        <w:rPr>
          <w:rFonts w:ascii="Arial" w:eastAsia="Cambria" w:hAnsi="Arial" w:cs="Arial"/>
          <w:b/>
          <w:color w:val="007DC3"/>
          <w:sz w:val="20"/>
          <w:szCs w:val="20"/>
        </w:rPr>
        <w:lastRenderedPageBreak/>
        <w:t>Standard 5: Explanatory notes</w:t>
      </w:r>
    </w:p>
    <w:p w14:paraId="541AFDE2" w14:textId="77777777" w:rsidR="002A24E3" w:rsidRPr="004653E7" w:rsidRDefault="002A24E3" w:rsidP="002A24E3">
      <w:pPr>
        <w:rPr>
          <w:rFonts w:ascii="Arial" w:eastAsia="Cambria" w:hAnsi="Arial" w:cs="Arial"/>
          <w:b/>
          <w:color w:val="007DC3"/>
          <w:sz w:val="20"/>
          <w:szCs w:val="20"/>
        </w:rPr>
      </w:pPr>
    </w:p>
    <w:p w14:paraId="1BFD2076" w14:textId="49B2E3A8" w:rsidR="001D617F" w:rsidRDefault="005C0EE2" w:rsidP="001D617F">
      <w:pPr>
        <w:rPr>
          <w:rFonts w:ascii="Arial" w:hAnsi="Arial" w:cs="Arial"/>
          <w:sz w:val="20"/>
          <w:szCs w:val="20"/>
        </w:rPr>
      </w:pPr>
      <w:r w:rsidRPr="004653E7">
        <w:rPr>
          <w:rFonts w:ascii="Arial" w:hAnsi="Arial" w:cs="Arial"/>
          <w:sz w:val="20"/>
          <w:szCs w:val="20"/>
        </w:rPr>
        <w:t>This s</w:t>
      </w:r>
      <w:r w:rsidR="002A24E3" w:rsidRPr="004653E7">
        <w:rPr>
          <w:rFonts w:ascii="Arial" w:hAnsi="Arial" w:cs="Arial"/>
          <w:sz w:val="20"/>
          <w:szCs w:val="20"/>
        </w:rPr>
        <w:t>tandard focuses on assessment</w:t>
      </w:r>
      <w:r w:rsidR="00B00676" w:rsidRPr="004653E7">
        <w:rPr>
          <w:rFonts w:ascii="Arial" w:hAnsi="Arial" w:cs="Arial"/>
          <w:sz w:val="20"/>
          <w:szCs w:val="20"/>
        </w:rPr>
        <w:t>, including quality assurance processes and the</w:t>
      </w:r>
      <w:r w:rsidR="00683DC7">
        <w:rPr>
          <w:rFonts w:ascii="Arial" w:hAnsi="Arial" w:cs="Arial"/>
          <w:sz w:val="20"/>
          <w:szCs w:val="20"/>
        </w:rPr>
        <w:t xml:space="preserve"> capabilities of the</w:t>
      </w:r>
      <w:r w:rsidR="00B00676" w:rsidRPr="004653E7">
        <w:rPr>
          <w:rFonts w:ascii="Arial" w:hAnsi="Arial" w:cs="Arial"/>
          <w:sz w:val="20"/>
          <w:szCs w:val="20"/>
        </w:rPr>
        <w:t xml:space="preserve"> staff responsible for assessing students in </w:t>
      </w:r>
      <w:r w:rsidR="00C15458">
        <w:rPr>
          <w:rFonts w:ascii="Arial" w:hAnsi="Arial" w:cs="Arial"/>
          <w:sz w:val="20"/>
          <w:szCs w:val="20"/>
        </w:rPr>
        <w:t>each</w:t>
      </w:r>
      <w:r w:rsidR="00C15458" w:rsidRPr="004653E7">
        <w:rPr>
          <w:rFonts w:ascii="Arial" w:hAnsi="Arial" w:cs="Arial"/>
          <w:sz w:val="20"/>
          <w:szCs w:val="20"/>
        </w:rPr>
        <w:t xml:space="preserve"> </w:t>
      </w:r>
      <w:r w:rsidR="00E12C15" w:rsidRPr="002A0294">
        <w:rPr>
          <w:rFonts w:ascii="Arial" w:eastAsia="Cambria" w:hAnsi="Arial" w:cs="Arial"/>
          <w:sz w:val="20"/>
          <w:szCs w:val="20"/>
        </w:rPr>
        <w:t>unit/subject</w:t>
      </w:r>
      <w:r w:rsidR="00B00676" w:rsidRPr="004653E7">
        <w:rPr>
          <w:rFonts w:ascii="Arial" w:hAnsi="Arial" w:cs="Arial"/>
          <w:sz w:val="20"/>
          <w:szCs w:val="20"/>
        </w:rPr>
        <w:t xml:space="preserve">. </w:t>
      </w:r>
      <w:r w:rsidR="00E12C15">
        <w:rPr>
          <w:rFonts w:ascii="Arial" w:hAnsi="Arial" w:cs="Arial"/>
          <w:sz w:val="20"/>
          <w:szCs w:val="20"/>
        </w:rPr>
        <w:t>T</w:t>
      </w:r>
      <w:r w:rsidR="001D617F" w:rsidRPr="00906F7B">
        <w:rPr>
          <w:rFonts w:ascii="Arial" w:hAnsi="Arial" w:cs="Arial"/>
          <w:sz w:val="20"/>
          <w:szCs w:val="20"/>
        </w:rPr>
        <w:t xml:space="preserve">he Accreditation Committee expects the education provider to ultimately show how they assure that every student who passes the </w:t>
      </w:r>
      <w:r w:rsidR="00E12C15" w:rsidRPr="002A0294">
        <w:rPr>
          <w:rFonts w:ascii="Arial" w:eastAsia="Cambria" w:hAnsi="Arial" w:cs="Arial"/>
          <w:sz w:val="20"/>
          <w:szCs w:val="20"/>
        </w:rPr>
        <w:t>unit/subject</w:t>
      </w:r>
      <w:r w:rsidR="00E12C15" w:rsidRPr="004653E7" w:rsidDel="006C5B3C">
        <w:rPr>
          <w:rFonts w:ascii="Arial" w:hAnsi="Arial" w:cs="Arial"/>
          <w:sz w:val="20"/>
          <w:szCs w:val="20"/>
        </w:rPr>
        <w:t xml:space="preserve"> </w:t>
      </w:r>
      <w:r w:rsidR="001D617F" w:rsidRPr="00906F7B">
        <w:rPr>
          <w:rFonts w:ascii="Arial" w:hAnsi="Arial" w:cs="Arial"/>
          <w:sz w:val="20"/>
          <w:szCs w:val="20"/>
        </w:rPr>
        <w:t xml:space="preserve">has achieved </w:t>
      </w:r>
      <w:r w:rsidR="00AE2120" w:rsidRPr="00AE2120">
        <w:rPr>
          <w:rFonts w:ascii="Arial" w:hAnsi="Arial" w:cs="Arial"/>
          <w:sz w:val="20"/>
          <w:szCs w:val="20"/>
        </w:rPr>
        <w:t xml:space="preserve">all the professional capabilities required for a podiatrist or podiatric surgeon to </w:t>
      </w:r>
      <w:r w:rsidR="00CC4B05">
        <w:rPr>
          <w:rFonts w:ascii="Arial" w:hAnsi="Arial" w:cs="Arial"/>
          <w:sz w:val="20"/>
          <w:szCs w:val="20"/>
        </w:rPr>
        <w:t xml:space="preserve">qualify for endorsement of their registration in relation to scheduled </w:t>
      </w:r>
      <w:r w:rsidR="00AE2120" w:rsidRPr="00AE2120">
        <w:rPr>
          <w:rFonts w:ascii="Arial" w:hAnsi="Arial" w:cs="Arial"/>
          <w:sz w:val="20"/>
          <w:szCs w:val="20"/>
        </w:rPr>
        <w:t>medicines</w:t>
      </w:r>
      <w:r w:rsidR="00AE2120">
        <w:rPr>
          <w:rFonts w:ascii="Arial" w:hAnsi="Arial" w:cs="Arial"/>
          <w:sz w:val="20"/>
          <w:szCs w:val="20"/>
        </w:rPr>
        <w:t xml:space="preserve">. </w:t>
      </w:r>
    </w:p>
    <w:p w14:paraId="0CF48A66" w14:textId="77777777" w:rsidR="00906F7B" w:rsidRPr="004653E7" w:rsidRDefault="00906F7B" w:rsidP="001D617F">
      <w:pPr>
        <w:rPr>
          <w:rFonts w:ascii="Arial" w:hAnsi="Arial" w:cs="Arial"/>
          <w:sz w:val="20"/>
          <w:szCs w:val="20"/>
        </w:rPr>
      </w:pPr>
    </w:p>
    <w:p w14:paraId="6F8AF8C7" w14:textId="521CA7AC" w:rsidR="002A24E3" w:rsidRPr="004653E7" w:rsidRDefault="002A24E3" w:rsidP="002A24E3">
      <w:pPr>
        <w:rPr>
          <w:rFonts w:ascii="Arial" w:hAnsi="Arial" w:cs="Arial"/>
          <w:sz w:val="20"/>
          <w:szCs w:val="20"/>
        </w:rPr>
      </w:pPr>
      <w:r w:rsidRPr="004653E7">
        <w:rPr>
          <w:rFonts w:ascii="Arial" w:hAnsi="Arial" w:cs="Arial"/>
          <w:sz w:val="20"/>
          <w:szCs w:val="20"/>
        </w:rPr>
        <w:t xml:space="preserve">The </w:t>
      </w:r>
      <w:r w:rsidR="00350A92" w:rsidRPr="004653E7">
        <w:rPr>
          <w:rFonts w:ascii="Arial" w:hAnsi="Arial" w:cs="Arial"/>
          <w:sz w:val="20"/>
          <w:szCs w:val="20"/>
        </w:rPr>
        <w:t>Accreditation Committee</w:t>
      </w:r>
      <w:r w:rsidRPr="004653E7">
        <w:rPr>
          <w:rFonts w:ascii="Arial" w:hAnsi="Arial" w:cs="Arial"/>
          <w:sz w:val="20"/>
          <w:szCs w:val="20"/>
        </w:rPr>
        <w:t xml:space="preserve"> expects </w:t>
      </w:r>
      <w:r w:rsidR="009B205D">
        <w:rPr>
          <w:rFonts w:ascii="Arial" w:hAnsi="Arial" w:cs="Arial"/>
          <w:sz w:val="20"/>
          <w:szCs w:val="20"/>
        </w:rPr>
        <w:t xml:space="preserve">the </w:t>
      </w:r>
      <w:r w:rsidRPr="004653E7">
        <w:rPr>
          <w:rFonts w:ascii="Arial" w:hAnsi="Arial" w:cs="Arial"/>
          <w:sz w:val="20"/>
          <w:szCs w:val="20"/>
        </w:rPr>
        <w:t xml:space="preserve">education provider to use fit for purpose and comprehensive assessment methods and formats to assess learning outcomes, and to ensure a balance of formative and summative assessments throughout </w:t>
      </w:r>
      <w:r w:rsidR="00652CB9" w:rsidRPr="00FD2B92">
        <w:rPr>
          <w:rFonts w:ascii="Arial" w:hAnsi="Arial" w:cs="Arial"/>
          <w:sz w:val="20"/>
          <w:szCs w:val="20"/>
        </w:rPr>
        <w:t>podiatry scheduled medicines education</w:t>
      </w:r>
      <w:r w:rsidRPr="004653E7">
        <w:rPr>
          <w:rFonts w:ascii="Arial" w:hAnsi="Arial" w:cs="Arial"/>
          <w:sz w:val="20"/>
          <w:szCs w:val="20"/>
        </w:rPr>
        <w:t xml:space="preserve">. </w:t>
      </w:r>
    </w:p>
    <w:p w14:paraId="4176CCD3" w14:textId="77777777" w:rsidR="00ED39A5" w:rsidRPr="004653E7" w:rsidRDefault="00ED39A5" w:rsidP="002A24E3">
      <w:pPr>
        <w:rPr>
          <w:rFonts w:ascii="Arial" w:hAnsi="Arial" w:cs="Arial"/>
          <w:sz w:val="20"/>
          <w:szCs w:val="20"/>
        </w:rPr>
      </w:pPr>
    </w:p>
    <w:p w14:paraId="1753AA20" w14:textId="77777777" w:rsidR="00C722D6" w:rsidRPr="004653E7" w:rsidRDefault="00C722D6" w:rsidP="00C722D6">
      <w:pPr>
        <w:rPr>
          <w:rFonts w:ascii="Arial" w:hAnsi="Arial" w:cs="Arial"/>
          <w:b/>
          <w:sz w:val="20"/>
          <w:szCs w:val="20"/>
        </w:rPr>
      </w:pPr>
      <w:bookmarkStart w:id="47" w:name="_Hlk531786327"/>
      <w:r>
        <w:rPr>
          <w:rFonts w:ascii="Arial" w:hAnsi="Arial" w:cs="Arial"/>
          <w:b/>
          <w:sz w:val="20"/>
          <w:szCs w:val="20"/>
        </w:rPr>
        <w:t>Principles of assessment</w:t>
      </w:r>
    </w:p>
    <w:p w14:paraId="7FB258ED" w14:textId="77777777" w:rsidR="00C722D6" w:rsidRPr="004653E7" w:rsidRDefault="00C722D6" w:rsidP="00C722D6">
      <w:pPr>
        <w:rPr>
          <w:rFonts w:ascii="Arial" w:hAnsi="Arial" w:cs="Arial"/>
          <w:b/>
          <w:sz w:val="20"/>
          <w:szCs w:val="20"/>
        </w:rPr>
      </w:pPr>
    </w:p>
    <w:p w14:paraId="780A6AFD" w14:textId="77777777" w:rsidR="00C722D6" w:rsidRPr="004653E7" w:rsidRDefault="00C722D6" w:rsidP="00C722D6">
      <w:pPr>
        <w:rPr>
          <w:rFonts w:ascii="Arial" w:hAnsi="Arial" w:cs="Arial"/>
          <w:sz w:val="20"/>
          <w:szCs w:val="20"/>
        </w:rPr>
      </w:pPr>
      <w:r w:rsidRPr="004653E7">
        <w:rPr>
          <w:rFonts w:ascii="Arial" w:hAnsi="Arial" w:cs="Arial"/>
          <w:sz w:val="20"/>
          <w:szCs w:val="20"/>
        </w:rPr>
        <w:t xml:space="preserve">The </w:t>
      </w:r>
      <w:r>
        <w:rPr>
          <w:rFonts w:ascii="Arial" w:hAnsi="Arial" w:cs="Arial"/>
          <w:sz w:val="20"/>
          <w:szCs w:val="20"/>
        </w:rPr>
        <w:t xml:space="preserve">principles of assessment </w:t>
      </w:r>
      <w:r w:rsidRPr="00563866">
        <w:rPr>
          <w:rFonts w:ascii="Arial" w:hAnsi="Arial" w:cs="Arial"/>
          <w:sz w:val="20"/>
          <w:szCs w:val="20"/>
        </w:rPr>
        <w:t>are a set of measures to ensure that assessment of students is valid, reliable, flexible and fair.</w:t>
      </w:r>
      <w:r w:rsidRPr="004653E7">
        <w:rPr>
          <w:rFonts w:ascii="Arial" w:hAnsi="Arial" w:cs="Arial"/>
          <w:sz w:val="20"/>
          <w:szCs w:val="20"/>
        </w:rPr>
        <w:t xml:space="preserve"> The Accreditation Committee expects </w:t>
      </w:r>
      <w:r>
        <w:rPr>
          <w:rFonts w:ascii="Arial" w:hAnsi="Arial" w:cs="Arial"/>
          <w:sz w:val="20"/>
          <w:szCs w:val="20"/>
        </w:rPr>
        <w:t xml:space="preserve">the </w:t>
      </w:r>
      <w:r w:rsidRPr="004653E7">
        <w:rPr>
          <w:rFonts w:ascii="Arial" w:hAnsi="Arial" w:cs="Arial"/>
          <w:sz w:val="20"/>
          <w:szCs w:val="20"/>
        </w:rPr>
        <w:t xml:space="preserve">education provider to implement an assessment strategy that </w:t>
      </w:r>
      <w:r>
        <w:rPr>
          <w:rFonts w:ascii="Arial" w:hAnsi="Arial" w:cs="Arial"/>
          <w:sz w:val="20"/>
          <w:szCs w:val="20"/>
        </w:rPr>
        <w:t xml:space="preserve">reflects the principles of assessment. </w:t>
      </w:r>
      <w:r w:rsidRPr="004653E7">
        <w:rPr>
          <w:rFonts w:ascii="Arial" w:hAnsi="Arial" w:cs="Arial"/>
          <w:sz w:val="20"/>
          <w:szCs w:val="20"/>
        </w:rPr>
        <w:t xml:space="preserve">It is also expected that when the education provider designs and implements supplementary and alternative assessments in the </w:t>
      </w:r>
      <w:r w:rsidRPr="002A0294">
        <w:rPr>
          <w:rFonts w:ascii="Arial" w:eastAsia="Cambria" w:hAnsi="Arial" w:cs="Arial"/>
          <w:sz w:val="20"/>
          <w:szCs w:val="20"/>
        </w:rPr>
        <w:t>unit/subject</w:t>
      </w:r>
      <w:r w:rsidRPr="004653E7" w:rsidDel="006C5B3C">
        <w:rPr>
          <w:rFonts w:ascii="Arial" w:hAnsi="Arial" w:cs="Arial"/>
          <w:sz w:val="20"/>
          <w:szCs w:val="20"/>
        </w:rPr>
        <w:t xml:space="preserve"> </w:t>
      </w:r>
      <w:r w:rsidRPr="004653E7">
        <w:rPr>
          <w:rFonts w:ascii="Arial" w:hAnsi="Arial" w:cs="Arial"/>
          <w:sz w:val="20"/>
          <w:szCs w:val="20"/>
        </w:rPr>
        <w:t xml:space="preserve">that these contain different material to the original assessment. </w:t>
      </w:r>
    </w:p>
    <w:p w14:paraId="42B76585" w14:textId="77777777" w:rsidR="00C722D6" w:rsidRPr="004653E7" w:rsidRDefault="00C722D6" w:rsidP="00C722D6">
      <w:pPr>
        <w:rPr>
          <w:rFonts w:ascii="Arial" w:hAnsi="Arial" w:cs="Arial"/>
          <w:sz w:val="20"/>
          <w:szCs w:val="20"/>
        </w:rPr>
      </w:pPr>
    </w:p>
    <w:bookmarkEnd w:id="47"/>
    <w:p w14:paraId="766BA8FF" w14:textId="11B3764D" w:rsidR="002A24E3" w:rsidRPr="004653E7" w:rsidRDefault="002A24E3" w:rsidP="002A24E3">
      <w:pPr>
        <w:rPr>
          <w:rFonts w:ascii="Arial" w:hAnsi="Arial" w:cs="Arial"/>
          <w:b/>
          <w:sz w:val="20"/>
          <w:szCs w:val="20"/>
        </w:rPr>
      </w:pPr>
      <w:r w:rsidRPr="004653E7">
        <w:rPr>
          <w:rFonts w:ascii="Arial" w:hAnsi="Arial" w:cs="Arial"/>
          <w:b/>
          <w:sz w:val="20"/>
          <w:szCs w:val="20"/>
        </w:rPr>
        <w:t xml:space="preserve">Staffing profile for staff responsible for assessment of students in the </w:t>
      </w:r>
      <w:r w:rsidR="00E12C15">
        <w:rPr>
          <w:rFonts w:ascii="Arial" w:hAnsi="Arial" w:cs="Arial"/>
          <w:b/>
          <w:sz w:val="20"/>
          <w:szCs w:val="20"/>
        </w:rPr>
        <w:t>unit/subject</w:t>
      </w:r>
    </w:p>
    <w:p w14:paraId="1B3F2464" w14:textId="77777777" w:rsidR="002C20F0" w:rsidRPr="004653E7" w:rsidRDefault="002C20F0" w:rsidP="002A24E3">
      <w:pPr>
        <w:rPr>
          <w:rFonts w:ascii="Arial" w:hAnsi="Arial" w:cs="Arial"/>
          <w:b/>
          <w:sz w:val="20"/>
          <w:szCs w:val="20"/>
        </w:rPr>
      </w:pPr>
    </w:p>
    <w:p w14:paraId="6063DD94" w14:textId="5C7884CA" w:rsidR="002A24E3" w:rsidRPr="00A37A4C" w:rsidRDefault="002A24E3" w:rsidP="002A24E3">
      <w:pPr>
        <w:rPr>
          <w:rFonts w:ascii="Arial" w:hAnsi="Arial" w:cs="Arial"/>
          <w:b/>
          <w:sz w:val="20"/>
          <w:szCs w:val="20"/>
        </w:rPr>
      </w:pPr>
      <w:r w:rsidRPr="004653E7">
        <w:rPr>
          <w:rFonts w:ascii="Arial" w:hAnsi="Arial" w:cs="Arial"/>
          <w:sz w:val="20"/>
          <w:szCs w:val="20"/>
        </w:rPr>
        <w:t xml:space="preserve">A template for the staffing profile is available to education providers for completion, however use of this </w:t>
      </w:r>
      <w:r w:rsidRPr="000F3133">
        <w:rPr>
          <w:rFonts w:ascii="Arial" w:hAnsi="Arial" w:cs="Arial"/>
          <w:sz w:val="20"/>
          <w:szCs w:val="20"/>
        </w:rPr>
        <w:t xml:space="preserve">template is optional and the information can be set out in a different format, </w:t>
      </w:r>
      <w:proofErr w:type="gramStart"/>
      <w:r w:rsidRPr="000F3133">
        <w:rPr>
          <w:rFonts w:ascii="Arial" w:hAnsi="Arial" w:cs="Arial"/>
          <w:sz w:val="20"/>
          <w:szCs w:val="20"/>
        </w:rPr>
        <w:t>as long as</w:t>
      </w:r>
      <w:proofErr w:type="gramEnd"/>
      <w:r w:rsidRPr="000F3133">
        <w:rPr>
          <w:rFonts w:ascii="Arial" w:hAnsi="Arial" w:cs="Arial"/>
          <w:sz w:val="20"/>
          <w:szCs w:val="20"/>
        </w:rPr>
        <w:t xml:space="preserve"> it includes the details identified in the expected information </w:t>
      </w:r>
      <w:r w:rsidR="00524B89" w:rsidRPr="000F3133">
        <w:rPr>
          <w:rFonts w:ascii="Arial" w:hAnsi="Arial" w:cs="Arial"/>
          <w:sz w:val="20"/>
          <w:szCs w:val="20"/>
        </w:rPr>
        <w:t>for Criterion 5.4.</w:t>
      </w:r>
      <w:r w:rsidR="000A2BBD" w:rsidRPr="004653E7">
        <w:rPr>
          <w:rStyle w:val="FootnoteReference"/>
          <w:rFonts w:eastAsia="Batang" w:cs="Arial"/>
        </w:rPr>
        <w:footnoteReference w:id="22"/>
      </w:r>
      <w:r w:rsidR="004978DE" w:rsidRPr="000F3133">
        <w:rPr>
          <w:rFonts w:ascii="Arial" w:hAnsi="Arial" w:cs="Arial"/>
          <w:sz w:val="20"/>
          <w:szCs w:val="20"/>
        </w:rPr>
        <w:t xml:space="preserve"> The same template can also be used for Criteria 2.1</w:t>
      </w:r>
      <w:r w:rsidR="009445ED">
        <w:rPr>
          <w:rFonts w:ascii="Arial" w:hAnsi="Arial" w:cs="Arial"/>
          <w:sz w:val="20"/>
          <w:szCs w:val="20"/>
        </w:rPr>
        <w:t>1</w:t>
      </w:r>
      <w:r w:rsidR="002E33AC">
        <w:rPr>
          <w:rFonts w:ascii="Arial" w:hAnsi="Arial" w:cs="Arial"/>
          <w:sz w:val="20"/>
          <w:szCs w:val="20"/>
        </w:rPr>
        <w:t xml:space="preserve"> and 3.11</w:t>
      </w:r>
      <w:r w:rsidR="004978DE" w:rsidRPr="000F3133">
        <w:rPr>
          <w:rFonts w:ascii="Arial" w:hAnsi="Arial" w:cs="Arial"/>
          <w:sz w:val="20"/>
          <w:szCs w:val="20"/>
        </w:rPr>
        <w:t>.</w:t>
      </w:r>
    </w:p>
    <w:p w14:paraId="72385B04" w14:textId="77777777" w:rsidR="002A24E3" w:rsidRPr="004653E7" w:rsidRDefault="002A24E3" w:rsidP="002A24E3">
      <w:pPr>
        <w:rPr>
          <w:rFonts w:ascii="Arial" w:hAnsi="Arial" w:cs="Arial"/>
          <w:sz w:val="20"/>
          <w:szCs w:val="20"/>
        </w:rPr>
      </w:pPr>
    </w:p>
    <w:p w14:paraId="7708AA00" w14:textId="7D1938C0" w:rsidR="002A24E3" w:rsidRPr="004653E7" w:rsidRDefault="002A24E3" w:rsidP="002A24E3">
      <w:pPr>
        <w:rPr>
          <w:rFonts w:ascii="Arial" w:hAnsi="Arial" w:cs="Arial"/>
          <w:sz w:val="20"/>
          <w:szCs w:val="20"/>
        </w:rPr>
      </w:pPr>
      <w:r w:rsidRPr="004653E7">
        <w:rPr>
          <w:rFonts w:ascii="Arial" w:hAnsi="Arial" w:cs="Arial"/>
          <w:sz w:val="20"/>
          <w:szCs w:val="20"/>
        </w:rPr>
        <w:t xml:space="preserve">The </w:t>
      </w:r>
      <w:r w:rsidR="00350A92" w:rsidRPr="004653E7">
        <w:rPr>
          <w:rFonts w:ascii="Arial" w:hAnsi="Arial" w:cs="Arial"/>
          <w:sz w:val="20"/>
          <w:szCs w:val="20"/>
        </w:rPr>
        <w:t>Accreditation Committee</w:t>
      </w:r>
      <w:r w:rsidRPr="004653E7">
        <w:rPr>
          <w:rFonts w:ascii="Arial" w:hAnsi="Arial" w:cs="Arial"/>
          <w:sz w:val="20"/>
          <w:szCs w:val="20"/>
        </w:rPr>
        <w:t xml:space="preserve"> does not assess against the </w:t>
      </w:r>
      <w:r w:rsidR="00581C28" w:rsidRPr="00866076">
        <w:rPr>
          <w:rFonts w:ascii="Arial" w:hAnsi="Arial" w:cs="Arial"/>
          <w:sz w:val="20"/>
          <w:szCs w:val="20"/>
        </w:rPr>
        <w:t>threshold HES</w:t>
      </w:r>
      <w:r w:rsidRPr="004653E7">
        <w:rPr>
          <w:rFonts w:ascii="Arial" w:hAnsi="Arial" w:cs="Arial"/>
          <w:i/>
          <w:sz w:val="20"/>
          <w:szCs w:val="20"/>
        </w:rPr>
        <w:t>,</w:t>
      </w:r>
      <w:r w:rsidRPr="004653E7">
        <w:rPr>
          <w:rFonts w:ascii="Arial" w:hAnsi="Arial" w:cs="Arial"/>
          <w:sz w:val="20"/>
          <w:szCs w:val="20"/>
        </w:rPr>
        <w:t xml:space="preserve"> but it expects the education provider to submit clear evidence that all staff with responsibilities for assessment of students in the </w:t>
      </w:r>
      <w:r w:rsidR="00E12C15" w:rsidRPr="002A0294">
        <w:rPr>
          <w:rFonts w:ascii="Arial" w:eastAsia="Cambria" w:hAnsi="Arial" w:cs="Arial"/>
          <w:sz w:val="20"/>
          <w:szCs w:val="20"/>
        </w:rPr>
        <w:t>unit/subject</w:t>
      </w:r>
      <w:r w:rsidR="00E12C15" w:rsidRPr="004653E7" w:rsidDel="006C5B3C">
        <w:rPr>
          <w:rFonts w:ascii="Arial" w:hAnsi="Arial" w:cs="Arial"/>
          <w:sz w:val="20"/>
          <w:szCs w:val="20"/>
        </w:rPr>
        <w:t xml:space="preserve"> </w:t>
      </w:r>
      <w:r w:rsidRPr="004653E7">
        <w:rPr>
          <w:rFonts w:ascii="Arial" w:hAnsi="Arial" w:cs="Arial"/>
          <w:sz w:val="20"/>
          <w:szCs w:val="20"/>
        </w:rPr>
        <w:t>have:</w:t>
      </w:r>
    </w:p>
    <w:p w14:paraId="226EC474" w14:textId="77777777" w:rsidR="002A24E3" w:rsidRPr="004653E7" w:rsidRDefault="002A24E3" w:rsidP="002A24E3">
      <w:pPr>
        <w:rPr>
          <w:rFonts w:ascii="Arial" w:hAnsi="Arial" w:cs="Arial"/>
          <w:sz w:val="20"/>
          <w:szCs w:val="20"/>
        </w:rPr>
      </w:pPr>
    </w:p>
    <w:p w14:paraId="0E7352C3" w14:textId="77777777" w:rsidR="002A24E3" w:rsidRPr="004653E7" w:rsidRDefault="002A24E3" w:rsidP="00456240">
      <w:pPr>
        <w:pStyle w:val="ListParagraph"/>
        <w:numPr>
          <w:ilvl w:val="0"/>
          <w:numId w:val="51"/>
        </w:numPr>
        <w:jc w:val="left"/>
        <w:rPr>
          <w:sz w:val="20"/>
          <w:szCs w:val="20"/>
        </w:rPr>
      </w:pPr>
      <w:r w:rsidRPr="004653E7">
        <w:rPr>
          <w:sz w:val="20"/>
          <w:szCs w:val="20"/>
        </w:rPr>
        <w:t xml:space="preserve">skills in contemporary assessment principles </w:t>
      </w:r>
      <w:r w:rsidR="00F34660" w:rsidRPr="004653E7">
        <w:rPr>
          <w:sz w:val="20"/>
          <w:szCs w:val="20"/>
        </w:rPr>
        <w:t xml:space="preserve">and practice </w:t>
      </w:r>
      <w:r w:rsidRPr="004653E7">
        <w:rPr>
          <w:sz w:val="20"/>
          <w:szCs w:val="20"/>
        </w:rPr>
        <w:t xml:space="preserve">relevant to their responsibilities, and </w:t>
      </w:r>
    </w:p>
    <w:p w14:paraId="793AB44A" w14:textId="4BA32AFD" w:rsidR="002A24E3" w:rsidRPr="004653E7" w:rsidRDefault="002A24E3" w:rsidP="00456240">
      <w:pPr>
        <w:pStyle w:val="ListParagraph"/>
        <w:numPr>
          <w:ilvl w:val="0"/>
          <w:numId w:val="51"/>
        </w:numPr>
        <w:jc w:val="left"/>
        <w:rPr>
          <w:sz w:val="20"/>
          <w:szCs w:val="20"/>
        </w:rPr>
      </w:pPr>
      <w:r w:rsidRPr="004653E7">
        <w:rPr>
          <w:sz w:val="20"/>
          <w:szCs w:val="20"/>
        </w:rPr>
        <w:t xml:space="preserve">a qualification in a relevant discipline at least one level higher than the </w:t>
      </w:r>
      <w:r w:rsidR="00E12C15" w:rsidRPr="002A0294">
        <w:rPr>
          <w:rFonts w:eastAsia="Cambria"/>
          <w:sz w:val="20"/>
          <w:szCs w:val="20"/>
        </w:rPr>
        <w:t>unit/subject</w:t>
      </w:r>
      <w:r w:rsidRPr="004653E7">
        <w:rPr>
          <w:sz w:val="20"/>
          <w:szCs w:val="20"/>
        </w:rPr>
        <w:t>, or equivalent relevant academic or professional or practice-based experience and expertise.</w:t>
      </w:r>
    </w:p>
    <w:p w14:paraId="5C237697" w14:textId="77777777" w:rsidR="002A24E3" w:rsidRPr="004653E7" w:rsidRDefault="002A24E3" w:rsidP="002A24E3">
      <w:pPr>
        <w:rPr>
          <w:rFonts w:ascii="Arial" w:hAnsi="Arial" w:cs="Arial"/>
          <w:sz w:val="20"/>
          <w:szCs w:val="20"/>
        </w:rPr>
      </w:pPr>
    </w:p>
    <w:p w14:paraId="5789547F" w14:textId="4DB514E2" w:rsidR="005627D5" w:rsidRPr="004653E7" w:rsidRDefault="005627D5" w:rsidP="005627D5">
      <w:pPr>
        <w:rPr>
          <w:rFonts w:ascii="Arial" w:hAnsi="Arial" w:cs="Arial"/>
          <w:sz w:val="20"/>
          <w:szCs w:val="20"/>
        </w:rPr>
      </w:pPr>
      <w:r w:rsidRPr="004653E7">
        <w:rPr>
          <w:rFonts w:ascii="Arial" w:hAnsi="Arial" w:cs="Arial"/>
          <w:sz w:val="20"/>
          <w:szCs w:val="20"/>
        </w:rPr>
        <w:t xml:space="preserve">If information at the level of the </w:t>
      </w:r>
      <w:r w:rsidR="00E12C15" w:rsidRPr="002A0294">
        <w:rPr>
          <w:rFonts w:ascii="Arial" w:eastAsia="Cambria" w:hAnsi="Arial" w:cs="Arial"/>
          <w:sz w:val="20"/>
          <w:szCs w:val="20"/>
        </w:rPr>
        <w:t>unit/subject</w:t>
      </w:r>
      <w:r w:rsidR="00E12C15" w:rsidRPr="004653E7" w:rsidDel="006C5B3C">
        <w:rPr>
          <w:rFonts w:ascii="Arial" w:hAnsi="Arial" w:cs="Arial"/>
          <w:sz w:val="20"/>
          <w:szCs w:val="20"/>
        </w:rPr>
        <w:t xml:space="preserve"> </w:t>
      </w:r>
      <w:r w:rsidRPr="004653E7">
        <w:rPr>
          <w:rFonts w:ascii="Arial" w:hAnsi="Arial" w:cs="Arial"/>
          <w:sz w:val="20"/>
          <w:szCs w:val="20"/>
        </w:rPr>
        <w:t>has been assessed by TEQSA, evidence of the outcome of TEQSA</w:t>
      </w:r>
      <w:r w:rsidR="00B00676" w:rsidRPr="004653E7">
        <w:rPr>
          <w:rFonts w:ascii="Arial" w:hAnsi="Arial" w:cs="Arial"/>
          <w:sz w:val="20"/>
          <w:szCs w:val="20"/>
        </w:rPr>
        <w:t>’s</w:t>
      </w:r>
      <w:r w:rsidRPr="004653E7">
        <w:rPr>
          <w:rFonts w:ascii="Arial" w:hAnsi="Arial" w:cs="Arial"/>
          <w:sz w:val="20"/>
          <w:szCs w:val="20"/>
        </w:rPr>
        <w:t xml:space="preserve"> assessment is </w:t>
      </w:r>
      <w:proofErr w:type="gramStart"/>
      <w:r w:rsidRPr="004653E7">
        <w:rPr>
          <w:rFonts w:ascii="Arial" w:hAnsi="Arial" w:cs="Arial"/>
          <w:sz w:val="20"/>
          <w:szCs w:val="20"/>
        </w:rPr>
        <w:t>sufficient</w:t>
      </w:r>
      <w:proofErr w:type="gramEnd"/>
      <w:r w:rsidRPr="004653E7">
        <w:rPr>
          <w:rFonts w:ascii="Arial" w:hAnsi="Arial" w:cs="Arial"/>
          <w:sz w:val="20"/>
          <w:szCs w:val="20"/>
        </w:rPr>
        <w:t>.</w:t>
      </w:r>
    </w:p>
    <w:p w14:paraId="4A7B7D94" w14:textId="77777777" w:rsidR="000C7C07" w:rsidRPr="004653E7" w:rsidRDefault="000C7C07" w:rsidP="002A24E3">
      <w:pPr>
        <w:rPr>
          <w:rFonts w:ascii="Arial" w:eastAsia="Cambria" w:hAnsi="Arial" w:cs="Arial"/>
          <w:color w:val="5F6062"/>
          <w:sz w:val="28"/>
          <w:szCs w:val="28"/>
        </w:rPr>
      </w:pPr>
    </w:p>
    <w:p w14:paraId="7E8D70C0" w14:textId="77777777" w:rsidR="007A66C1" w:rsidRPr="004653E7" w:rsidRDefault="007A66C1">
      <w:pPr>
        <w:spacing w:after="200" w:line="276" w:lineRule="auto"/>
        <w:rPr>
          <w:rFonts w:ascii="Arial" w:eastAsia="Cambria" w:hAnsi="Arial" w:cs="Arial"/>
          <w:color w:val="5F6062"/>
          <w:sz w:val="28"/>
          <w:szCs w:val="28"/>
        </w:rPr>
      </w:pPr>
      <w:r w:rsidRPr="004653E7">
        <w:rPr>
          <w:rFonts w:ascii="Arial" w:eastAsia="Cambria" w:hAnsi="Arial" w:cs="Arial"/>
          <w:color w:val="5F6062"/>
          <w:sz w:val="28"/>
          <w:szCs w:val="28"/>
        </w:rPr>
        <w:br w:type="page"/>
      </w:r>
    </w:p>
    <w:p w14:paraId="132B7BBA" w14:textId="77777777" w:rsidR="002A24E3" w:rsidRPr="004653E7" w:rsidRDefault="002A24E3" w:rsidP="002838B3">
      <w:pPr>
        <w:pStyle w:val="AHPRADocumentsubheading"/>
        <w:rPr>
          <w:szCs w:val="20"/>
        </w:rPr>
      </w:pPr>
      <w:bookmarkStart w:id="48" w:name="_Toc55994921"/>
      <w:r w:rsidRPr="004653E7">
        <w:lastRenderedPageBreak/>
        <w:t>Glossary</w:t>
      </w:r>
      <w:bookmarkEnd w:id="48"/>
      <w:r w:rsidRPr="004653E7">
        <w:rPr>
          <w:szCs w:val="20"/>
        </w:rPr>
        <w:t xml:space="preserve"> </w:t>
      </w:r>
    </w:p>
    <w:tbl>
      <w:tblPr>
        <w:tblStyle w:val="TableGrid"/>
        <w:tblW w:w="9351" w:type="dxa"/>
        <w:tblLook w:val="00A0" w:firstRow="1" w:lastRow="0" w:firstColumn="1" w:lastColumn="0" w:noHBand="0" w:noVBand="0"/>
      </w:tblPr>
      <w:tblGrid>
        <w:gridCol w:w="2883"/>
        <w:gridCol w:w="6468"/>
      </w:tblGrid>
      <w:tr w:rsidR="002A24E3" w:rsidRPr="004653E7" w14:paraId="5A258E50" w14:textId="77777777" w:rsidTr="000F3133">
        <w:trPr>
          <w:trHeight w:val="141"/>
        </w:trPr>
        <w:tc>
          <w:tcPr>
            <w:tcW w:w="2883" w:type="dxa"/>
          </w:tcPr>
          <w:p w14:paraId="69432708" w14:textId="77777777" w:rsidR="002A24E3" w:rsidRPr="00CE285C" w:rsidRDefault="006C04AE" w:rsidP="00624DC5">
            <w:pPr>
              <w:rPr>
                <w:rFonts w:ascii="Arial" w:hAnsi="Arial" w:cs="Arial"/>
                <w:b/>
                <w:sz w:val="20"/>
                <w:szCs w:val="20"/>
                <w:lang w:val="en-AU"/>
              </w:rPr>
            </w:pPr>
            <w:bookmarkStart w:id="49" w:name="_Hlk37939876"/>
            <w:r w:rsidRPr="00CE285C">
              <w:rPr>
                <w:rFonts w:ascii="Arial" w:hAnsi="Arial" w:cs="Arial"/>
                <w:b/>
                <w:sz w:val="20"/>
                <w:szCs w:val="20"/>
                <w:lang w:val="en-AU"/>
              </w:rPr>
              <w:t>Accreditation s</w:t>
            </w:r>
            <w:r w:rsidR="002A24E3" w:rsidRPr="00CE285C">
              <w:rPr>
                <w:rFonts w:ascii="Arial" w:hAnsi="Arial" w:cs="Arial"/>
                <w:b/>
                <w:sz w:val="20"/>
                <w:szCs w:val="20"/>
                <w:lang w:val="en-AU"/>
              </w:rPr>
              <w:t>tandards</w:t>
            </w:r>
          </w:p>
        </w:tc>
        <w:tc>
          <w:tcPr>
            <w:tcW w:w="6468" w:type="dxa"/>
          </w:tcPr>
          <w:p w14:paraId="503D48FA" w14:textId="2BA0666A" w:rsidR="002A24E3" w:rsidRPr="004653E7" w:rsidRDefault="002A24E3" w:rsidP="000F3133">
            <w:pPr>
              <w:spacing w:after="240"/>
              <w:rPr>
                <w:rFonts w:ascii="Arial" w:hAnsi="Arial" w:cs="Arial"/>
                <w:sz w:val="20"/>
                <w:szCs w:val="20"/>
                <w:lang w:val="en-AU"/>
              </w:rPr>
            </w:pPr>
            <w:r w:rsidRPr="004653E7">
              <w:rPr>
                <w:rFonts w:ascii="Arial" w:hAnsi="Arial" w:cs="Arial"/>
                <w:sz w:val="20"/>
                <w:szCs w:val="20"/>
                <w:lang w:val="en-AU"/>
              </w:rPr>
              <w:t xml:space="preserve">Used to assess whether a </w:t>
            </w:r>
            <w:r w:rsidR="00E12C15">
              <w:rPr>
                <w:rFonts w:ascii="Arial" w:hAnsi="Arial" w:cs="Arial"/>
                <w:sz w:val="20"/>
                <w:szCs w:val="20"/>
                <w:lang w:val="en-AU"/>
              </w:rPr>
              <w:t xml:space="preserve">unit/subject or </w:t>
            </w:r>
            <w:r w:rsidR="00350A92" w:rsidRPr="004653E7">
              <w:rPr>
                <w:rFonts w:ascii="Arial" w:hAnsi="Arial" w:cs="Arial"/>
                <w:sz w:val="20"/>
                <w:szCs w:val="20"/>
                <w:lang w:val="en-AU"/>
              </w:rPr>
              <w:t>program</w:t>
            </w:r>
            <w:r w:rsidRPr="004653E7">
              <w:rPr>
                <w:rFonts w:ascii="Arial" w:hAnsi="Arial" w:cs="Arial"/>
                <w:sz w:val="20"/>
                <w:szCs w:val="20"/>
                <w:lang w:val="en-AU"/>
              </w:rPr>
              <w:t xml:space="preserve"> of study, and the education provider that provides the </w:t>
            </w:r>
            <w:r w:rsidR="00E12C15">
              <w:rPr>
                <w:rFonts w:ascii="Arial" w:hAnsi="Arial" w:cs="Arial"/>
                <w:sz w:val="20"/>
                <w:szCs w:val="20"/>
                <w:lang w:val="en-AU"/>
              </w:rPr>
              <w:t xml:space="preserve">unit/subject or </w:t>
            </w:r>
            <w:r w:rsidR="00350A92" w:rsidRPr="004653E7">
              <w:rPr>
                <w:rFonts w:ascii="Arial" w:hAnsi="Arial" w:cs="Arial"/>
                <w:sz w:val="20"/>
                <w:szCs w:val="20"/>
                <w:lang w:val="en-AU"/>
              </w:rPr>
              <w:t>program</w:t>
            </w:r>
            <w:r w:rsidRPr="004653E7">
              <w:rPr>
                <w:rFonts w:ascii="Arial" w:hAnsi="Arial" w:cs="Arial"/>
                <w:sz w:val="20"/>
                <w:szCs w:val="20"/>
                <w:lang w:val="en-AU"/>
              </w:rPr>
              <w:t xml:space="preserve"> provide </w:t>
            </w:r>
            <w:r w:rsidR="002C20F0" w:rsidRPr="004653E7">
              <w:rPr>
                <w:rFonts w:ascii="Arial" w:hAnsi="Arial" w:cs="Arial"/>
                <w:sz w:val="20"/>
                <w:szCs w:val="20"/>
                <w:lang w:val="en-AU"/>
              </w:rPr>
              <w:t xml:space="preserve">people </w:t>
            </w:r>
            <w:r w:rsidRPr="004653E7">
              <w:rPr>
                <w:rFonts w:ascii="Arial" w:hAnsi="Arial" w:cs="Arial"/>
                <w:sz w:val="20"/>
                <w:szCs w:val="20"/>
                <w:lang w:val="en-AU"/>
              </w:rPr>
              <w:t xml:space="preserve">who complete the </w:t>
            </w:r>
            <w:r w:rsidR="00E12C15">
              <w:rPr>
                <w:rFonts w:ascii="Arial" w:hAnsi="Arial" w:cs="Arial"/>
                <w:sz w:val="20"/>
                <w:szCs w:val="20"/>
                <w:lang w:val="en-AU"/>
              </w:rPr>
              <w:t xml:space="preserve">unit/subject or </w:t>
            </w:r>
            <w:r w:rsidR="00350A92" w:rsidRPr="004653E7">
              <w:rPr>
                <w:rFonts w:ascii="Arial" w:hAnsi="Arial" w:cs="Arial"/>
                <w:sz w:val="20"/>
                <w:szCs w:val="20"/>
                <w:lang w:val="en-AU"/>
              </w:rPr>
              <w:t>program</w:t>
            </w:r>
            <w:r w:rsidRPr="004653E7">
              <w:rPr>
                <w:rFonts w:ascii="Arial" w:hAnsi="Arial" w:cs="Arial"/>
                <w:sz w:val="20"/>
                <w:szCs w:val="20"/>
                <w:lang w:val="en-AU"/>
              </w:rPr>
              <w:t xml:space="preserve"> with the knowledge, skills and </w:t>
            </w:r>
            <w:r w:rsidR="006C04AE" w:rsidRPr="004653E7">
              <w:rPr>
                <w:rFonts w:ascii="Arial" w:hAnsi="Arial" w:cs="Arial"/>
                <w:sz w:val="20"/>
                <w:szCs w:val="20"/>
                <w:lang w:val="en-AU"/>
              </w:rPr>
              <w:t xml:space="preserve">other </w:t>
            </w:r>
            <w:r w:rsidRPr="004653E7">
              <w:rPr>
                <w:rFonts w:ascii="Arial" w:hAnsi="Arial" w:cs="Arial"/>
                <w:sz w:val="20"/>
                <w:szCs w:val="20"/>
                <w:lang w:val="en-AU"/>
              </w:rPr>
              <w:t xml:space="preserve">professional attributes </w:t>
            </w:r>
            <w:r w:rsidR="00ED39A5" w:rsidRPr="0036539A">
              <w:rPr>
                <w:rFonts w:ascii="Arial" w:hAnsi="Arial" w:cs="Arial"/>
                <w:sz w:val="20"/>
                <w:szCs w:val="20"/>
              </w:rPr>
              <w:t xml:space="preserve">needed to safely and </w:t>
            </w:r>
            <w:r w:rsidR="00B23502" w:rsidRPr="0036539A">
              <w:rPr>
                <w:rFonts w:ascii="Arial" w:hAnsi="Arial" w:cs="Arial"/>
                <w:sz w:val="20"/>
                <w:szCs w:val="20"/>
              </w:rPr>
              <w:t xml:space="preserve">competently </w:t>
            </w:r>
            <w:r w:rsidR="00DF552A" w:rsidRPr="0036539A">
              <w:rPr>
                <w:rFonts w:ascii="Arial" w:hAnsi="Arial" w:cs="Arial"/>
                <w:sz w:val="20"/>
                <w:szCs w:val="20"/>
              </w:rPr>
              <w:t>practice</w:t>
            </w:r>
            <w:r w:rsidR="00ED39A5" w:rsidRPr="0036539A">
              <w:rPr>
                <w:rFonts w:ascii="Arial" w:hAnsi="Arial" w:cs="Arial"/>
                <w:sz w:val="20"/>
                <w:szCs w:val="20"/>
              </w:rPr>
              <w:t xml:space="preserve"> as a</w:t>
            </w:r>
            <w:r w:rsidR="001D617F">
              <w:rPr>
                <w:rFonts w:ascii="Arial" w:hAnsi="Arial" w:cs="Arial"/>
                <w:sz w:val="20"/>
                <w:szCs w:val="20"/>
              </w:rPr>
              <w:t xml:space="preserve"> podiatrist</w:t>
            </w:r>
            <w:r w:rsidR="00ED39A5" w:rsidRPr="0036539A">
              <w:rPr>
                <w:rFonts w:ascii="Arial" w:hAnsi="Arial" w:cs="Arial"/>
                <w:sz w:val="20"/>
                <w:szCs w:val="20"/>
              </w:rPr>
              <w:t xml:space="preserve"> in Australia</w:t>
            </w:r>
            <w:r w:rsidRPr="004653E7">
              <w:rPr>
                <w:rFonts w:ascii="Arial" w:hAnsi="Arial" w:cs="Arial"/>
                <w:sz w:val="20"/>
                <w:szCs w:val="20"/>
                <w:lang w:val="en-AU"/>
              </w:rPr>
              <w:t>.</w:t>
            </w:r>
          </w:p>
        </w:tc>
      </w:tr>
      <w:tr w:rsidR="002A24E3" w:rsidRPr="004653E7" w14:paraId="3F6FD080" w14:textId="77777777" w:rsidTr="000F3133">
        <w:trPr>
          <w:trHeight w:val="141"/>
        </w:trPr>
        <w:tc>
          <w:tcPr>
            <w:tcW w:w="2883" w:type="dxa"/>
          </w:tcPr>
          <w:p w14:paraId="5A85215A" w14:textId="77777777" w:rsidR="002A24E3" w:rsidRPr="00CE285C" w:rsidRDefault="002A24E3" w:rsidP="00624DC5">
            <w:pPr>
              <w:rPr>
                <w:rFonts w:ascii="Arial" w:hAnsi="Arial" w:cs="Arial"/>
                <w:b/>
                <w:sz w:val="20"/>
                <w:szCs w:val="20"/>
                <w:lang w:val="en-AU"/>
              </w:rPr>
            </w:pPr>
            <w:r w:rsidRPr="00CE285C">
              <w:rPr>
                <w:rFonts w:ascii="Arial" w:hAnsi="Arial" w:cs="Arial"/>
                <w:b/>
                <w:sz w:val="20"/>
                <w:szCs w:val="20"/>
                <w:lang w:val="en-AU"/>
              </w:rPr>
              <w:t xml:space="preserve">Assessment matrix </w:t>
            </w:r>
          </w:p>
          <w:p w14:paraId="405D6D89" w14:textId="77777777" w:rsidR="002A24E3" w:rsidRPr="00CE285C" w:rsidRDefault="002A24E3" w:rsidP="00624DC5">
            <w:pPr>
              <w:rPr>
                <w:rFonts w:ascii="Arial" w:hAnsi="Arial" w:cs="Arial"/>
                <w:b/>
                <w:sz w:val="20"/>
                <w:szCs w:val="20"/>
                <w:lang w:val="en-AU"/>
              </w:rPr>
            </w:pPr>
          </w:p>
        </w:tc>
        <w:tc>
          <w:tcPr>
            <w:tcW w:w="6468" w:type="dxa"/>
          </w:tcPr>
          <w:p w14:paraId="5B3FF390" w14:textId="0A2DA9B1" w:rsidR="002A24E3" w:rsidRPr="004653E7" w:rsidRDefault="004A152D" w:rsidP="000F3133">
            <w:pPr>
              <w:pStyle w:val="NormalWeb"/>
              <w:spacing w:beforeLines="0" w:afterLines="0" w:after="240"/>
              <w:rPr>
                <w:rFonts w:ascii="Arial" w:eastAsiaTheme="minorHAnsi" w:hAnsi="Arial" w:cs="Arial"/>
                <w:lang w:val="en-AU" w:eastAsia="en-US"/>
              </w:rPr>
            </w:pPr>
            <w:r w:rsidRPr="004653E7">
              <w:rPr>
                <w:rFonts w:ascii="Arial" w:eastAsiaTheme="minorHAnsi" w:hAnsi="Arial" w:cs="Arial"/>
                <w:lang w:val="en-AU" w:eastAsia="en-US"/>
              </w:rPr>
              <w:t>A</w:t>
            </w:r>
            <w:r w:rsidR="002A24E3" w:rsidRPr="004653E7">
              <w:rPr>
                <w:rFonts w:ascii="Arial" w:eastAsiaTheme="minorHAnsi" w:hAnsi="Arial" w:cs="Arial"/>
                <w:lang w:val="en-AU" w:eastAsia="en-US"/>
              </w:rPr>
              <w:t xml:space="preserve"> technical component of assessment; it is a document that demonstrates the link between learning outcomes and </w:t>
            </w:r>
            <w:r w:rsidR="006C04AE" w:rsidRPr="004653E7">
              <w:rPr>
                <w:rFonts w:ascii="Arial" w:eastAsiaTheme="minorHAnsi" w:hAnsi="Arial" w:cs="Arial"/>
                <w:lang w:val="en-AU" w:eastAsia="en-US"/>
              </w:rPr>
              <w:t>assessment tasks</w:t>
            </w:r>
            <w:r w:rsidR="002A24E3" w:rsidRPr="004653E7">
              <w:rPr>
                <w:rFonts w:ascii="Arial" w:eastAsiaTheme="minorHAnsi" w:hAnsi="Arial" w:cs="Arial"/>
                <w:lang w:val="en-AU" w:eastAsia="en-US"/>
              </w:rPr>
              <w:t>. Note: the terms assessment blueprint or summary and assessment sampling framework are also in use by education providers</w:t>
            </w:r>
            <w:r w:rsidR="00B62824">
              <w:rPr>
                <w:rFonts w:ascii="Arial" w:eastAsiaTheme="minorHAnsi" w:hAnsi="Arial" w:cs="Arial"/>
                <w:lang w:val="en-AU" w:eastAsia="en-US"/>
              </w:rPr>
              <w:t>.</w:t>
            </w:r>
            <w:r w:rsidR="002A24E3" w:rsidRPr="004653E7">
              <w:rPr>
                <w:rStyle w:val="FootnoteReference"/>
                <w:rFonts w:eastAsiaTheme="minorHAnsi" w:cs="Arial"/>
                <w:sz w:val="20"/>
                <w:lang w:val="en-AU" w:eastAsia="en-US"/>
              </w:rPr>
              <w:footnoteReference w:id="23"/>
            </w:r>
          </w:p>
        </w:tc>
      </w:tr>
      <w:tr w:rsidR="002A24E3" w:rsidRPr="004653E7" w14:paraId="04273E2A" w14:textId="77777777" w:rsidTr="000F3133">
        <w:trPr>
          <w:trHeight w:val="141"/>
        </w:trPr>
        <w:tc>
          <w:tcPr>
            <w:tcW w:w="2883" w:type="dxa"/>
          </w:tcPr>
          <w:p w14:paraId="4EC4616E" w14:textId="77777777" w:rsidR="002A24E3" w:rsidRPr="00CE285C" w:rsidRDefault="002A24E3" w:rsidP="00624DC5">
            <w:pPr>
              <w:rPr>
                <w:rFonts w:ascii="Arial" w:hAnsi="Arial" w:cs="Arial"/>
                <w:b/>
                <w:sz w:val="20"/>
                <w:szCs w:val="20"/>
                <w:lang w:val="en-AU"/>
              </w:rPr>
            </w:pPr>
            <w:r w:rsidRPr="00CE285C">
              <w:rPr>
                <w:rFonts w:ascii="Arial" w:hAnsi="Arial" w:cs="Arial"/>
                <w:b/>
                <w:sz w:val="20"/>
                <w:szCs w:val="20"/>
                <w:lang w:val="en-AU"/>
              </w:rPr>
              <w:t>Assessment team</w:t>
            </w:r>
          </w:p>
        </w:tc>
        <w:tc>
          <w:tcPr>
            <w:tcW w:w="6468" w:type="dxa"/>
          </w:tcPr>
          <w:p w14:paraId="5EDA9F89" w14:textId="15C19FD9" w:rsidR="002A24E3" w:rsidRPr="004653E7" w:rsidRDefault="002A24E3" w:rsidP="000F3133">
            <w:pPr>
              <w:spacing w:after="240"/>
              <w:rPr>
                <w:rFonts w:ascii="Arial" w:hAnsi="Arial" w:cs="Arial"/>
                <w:sz w:val="20"/>
                <w:szCs w:val="20"/>
                <w:lang w:val="en-AU"/>
              </w:rPr>
            </w:pPr>
            <w:r w:rsidRPr="004653E7">
              <w:rPr>
                <w:rFonts w:ascii="Arial" w:hAnsi="Arial" w:cs="Arial"/>
                <w:sz w:val="20"/>
                <w:szCs w:val="20"/>
                <w:lang w:val="en-AU"/>
              </w:rPr>
              <w:t xml:space="preserve">An expert team, assembled by the </w:t>
            </w:r>
            <w:r w:rsidR="00350A92" w:rsidRPr="004653E7">
              <w:rPr>
                <w:rFonts w:ascii="Arial" w:hAnsi="Arial" w:cs="Arial"/>
                <w:sz w:val="20"/>
                <w:szCs w:val="20"/>
                <w:lang w:val="en-AU"/>
              </w:rPr>
              <w:t>Accreditation Committee</w:t>
            </w:r>
            <w:r w:rsidRPr="004653E7">
              <w:rPr>
                <w:rFonts w:ascii="Arial" w:hAnsi="Arial" w:cs="Arial"/>
                <w:sz w:val="20"/>
                <w:szCs w:val="20"/>
                <w:lang w:val="en-AU"/>
              </w:rPr>
              <w:t xml:space="preserve">, whose primary function is the analysis and evaluation of the </w:t>
            </w:r>
            <w:r w:rsidR="00095918">
              <w:rPr>
                <w:rFonts w:ascii="Arial" w:hAnsi="Arial" w:cs="Arial"/>
                <w:sz w:val="20"/>
                <w:szCs w:val="20"/>
                <w:lang w:val="en-AU"/>
              </w:rPr>
              <w:t xml:space="preserve">podiatry </w:t>
            </w:r>
            <w:r w:rsidR="00E12C15">
              <w:rPr>
                <w:rFonts w:ascii="Arial" w:hAnsi="Arial" w:cs="Arial"/>
                <w:sz w:val="20"/>
                <w:szCs w:val="20"/>
                <w:lang w:val="en-AU"/>
              </w:rPr>
              <w:t xml:space="preserve">unit/subject or </w:t>
            </w:r>
            <w:r w:rsidR="00350A92" w:rsidRPr="004653E7">
              <w:rPr>
                <w:rFonts w:ascii="Arial" w:hAnsi="Arial" w:cs="Arial"/>
                <w:sz w:val="20"/>
                <w:szCs w:val="20"/>
                <w:lang w:val="en-AU"/>
              </w:rPr>
              <w:t>program</w:t>
            </w:r>
            <w:r w:rsidRPr="004653E7">
              <w:rPr>
                <w:rFonts w:ascii="Arial" w:hAnsi="Arial" w:cs="Arial"/>
                <w:sz w:val="20"/>
                <w:szCs w:val="20"/>
                <w:lang w:val="en-AU"/>
              </w:rPr>
              <w:t xml:space="preserve"> against the </w:t>
            </w:r>
            <w:r w:rsidR="00350A92" w:rsidRPr="004653E7">
              <w:rPr>
                <w:rFonts w:ascii="Arial" w:hAnsi="Arial" w:cs="Arial"/>
                <w:sz w:val="20"/>
                <w:szCs w:val="20"/>
                <w:lang w:val="en-AU"/>
              </w:rPr>
              <w:t>accreditation standards</w:t>
            </w:r>
            <w:r w:rsidRPr="004653E7">
              <w:rPr>
                <w:rFonts w:ascii="Arial" w:hAnsi="Arial" w:cs="Arial"/>
                <w:sz w:val="20"/>
                <w:szCs w:val="20"/>
                <w:lang w:val="en-AU"/>
              </w:rPr>
              <w:t>.</w:t>
            </w:r>
          </w:p>
        </w:tc>
      </w:tr>
      <w:tr w:rsidR="00563576" w:rsidRPr="004653E7" w14:paraId="46964BC3" w14:textId="77777777" w:rsidTr="000F3133">
        <w:trPr>
          <w:trHeight w:val="141"/>
        </w:trPr>
        <w:tc>
          <w:tcPr>
            <w:tcW w:w="2883" w:type="dxa"/>
          </w:tcPr>
          <w:p w14:paraId="19C896A1" w14:textId="77777777" w:rsidR="00563576" w:rsidRPr="00CE285C" w:rsidRDefault="00563576" w:rsidP="00563576">
            <w:pPr>
              <w:rPr>
                <w:rFonts w:ascii="Arial" w:hAnsi="Arial" w:cs="Arial"/>
                <w:b/>
                <w:sz w:val="20"/>
                <w:szCs w:val="20"/>
                <w:lang w:val="en-AU"/>
              </w:rPr>
            </w:pPr>
            <w:r w:rsidRPr="00CE285C">
              <w:rPr>
                <w:rFonts w:ascii="Arial" w:hAnsi="Arial" w:cs="Arial"/>
                <w:b/>
                <w:sz w:val="20"/>
                <w:szCs w:val="20"/>
                <w:lang w:val="en-AU"/>
              </w:rPr>
              <w:t>Cultural competence</w:t>
            </w:r>
          </w:p>
        </w:tc>
        <w:tc>
          <w:tcPr>
            <w:tcW w:w="6468" w:type="dxa"/>
          </w:tcPr>
          <w:p w14:paraId="3F475C4E" w14:textId="13DDECFC" w:rsidR="0036539A" w:rsidRPr="004653E7" w:rsidRDefault="00563576" w:rsidP="000F3133">
            <w:pPr>
              <w:spacing w:after="240"/>
              <w:rPr>
                <w:rFonts w:ascii="Arial" w:hAnsi="Arial" w:cs="Arial"/>
                <w:sz w:val="20"/>
                <w:szCs w:val="20"/>
                <w:lang w:val="en-AU"/>
              </w:rPr>
            </w:pPr>
            <w:r w:rsidRPr="007C0880">
              <w:rPr>
                <w:rFonts w:ascii="Arial" w:hAnsi="Arial" w:cs="Arial"/>
                <w:sz w:val="20"/>
                <w:szCs w:val="20"/>
                <w:lang w:val="en-AU"/>
              </w:rPr>
              <w:t xml:space="preserve">A set of congruent behaviours, attitudes, and policies that come together in a system, agency, or amongst professionals and </w:t>
            </w:r>
            <w:r w:rsidR="00A27727">
              <w:rPr>
                <w:rFonts w:ascii="Arial" w:hAnsi="Arial" w:cs="Arial"/>
                <w:sz w:val="20"/>
                <w:szCs w:val="20"/>
                <w:lang w:val="en-AU"/>
              </w:rPr>
              <w:t xml:space="preserve">allows </w:t>
            </w:r>
            <w:r w:rsidRPr="007C0880">
              <w:rPr>
                <w:rFonts w:ascii="Arial" w:hAnsi="Arial" w:cs="Arial"/>
                <w:sz w:val="20"/>
                <w:szCs w:val="20"/>
                <w:lang w:val="en-AU"/>
              </w:rPr>
              <w:t>that system, agency, or those professionals to work effectively in cross-cultural situations.</w:t>
            </w:r>
          </w:p>
          <w:p w14:paraId="189557B9" w14:textId="43D93E56" w:rsidR="00563576" w:rsidRPr="004653E7" w:rsidRDefault="00563576" w:rsidP="000F3133">
            <w:pPr>
              <w:spacing w:after="240"/>
              <w:rPr>
                <w:rFonts w:ascii="Arial" w:hAnsi="Arial" w:cs="Arial"/>
                <w:sz w:val="20"/>
                <w:szCs w:val="20"/>
                <w:lang w:val="en-AU"/>
              </w:rPr>
            </w:pPr>
            <w:r w:rsidRPr="004653E7">
              <w:rPr>
                <w:rFonts w:ascii="Arial" w:hAnsi="Arial" w:cs="Arial"/>
                <w:sz w:val="20"/>
                <w:szCs w:val="20"/>
                <w:lang w:val="en-AU"/>
              </w:rPr>
              <w:t>The word culture is used because it implies the integrated pattern of human behaviour that includes thoughts, communications, actions, customs, beliefs, values, and institutions of a racial, ethnic, religious, or social group. The word competence is used because it implies having the capacity to function effectively.</w:t>
            </w:r>
          </w:p>
          <w:p w14:paraId="709CB345" w14:textId="2DE9D3FA" w:rsidR="00563576" w:rsidRPr="004653E7" w:rsidRDefault="00563576" w:rsidP="000F3133">
            <w:pPr>
              <w:spacing w:after="240"/>
              <w:rPr>
                <w:rFonts w:ascii="Arial" w:hAnsi="Arial" w:cs="Arial"/>
                <w:sz w:val="20"/>
                <w:szCs w:val="20"/>
                <w:lang w:val="en-AU"/>
              </w:rPr>
            </w:pPr>
            <w:r w:rsidRPr="004653E7">
              <w:rPr>
                <w:rFonts w:ascii="Arial" w:hAnsi="Arial" w:cs="Arial"/>
                <w:sz w:val="20"/>
                <w:szCs w:val="20"/>
                <w:lang w:val="en-AU"/>
              </w:rPr>
              <w:t>A culturally competent system of care</w:t>
            </w:r>
            <w:r w:rsidR="00E917F1">
              <w:rPr>
                <w:rFonts w:ascii="Arial" w:hAnsi="Arial" w:cs="Arial"/>
                <w:sz w:val="20"/>
                <w:szCs w:val="20"/>
                <w:lang w:val="en-AU"/>
              </w:rPr>
              <w:t xml:space="preserve"> acknowledges and incorporates – at all levels –</w:t>
            </w:r>
            <w:r w:rsidRPr="004653E7">
              <w:rPr>
                <w:rFonts w:ascii="Arial" w:hAnsi="Arial" w:cs="Arial"/>
                <w:sz w:val="20"/>
                <w:szCs w:val="20"/>
                <w:lang w:val="en-AU"/>
              </w:rPr>
              <w:t xml:space="preserve"> the importance of culture, the assessment of cross-cultural relations, vigilance towards the dynamics that result from cultural differences, the expansion of cultural knowledge, and the adaptation</w:t>
            </w:r>
            <w:r w:rsidR="00E917F1">
              <w:rPr>
                <w:rFonts w:ascii="Arial" w:hAnsi="Arial" w:cs="Arial"/>
                <w:sz w:val="20"/>
                <w:szCs w:val="20"/>
                <w:lang w:val="en-AU"/>
              </w:rPr>
              <w:t xml:space="preserve"> of services to meet culturally </w:t>
            </w:r>
            <w:r w:rsidRPr="004653E7">
              <w:rPr>
                <w:rFonts w:ascii="Arial" w:hAnsi="Arial" w:cs="Arial"/>
                <w:sz w:val="20"/>
                <w:szCs w:val="20"/>
                <w:lang w:val="en-AU"/>
              </w:rPr>
              <w:t>unique needs</w:t>
            </w:r>
            <w:r w:rsidR="00B62824">
              <w:rPr>
                <w:rFonts w:ascii="Arial" w:hAnsi="Arial" w:cs="Arial"/>
                <w:sz w:val="20"/>
                <w:szCs w:val="20"/>
                <w:lang w:val="en-AU"/>
              </w:rPr>
              <w:t>.</w:t>
            </w:r>
            <w:r w:rsidR="007C4B20" w:rsidRPr="004653E7">
              <w:rPr>
                <w:rStyle w:val="FootnoteReference"/>
                <w:rFonts w:cs="Arial"/>
                <w:szCs w:val="20"/>
                <w:lang w:val="en-AU"/>
              </w:rPr>
              <w:footnoteReference w:id="24"/>
            </w:r>
          </w:p>
        </w:tc>
      </w:tr>
      <w:tr w:rsidR="008F55CA" w:rsidRPr="004653E7" w14:paraId="610758FE" w14:textId="77777777" w:rsidTr="000F3133">
        <w:trPr>
          <w:trHeight w:val="141"/>
        </w:trPr>
        <w:tc>
          <w:tcPr>
            <w:tcW w:w="2883" w:type="dxa"/>
          </w:tcPr>
          <w:p w14:paraId="0EE54EAF" w14:textId="77777777" w:rsidR="008F55CA" w:rsidRPr="00CE285C" w:rsidRDefault="008F55CA" w:rsidP="008F55CA">
            <w:pPr>
              <w:rPr>
                <w:rFonts w:ascii="Arial" w:hAnsi="Arial" w:cs="Arial"/>
                <w:b/>
                <w:sz w:val="20"/>
                <w:szCs w:val="20"/>
                <w:lang w:val="en-AU"/>
              </w:rPr>
            </w:pPr>
            <w:r w:rsidRPr="00CE285C">
              <w:rPr>
                <w:rFonts w:ascii="Arial" w:hAnsi="Arial" w:cs="Arial"/>
                <w:b/>
                <w:sz w:val="20"/>
                <w:szCs w:val="20"/>
                <w:lang w:val="en-AU"/>
              </w:rPr>
              <w:t>Cultural safety</w:t>
            </w:r>
          </w:p>
        </w:tc>
        <w:tc>
          <w:tcPr>
            <w:tcW w:w="6468" w:type="dxa"/>
          </w:tcPr>
          <w:p w14:paraId="0E08570F" w14:textId="00394B54" w:rsidR="008F55CA" w:rsidRPr="004653E7" w:rsidRDefault="008F55CA" w:rsidP="000F3133">
            <w:pPr>
              <w:spacing w:after="240"/>
              <w:rPr>
                <w:rFonts w:ascii="Arial" w:hAnsi="Arial" w:cs="Arial"/>
                <w:sz w:val="20"/>
                <w:szCs w:val="20"/>
                <w:lang w:val="en-AU"/>
              </w:rPr>
            </w:pPr>
            <w:r w:rsidRPr="004653E7">
              <w:rPr>
                <w:rFonts w:ascii="Arial" w:hAnsi="Arial" w:cs="Arial"/>
                <w:sz w:val="20"/>
                <w:szCs w:val="20"/>
                <w:lang w:val="en-AU"/>
              </w:rPr>
              <w:t>Th</w:t>
            </w:r>
            <w:r w:rsidR="001B6531">
              <w:rPr>
                <w:rFonts w:ascii="Arial" w:hAnsi="Arial" w:cs="Arial"/>
                <w:sz w:val="20"/>
                <w:szCs w:val="20"/>
                <w:lang w:val="en-AU"/>
              </w:rPr>
              <w:t>is definition of cultural safety has been developed for the</w:t>
            </w:r>
            <w:r w:rsidRPr="004653E7">
              <w:rPr>
                <w:rFonts w:ascii="Arial" w:hAnsi="Arial" w:cs="Arial"/>
                <w:sz w:val="20"/>
                <w:szCs w:val="20"/>
                <w:lang w:val="en-AU"/>
              </w:rPr>
              <w:t xml:space="preserve"> National Scheme</w:t>
            </w:r>
            <w:r w:rsidR="001B6531">
              <w:rPr>
                <w:rFonts w:ascii="Arial" w:hAnsi="Arial" w:cs="Arial"/>
                <w:sz w:val="20"/>
                <w:szCs w:val="20"/>
                <w:lang w:val="en-AU"/>
              </w:rPr>
              <w:t xml:space="preserve"> and adopted by the National Health Leadership Forum. The Aboriginal and Torres Strait Islander Health Strategy Group developed this definition in partnership with a public consultation process.</w:t>
            </w:r>
          </w:p>
          <w:p w14:paraId="36A0D5C1" w14:textId="310B8013" w:rsidR="001B6531" w:rsidRDefault="001B6531" w:rsidP="000F3133">
            <w:pPr>
              <w:spacing w:after="240"/>
              <w:rPr>
                <w:rFonts w:ascii="Arial" w:hAnsi="Arial" w:cs="Arial"/>
                <w:sz w:val="20"/>
                <w:szCs w:val="20"/>
                <w:lang w:val="en-AU"/>
              </w:rPr>
            </w:pPr>
            <w:r>
              <w:rPr>
                <w:rFonts w:ascii="Arial" w:hAnsi="Arial" w:cs="Arial"/>
                <w:sz w:val="20"/>
                <w:szCs w:val="20"/>
                <w:lang w:val="en-AU"/>
              </w:rPr>
              <w:t>Cultural safety is determined by Aboriginal and Torres Strait Islander individuals, families and communities. Culturally safe practice is the ongoing critical reflection of health practitioner knowledge, skills, attitudes, practising behaviours and power differentials in delivering safe, accessible and responsive healthcare free of racism.</w:t>
            </w:r>
          </w:p>
          <w:p w14:paraId="229B76B8" w14:textId="76CCA11C" w:rsidR="001B6531" w:rsidRDefault="001B6531" w:rsidP="000F3133">
            <w:pPr>
              <w:spacing w:after="240"/>
              <w:rPr>
                <w:rFonts w:ascii="Arial" w:hAnsi="Arial" w:cs="Arial"/>
                <w:sz w:val="20"/>
                <w:szCs w:val="20"/>
                <w:lang w:val="en-AU"/>
              </w:rPr>
            </w:pPr>
            <w:r>
              <w:rPr>
                <w:rFonts w:ascii="Arial" w:hAnsi="Arial" w:cs="Arial"/>
                <w:sz w:val="20"/>
                <w:szCs w:val="20"/>
                <w:lang w:val="en-AU"/>
              </w:rPr>
              <w:t>To ensure culturally safe and respectful practice, health practitioners must:</w:t>
            </w:r>
          </w:p>
          <w:p w14:paraId="472BFE2A" w14:textId="47F0B022" w:rsidR="001B6531" w:rsidRDefault="001B6531" w:rsidP="00456240">
            <w:pPr>
              <w:pStyle w:val="ListParagraph"/>
              <w:numPr>
                <w:ilvl w:val="0"/>
                <w:numId w:val="44"/>
              </w:numPr>
              <w:spacing w:after="240"/>
              <w:jc w:val="left"/>
              <w:rPr>
                <w:sz w:val="20"/>
                <w:szCs w:val="20"/>
                <w:lang w:val="en-AU"/>
              </w:rPr>
            </w:pPr>
            <w:r>
              <w:rPr>
                <w:sz w:val="20"/>
                <w:szCs w:val="20"/>
                <w:lang w:val="en-AU"/>
              </w:rPr>
              <w:lastRenderedPageBreak/>
              <w:t>Acknowledge colonisation and systemic racism, social, cultural, behavioural and economic factors which impact individual and community health;</w:t>
            </w:r>
          </w:p>
          <w:p w14:paraId="17FC9E98" w14:textId="77A1F020" w:rsidR="001B6531" w:rsidRDefault="001B6531" w:rsidP="00456240">
            <w:pPr>
              <w:pStyle w:val="ListParagraph"/>
              <w:numPr>
                <w:ilvl w:val="0"/>
                <w:numId w:val="44"/>
              </w:numPr>
              <w:spacing w:after="240"/>
              <w:jc w:val="left"/>
              <w:rPr>
                <w:sz w:val="20"/>
                <w:szCs w:val="20"/>
                <w:lang w:val="en-AU"/>
              </w:rPr>
            </w:pPr>
            <w:r>
              <w:rPr>
                <w:sz w:val="20"/>
                <w:szCs w:val="20"/>
                <w:lang w:val="en-AU"/>
              </w:rPr>
              <w:t>Acknowledge and address individual racism, their own biases, assumptions, stereotypes and prejudices and provide care that is holistic, free of bias and racism;</w:t>
            </w:r>
          </w:p>
          <w:p w14:paraId="1A85EB6C" w14:textId="1EE0ACF0" w:rsidR="001B6531" w:rsidRDefault="001B6531" w:rsidP="00456240">
            <w:pPr>
              <w:pStyle w:val="ListParagraph"/>
              <w:numPr>
                <w:ilvl w:val="0"/>
                <w:numId w:val="44"/>
              </w:numPr>
              <w:spacing w:after="240"/>
              <w:jc w:val="left"/>
              <w:rPr>
                <w:sz w:val="20"/>
                <w:szCs w:val="20"/>
                <w:lang w:val="en-AU"/>
              </w:rPr>
            </w:pPr>
            <w:r>
              <w:rPr>
                <w:sz w:val="20"/>
                <w:szCs w:val="20"/>
                <w:lang w:val="en-AU"/>
              </w:rPr>
              <w:t>Recognise the importance of self-determined decision-making, partnership and collaboration in healthcare which is driven by the individual</w:t>
            </w:r>
            <w:r w:rsidR="006A7377">
              <w:rPr>
                <w:sz w:val="20"/>
                <w:szCs w:val="20"/>
                <w:lang w:val="en-AU"/>
              </w:rPr>
              <w:t>, family and community;</w:t>
            </w:r>
          </w:p>
          <w:p w14:paraId="3EF53BE3" w14:textId="213D3957" w:rsidR="008F55CA" w:rsidRPr="00CE285C" w:rsidRDefault="006A7377" w:rsidP="00456240">
            <w:pPr>
              <w:pStyle w:val="ListParagraph"/>
              <w:numPr>
                <w:ilvl w:val="0"/>
                <w:numId w:val="44"/>
              </w:numPr>
              <w:spacing w:after="240"/>
              <w:jc w:val="left"/>
              <w:rPr>
                <w:sz w:val="20"/>
                <w:szCs w:val="20"/>
                <w:lang w:val="en-AU"/>
              </w:rPr>
            </w:pPr>
            <w:r>
              <w:rPr>
                <w:sz w:val="20"/>
                <w:szCs w:val="20"/>
                <w:lang w:val="en-AU"/>
              </w:rPr>
              <w:t>Foster a safe working environment through leadership to support the rights and dignity of Aboriginal and Torres Strait Islander people and colleagues.</w:t>
            </w:r>
          </w:p>
        </w:tc>
      </w:tr>
      <w:tr w:rsidR="008F55CA" w:rsidRPr="004653E7" w14:paraId="69D05D3C" w14:textId="77777777" w:rsidTr="000F3133">
        <w:trPr>
          <w:trHeight w:val="141"/>
        </w:trPr>
        <w:tc>
          <w:tcPr>
            <w:tcW w:w="2883" w:type="dxa"/>
          </w:tcPr>
          <w:p w14:paraId="722AEACF" w14:textId="77777777" w:rsidR="008F55CA" w:rsidRPr="00CE285C" w:rsidRDefault="008F55CA" w:rsidP="008F55CA">
            <w:pPr>
              <w:rPr>
                <w:rFonts w:ascii="Arial" w:hAnsi="Arial" w:cs="Arial"/>
                <w:b/>
                <w:sz w:val="20"/>
                <w:szCs w:val="20"/>
                <w:lang w:val="en-AU"/>
              </w:rPr>
            </w:pPr>
            <w:r w:rsidRPr="00CE285C">
              <w:rPr>
                <w:rFonts w:ascii="Arial" w:hAnsi="Arial" w:cs="Arial"/>
                <w:b/>
                <w:sz w:val="20"/>
                <w:szCs w:val="20"/>
                <w:lang w:val="en-AU"/>
              </w:rPr>
              <w:lastRenderedPageBreak/>
              <w:t>Current and continuing scholarship or research</w:t>
            </w:r>
          </w:p>
        </w:tc>
        <w:tc>
          <w:tcPr>
            <w:tcW w:w="6468" w:type="dxa"/>
          </w:tcPr>
          <w:p w14:paraId="737EFD82" w14:textId="0CEA743F" w:rsidR="008F55CA" w:rsidRPr="00866076" w:rsidRDefault="008F55CA" w:rsidP="000F3133">
            <w:pPr>
              <w:spacing w:after="240"/>
              <w:rPr>
                <w:rFonts w:ascii="Arial" w:hAnsi="Arial" w:cs="Arial"/>
                <w:sz w:val="20"/>
                <w:szCs w:val="20"/>
                <w:lang w:val="en-AU"/>
              </w:rPr>
            </w:pPr>
            <w:r w:rsidRPr="0036539A">
              <w:rPr>
                <w:rFonts w:ascii="Arial" w:hAnsi="Arial" w:cs="Arial"/>
                <w:sz w:val="20"/>
                <w:szCs w:val="20"/>
              </w:rPr>
              <w:t>Current and continuing scholarship and research means those activities concerned with gaining new or improved understanding, appreciation and insights into a field of knowledge, and engaging with and keeping up to date with advances in the field. This includes advances in ways of teaching and learning in the field and advances in professional practice, as well as advances in disciplinary knowledge through original research</w:t>
            </w:r>
            <w:r>
              <w:rPr>
                <w:rFonts w:ascii="Arial" w:hAnsi="Arial" w:cs="Arial"/>
                <w:sz w:val="20"/>
                <w:szCs w:val="20"/>
              </w:rPr>
              <w:t>.</w:t>
            </w:r>
            <w:r w:rsidRPr="0036539A">
              <w:rPr>
                <w:rStyle w:val="FootnoteReference"/>
                <w:rFonts w:eastAsia="Batang" w:cs="Arial"/>
              </w:rPr>
              <w:footnoteReference w:id="25"/>
            </w:r>
          </w:p>
        </w:tc>
      </w:tr>
      <w:tr w:rsidR="00195D36" w:rsidRPr="004653E7" w14:paraId="56077853" w14:textId="77777777" w:rsidTr="000F3133">
        <w:trPr>
          <w:trHeight w:val="141"/>
        </w:trPr>
        <w:tc>
          <w:tcPr>
            <w:tcW w:w="2883" w:type="dxa"/>
          </w:tcPr>
          <w:p w14:paraId="7995AE1F" w14:textId="77777777" w:rsidR="00195D36" w:rsidRPr="00CE285C" w:rsidRDefault="00195D36" w:rsidP="00195D36">
            <w:pPr>
              <w:rPr>
                <w:rFonts w:ascii="Arial" w:hAnsi="Arial" w:cs="Arial"/>
                <w:b/>
                <w:sz w:val="20"/>
                <w:szCs w:val="20"/>
                <w:lang w:val="en-AU"/>
              </w:rPr>
            </w:pPr>
            <w:r w:rsidRPr="00CE285C">
              <w:rPr>
                <w:rFonts w:ascii="Arial" w:hAnsi="Arial" w:cs="Arial"/>
                <w:b/>
                <w:sz w:val="20"/>
                <w:szCs w:val="20"/>
                <w:lang w:val="en-AU"/>
              </w:rPr>
              <w:t>Education provider</w:t>
            </w:r>
          </w:p>
        </w:tc>
        <w:tc>
          <w:tcPr>
            <w:tcW w:w="6468" w:type="dxa"/>
          </w:tcPr>
          <w:p w14:paraId="7E45C79B" w14:textId="025EC523" w:rsidR="00195D36" w:rsidRPr="004653E7" w:rsidRDefault="00195D36" w:rsidP="00195D36">
            <w:pPr>
              <w:spacing w:after="240"/>
              <w:rPr>
                <w:rStyle w:val="Emphasis"/>
                <w:rFonts w:ascii="Arial" w:hAnsi="Arial" w:cs="Arial"/>
                <w:i w:val="0"/>
                <w:iCs w:val="0"/>
                <w:sz w:val="20"/>
                <w:szCs w:val="20"/>
                <w:lang w:val="en-AU"/>
              </w:rPr>
            </w:pPr>
            <w:r w:rsidRPr="00491471">
              <w:rPr>
                <w:rFonts w:ascii="Arial" w:hAnsi="Arial" w:cs="Arial"/>
                <w:sz w:val="20"/>
                <w:szCs w:val="20"/>
              </w:rPr>
              <w:t>The term used by the National Law to describe universities</w:t>
            </w:r>
            <w:r>
              <w:rPr>
                <w:rFonts w:ascii="Arial" w:hAnsi="Arial" w:cs="Arial"/>
                <w:sz w:val="20"/>
                <w:szCs w:val="20"/>
              </w:rPr>
              <w:t>, other tertiary institutions and specialist colleges</w:t>
            </w:r>
            <w:r w:rsidRPr="00491471">
              <w:rPr>
                <w:rFonts w:ascii="Arial" w:hAnsi="Arial" w:cs="Arial"/>
                <w:sz w:val="20"/>
                <w:szCs w:val="20"/>
              </w:rPr>
              <w:t>.</w:t>
            </w:r>
          </w:p>
        </w:tc>
      </w:tr>
      <w:tr w:rsidR="00572FE7" w:rsidRPr="004653E7" w14:paraId="2B61BB37" w14:textId="77777777" w:rsidTr="000F3133">
        <w:trPr>
          <w:trHeight w:val="141"/>
        </w:trPr>
        <w:tc>
          <w:tcPr>
            <w:tcW w:w="2883" w:type="dxa"/>
          </w:tcPr>
          <w:p w14:paraId="08BBA4E3" w14:textId="5237CDAD" w:rsidR="00572FE7" w:rsidRPr="00CE285C" w:rsidRDefault="00572FE7" w:rsidP="00572FE7">
            <w:pPr>
              <w:rPr>
                <w:rFonts w:ascii="Arial" w:hAnsi="Arial" w:cs="Arial"/>
                <w:b/>
                <w:sz w:val="20"/>
                <w:szCs w:val="20"/>
              </w:rPr>
            </w:pPr>
            <w:r>
              <w:rPr>
                <w:rFonts w:ascii="Arial" w:hAnsi="Arial" w:cs="Arial"/>
                <w:b/>
                <w:sz w:val="20"/>
                <w:szCs w:val="20"/>
              </w:rPr>
              <w:t>Endorsement for scheduled medicines</w:t>
            </w:r>
          </w:p>
        </w:tc>
        <w:tc>
          <w:tcPr>
            <w:tcW w:w="6468" w:type="dxa"/>
          </w:tcPr>
          <w:p w14:paraId="21B156F5" w14:textId="15D3516F" w:rsidR="00572FE7" w:rsidRPr="00491471" w:rsidRDefault="00572FE7" w:rsidP="00572FE7">
            <w:pPr>
              <w:spacing w:after="240"/>
              <w:rPr>
                <w:rFonts w:ascii="Arial" w:hAnsi="Arial" w:cs="Arial"/>
                <w:sz w:val="20"/>
                <w:szCs w:val="20"/>
              </w:rPr>
            </w:pPr>
            <w:r w:rsidRPr="008B4D8A">
              <w:rPr>
                <w:rFonts w:ascii="Arial" w:hAnsi="Arial" w:cs="Arial"/>
                <w:sz w:val="20"/>
                <w:szCs w:val="20"/>
              </w:rPr>
              <w:t xml:space="preserve">Endorsement of registration identifies practitioners with additional qualifications and specific expertise. The endorsement available for podiatry is </w:t>
            </w:r>
            <w:r>
              <w:rPr>
                <w:rFonts w:ascii="Arial" w:hAnsi="Arial" w:cs="Arial"/>
                <w:sz w:val="20"/>
                <w:szCs w:val="20"/>
              </w:rPr>
              <w:t xml:space="preserve">in relation to </w:t>
            </w:r>
            <w:r w:rsidRPr="008B4D8A">
              <w:rPr>
                <w:rFonts w:ascii="Arial" w:hAnsi="Arial" w:cs="Arial"/>
                <w:sz w:val="20"/>
                <w:szCs w:val="20"/>
              </w:rPr>
              <w:t xml:space="preserve">scheduled medicines. A podiatrist or podiatric surgeon whose registration is endorsed for scheduled medicines under section 94 of the National Law is qualified to administer, obtain, possess, prescribe, sell, supply or use Schedule 2, 3, 4 or 8 medicines for the treatment of podiatric conditions, </w:t>
            </w:r>
            <w:r>
              <w:rPr>
                <w:rFonts w:ascii="Arial" w:hAnsi="Arial" w:cs="Arial"/>
                <w:sz w:val="20"/>
                <w:szCs w:val="20"/>
              </w:rPr>
              <w:t>listed</w:t>
            </w:r>
            <w:r w:rsidRPr="008B4D8A">
              <w:rPr>
                <w:rFonts w:ascii="Arial" w:hAnsi="Arial" w:cs="Arial"/>
                <w:sz w:val="20"/>
                <w:szCs w:val="20"/>
              </w:rPr>
              <w:t xml:space="preserve"> in the </w:t>
            </w:r>
            <w:r w:rsidRPr="008B4D8A">
              <w:rPr>
                <w:rFonts w:ascii="Arial" w:hAnsi="Arial" w:cs="Arial"/>
                <w:i/>
                <w:sz w:val="20"/>
                <w:szCs w:val="20"/>
              </w:rPr>
              <w:t>National podiatry scheduled medicines list</w:t>
            </w:r>
            <w:r w:rsidRPr="008B4D8A">
              <w:rPr>
                <w:rFonts w:ascii="Arial" w:hAnsi="Arial" w:cs="Arial"/>
                <w:sz w:val="20"/>
                <w:szCs w:val="20"/>
              </w:rPr>
              <w:t>.</w:t>
            </w:r>
          </w:p>
        </w:tc>
      </w:tr>
      <w:tr w:rsidR="008F55CA" w:rsidRPr="004653E7" w14:paraId="3D697583" w14:textId="77777777" w:rsidTr="000F3133">
        <w:trPr>
          <w:trHeight w:val="141"/>
        </w:trPr>
        <w:tc>
          <w:tcPr>
            <w:tcW w:w="2883" w:type="dxa"/>
          </w:tcPr>
          <w:p w14:paraId="779FDB18" w14:textId="77777777" w:rsidR="008F55CA" w:rsidRPr="00CE285C" w:rsidRDefault="008F55CA" w:rsidP="008F55CA">
            <w:pPr>
              <w:rPr>
                <w:rFonts w:ascii="Arial" w:hAnsi="Arial" w:cs="Arial"/>
                <w:b/>
                <w:sz w:val="20"/>
                <w:szCs w:val="20"/>
                <w:lang w:val="en-AU"/>
              </w:rPr>
            </w:pPr>
            <w:r w:rsidRPr="00CE285C">
              <w:rPr>
                <w:rFonts w:ascii="Arial" w:hAnsi="Arial" w:cs="Arial"/>
                <w:b/>
                <w:sz w:val="20"/>
                <w:szCs w:val="20"/>
                <w:lang w:val="en-AU"/>
              </w:rPr>
              <w:t>Formal mechanisms</w:t>
            </w:r>
          </w:p>
        </w:tc>
        <w:tc>
          <w:tcPr>
            <w:tcW w:w="6468" w:type="dxa"/>
          </w:tcPr>
          <w:p w14:paraId="4AA52AD8" w14:textId="44CD77B3" w:rsidR="008F55CA" w:rsidRPr="004653E7" w:rsidRDefault="008F55CA" w:rsidP="000F3133">
            <w:pPr>
              <w:spacing w:after="240"/>
              <w:rPr>
                <w:rFonts w:ascii="Arial" w:hAnsi="Arial" w:cs="Arial"/>
                <w:sz w:val="20"/>
                <w:szCs w:val="20"/>
                <w:lang w:val="en-AU"/>
              </w:rPr>
            </w:pPr>
            <w:r w:rsidRPr="004653E7">
              <w:rPr>
                <w:rFonts w:ascii="Arial" w:hAnsi="Arial" w:cs="Arial"/>
                <w:sz w:val="20"/>
                <w:szCs w:val="20"/>
                <w:lang w:val="en-AU"/>
              </w:rPr>
              <w:t xml:space="preserve">Activities that an education provider completes in a systematic way to effectively deliver the </w:t>
            </w:r>
            <w:r w:rsidR="00E12C15">
              <w:rPr>
                <w:rFonts w:ascii="Arial" w:hAnsi="Arial" w:cs="Arial"/>
                <w:sz w:val="20"/>
                <w:szCs w:val="20"/>
                <w:lang w:val="en-AU"/>
              </w:rPr>
              <w:t xml:space="preserve">unit/subject or </w:t>
            </w:r>
            <w:r w:rsidRPr="004653E7">
              <w:rPr>
                <w:rFonts w:ascii="Arial" w:hAnsi="Arial" w:cs="Arial"/>
                <w:sz w:val="20"/>
                <w:szCs w:val="20"/>
                <w:lang w:val="en-AU"/>
              </w:rPr>
              <w:t>program. Formal mechanisms may or may not be supported by formal policy but will at least have documented procedures or processes in place to support their implementation.</w:t>
            </w:r>
          </w:p>
        </w:tc>
      </w:tr>
      <w:tr w:rsidR="00B72A32" w:rsidRPr="004653E7" w14:paraId="3BD3676D" w14:textId="77777777" w:rsidTr="000F3133">
        <w:trPr>
          <w:trHeight w:val="141"/>
        </w:trPr>
        <w:tc>
          <w:tcPr>
            <w:tcW w:w="2883" w:type="dxa"/>
          </w:tcPr>
          <w:p w14:paraId="56F9B962" w14:textId="7592AC0D" w:rsidR="00B72A32" w:rsidRPr="00CE285C" w:rsidRDefault="00B72A32" w:rsidP="008F55CA">
            <w:pPr>
              <w:rPr>
                <w:rFonts w:ascii="Arial" w:hAnsi="Arial" w:cs="Arial"/>
                <w:b/>
                <w:sz w:val="20"/>
                <w:szCs w:val="20"/>
              </w:rPr>
            </w:pPr>
            <w:r w:rsidRPr="00CE285C">
              <w:rPr>
                <w:rFonts w:ascii="Arial" w:hAnsi="Arial" w:cs="Arial"/>
                <w:b/>
                <w:sz w:val="20"/>
                <w:szCs w:val="20"/>
              </w:rPr>
              <w:t>Inherent requirements</w:t>
            </w:r>
          </w:p>
        </w:tc>
        <w:tc>
          <w:tcPr>
            <w:tcW w:w="6468" w:type="dxa"/>
          </w:tcPr>
          <w:p w14:paraId="4BFC1E01" w14:textId="77777777" w:rsidR="00282E36" w:rsidRPr="006677AC" w:rsidRDefault="00282E36" w:rsidP="006677AC">
            <w:pPr>
              <w:spacing w:after="240"/>
              <w:rPr>
                <w:rFonts w:ascii="Arial" w:hAnsi="Arial" w:cs="Arial"/>
                <w:sz w:val="20"/>
                <w:szCs w:val="20"/>
                <w:lang w:val="en-AU"/>
              </w:rPr>
            </w:pPr>
            <w:r w:rsidRPr="006677AC">
              <w:rPr>
                <w:rFonts w:ascii="Arial" w:hAnsi="Arial" w:cs="Arial"/>
                <w:sz w:val="20"/>
                <w:szCs w:val="20"/>
                <w:lang w:val="en-AU"/>
              </w:rPr>
              <w:t>The core activities, tasks or skills that are essential to a workplace in general, and to a specific position or role. The activities and/or tasks cannot be allocated elsewhere, are a core element of the position or role, and result in significant consequences if they are not performed.</w:t>
            </w:r>
            <w:r w:rsidRPr="006677AC">
              <w:rPr>
                <w:rFonts w:ascii="Arial" w:hAnsi="Arial" w:cs="Arial"/>
                <w:sz w:val="18"/>
                <w:szCs w:val="20"/>
                <w:vertAlign w:val="superscript"/>
                <w:lang w:val="en-AU"/>
              </w:rPr>
              <w:footnoteReference w:id="26"/>
            </w:r>
          </w:p>
          <w:p w14:paraId="4549D093" w14:textId="5BCEB6C4" w:rsidR="00B72A32" w:rsidRPr="006677AC" w:rsidRDefault="00282E36" w:rsidP="006677AC">
            <w:pPr>
              <w:spacing w:after="240"/>
              <w:rPr>
                <w:rFonts w:ascii="Arial" w:hAnsi="Arial" w:cs="Arial"/>
                <w:sz w:val="20"/>
                <w:szCs w:val="20"/>
                <w:lang w:val="en-AU"/>
              </w:rPr>
            </w:pPr>
            <w:r w:rsidRPr="006677AC">
              <w:rPr>
                <w:rFonts w:ascii="Arial" w:hAnsi="Arial" w:cs="Arial"/>
                <w:sz w:val="20"/>
                <w:szCs w:val="20"/>
                <w:lang w:val="en-AU"/>
              </w:rPr>
              <w:t xml:space="preserve">The HES state that “Prospective students must be made aware of any inherent requirements for undertaking a course, or parts of a course, that may affect those students in special circumstances or with special needs (such as a particular type of practicum), especially where a </w:t>
            </w:r>
            <w:r w:rsidRPr="006677AC">
              <w:rPr>
                <w:rFonts w:ascii="Arial" w:hAnsi="Arial" w:cs="Arial"/>
                <w:sz w:val="20"/>
                <w:szCs w:val="20"/>
                <w:lang w:val="en-AU"/>
              </w:rPr>
              <w:lastRenderedPageBreak/>
              <w:t>course of study leads to a qualification that may lead to registration as a professional practitioner by a registering authority.”</w:t>
            </w:r>
            <w:r w:rsidRPr="006677AC">
              <w:rPr>
                <w:rFonts w:ascii="Arial" w:hAnsi="Arial" w:cs="Arial"/>
                <w:sz w:val="18"/>
                <w:vertAlign w:val="superscript"/>
                <w:lang w:val="en-AU"/>
              </w:rPr>
              <w:footnoteReference w:id="27"/>
            </w:r>
          </w:p>
        </w:tc>
      </w:tr>
      <w:tr w:rsidR="008F55CA" w:rsidRPr="004653E7" w14:paraId="20D34A2B" w14:textId="77777777" w:rsidTr="000F3133">
        <w:trPr>
          <w:trHeight w:val="141"/>
        </w:trPr>
        <w:tc>
          <w:tcPr>
            <w:tcW w:w="2883" w:type="dxa"/>
          </w:tcPr>
          <w:p w14:paraId="11CE02A7" w14:textId="77777777" w:rsidR="008F55CA" w:rsidRPr="00CE285C" w:rsidRDefault="008F55CA" w:rsidP="008F55CA">
            <w:pPr>
              <w:rPr>
                <w:rFonts w:ascii="Arial" w:hAnsi="Arial" w:cs="Arial"/>
                <w:b/>
                <w:sz w:val="20"/>
                <w:szCs w:val="20"/>
                <w:lang w:val="en-AU"/>
              </w:rPr>
            </w:pPr>
            <w:r w:rsidRPr="00CE285C">
              <w:rPr>
                <w:rFonts w:ascii="Arial" w:hAnsi="Arial" w:cs="Arial"/>
                <w:b/>
                <w:sz w:val="20"/>
                <w:szCs w:val="20"/>
                <w:lang w:val="en-AU"/>
              </w:rPr>
              <w:lastRenderedPageBreak/>
              <w:t>Interprofessional Education</w:t>
            </w:r>
          </w:p>
        </w:tc>
        <w:tc>
          <w:tcPr>
            <w:tcW w:w="6468" w:type="dxa"/>
          </w:tcPr>
          <w:p w14:paraId="27486EE7" w14:textId="197A3EC6" w:rsidR="008F55CA" w:rsidRPr="004653E7" w:rsidRDefault="008F55CA" w:rsidP="000F3133">
            <w:pPr>
              <w:spacing w:after="240"/>
              <w:rPr>
                <w:rFonts w:ascii="Arial" w:hAnsi="Arial" w:cs="Arial"/>
                <w:sz w:val="20"/>
                <w:szCs w:val="20"/>
                <w:lang w:val="en-AU"/>
              </w:rPr>
            </w:pPr>
            <w:r w:rsidRPr="004653E7">
              <w:rPr>
                <w:rFonts w:ascii="Arial" w:hAnsi="Arial" w:cs="Arial"/>
                <w:sz w:val="20"/>
                <w:szCs w:val="20"/>
                <w:lang w:val="en-AU"/>
              </w:rPr>
              <w:t>When two or more professions learn about, from and with each other to enable effective collaboration and improve health outcomes</w:t>
            </w:r>
            <w:r>
              <w:rPr>
                <w:rFonts w:ascii="Arial" w:hAnsi="Arial" w:cs="Arial"/>
                <w:sz w:val="20"/>
                <w:szCs w:val="20"/>
                <w:lang w:val="en-AU"/>
              </w:rPr>
              <w:t>.</w:t>
            </w:r>
            <w:r>
              <w:rPr>
                <w:rStyle w:val="FootnoteReference"/>
                <w:rFonts w:cs="Arial"/>
                <w:szCs w:val="20"/>
                <w:lang w:val="en-AU"/>
              </w:rPr>
              <w:footnoteReference w:id="28"/>
            </w:r>
          </w:p>
        </w:tc>
      </w:tr>
      <w:tr w:rsidR="008F55CA" w:rsidRPr="004653E7" w14:paraId="7AEA5BCE" w14:textId="77777777" w:rsidTr="000F3133">
        <w:trPr>
          <w:trHeight w:val="141"/>
        </w:trPr>
        <w:tc>
          <w:tcPr>
            <w:tcW w:w="2883" w:type="dxa"/>
          </w:tcPr>
          <w:p w14:paraId="64D11A94" w14:textId="77777777" w:rsidR="008F55CA" w:rsidRPr="00CE285C" w:rsidRDefault="008F55CA" w:rsidP="008F55CA">
            <w:pPr>
              <w:rPr>
                <w:rFonts w:ascii="Arial" w:eastAsia="MS Mincho" w:hAnsi="Arial" w:cs="Arial"/>
                <w:b/>
                <w:sz w:val="20"/>
                <w:szCs w:val="20"/>
                <w:lang w:val="en-AU"/>
              </w:rPr>
            </w:pPr>
            <w:r w:rsidRPr="00CE285C">
              <w:rPr>
                <w:rFonts w:ascii="Arial" w:eastAsia="MS Mincho" w:hAnsi="Arial" w:cs="Arial"/>
                <w:b/>
                <w:sz w:val="20"/>
                <w:szCs w:val="20"/>
                <w:lang w:val="en-AU"/>
              </w:rPr>
              <w:t>Learning outcomes</w:t>
            </w:r>
          </w:p>
        </w:tc>
        <w:tc>
          <w:tcPr>
            <w:tcW w:w="6468" w:type="dxa"/>
          </w:tcPr>
          <w:p w14:paraId="185B2014" w14:textId="620F35E6" w:rsidR="008F55CA" w:rsidRPr="004653E7" w:rsidRDefault="008F55CA" w:rsidP="000F3133">
            <w:pPr>
              <w:spacing w:after="240"/>
              <w:rPr>
                <w:rFonts w:ascii="Arial" w:hAnsi="Arial" w:cs="Arial"/>
                <w:sz w:val="20"/>
                <w:szCs w:val="20"/>
                <w:lang w:val="en-AU"/>
              </w:rPr>
            </w:pPr>
            <w:r w:rsidRPr="004653E7">
              <w:rPr>
                <w:rFonts w:ascii="Arial" w:hAnsi="Arial" w:cs="Arial"/>
                <w:sz w:val="20"/>
                <w:szCs w:val="20"/>
                <w:lang w:val="en-AU"/>
              </w:rPr>
              <w:t xml:space="preserve">The expression of the set of knowledge, skills and the application of the knowledge and skills a person has and </w:t>
            </w:r>
            <w:proofErr w:type="gramStart"/>
            <w:r w:rsidRPr="004653E7">
              <w:rPr>
                <w:rFonts w:ascii="Arial" w:hAnsi="Arial" w:cs="Arial"/>
                <w:sz w:val="20"/>
                <w:szCs w:val="20"/>
                <w:lang w:val="en-AU"/>
              </w:rPr>
              <w:t>is able to</w:t>
            </w:r>
            <w:proofErr w:type="gramEnd"/>
            <w:r w:rsidRPr="004653E7">
              <w:rPr>
                <w:rFonts w:ascii="Arial" w:hAnsi="Arial" w:cs="Arial"/>
                <w:sz w:val="20"/>
                <w:szCs w:val="20"/>
                <w:lang w:val="en-AU"/>
              </w:rPr>
              <w:t xml:space="preserve"> demonstrate as a result of learning</w:t>
            </w:r>
            <w:r>
              <w:rPr>
                <w:rFonts w:ascii="Arial" w:hAnsi="Arial" w:cs="Arial"/>
                <w:sz w:val="20"/>
                <w:szCs w:val="20"/>
                <w:lang w:val="en-AU"/>
              </w:rPr>
              <w:t>.</w:t>
            </w:r>
            <w:r>
              <w:rPr>
                <w:rStyle w:val="FootnoteReference"/>
                <w:rFonts w:cs="Arial"/>
                <w:szCs w:val="20"/>
                <w:lang w:val="en-AU"/>
              </w:rPr>
              <w:footnoteReference w:id="29"/>
            </w:r>
          </w:p>
        </w:tc>
      </w:tr>
      <w:tr w:rsidR="008F55CA" w:rsidRPr="004653E7" w14:paraId="17EE8436" w14:textId="77777777" w:rsidTr="000F3133">
        <w:trPr>
          <w:trHeight w:val="141"/>
        </w:trPr>
        <w:tc>
          <w:tcPr>
            <w:tcW w:w="2883" w:type="dxa"/>
          </w:tcPr>
          <w:p w14:paraId="0BD0E50D" w14:textId="77777777" w:rsidR="008F55CA" w:rsidRPr="00CE285C" w:rsidRDefault="008F55CA" w:rsidP="008F55CA">
            <w:pPr>
              <w:rPr>
                <w:rFonts w:ascii="Arial" w:eastAsia="MS Mincho" w:hAnsi="Arial" w:cs="Arial"/>
                <w:b/>
                <w:sz w:val="20"/>
                <w:szCs w:val="20"/>
                <w:lang w:val="en-AU"/>
              </w:rPr>
            </w:pPr>
            <w:r w:rsidRPr="00CE285C">
              <w:rPr>
                <w:rFonts w:ascii="Arial" w:eastAsia="MS Mincho" w:hAnsi="Arial" w:cs="Arial"/>
                <w:b/>
                <w:sz w:val="20"/>
                <w:szCs w:val="20"/>
              </w:rPr>
              <w:t xml:space="preserve">Mandatory and voluntary notifications about students </w:t>
            </w:r>
          </w:p>
        </w:tc>
        <w:tc>
          <w:tcPr>
            <w:tcW w:w="6468" w:type="dxa"/>
          </w:tcPr>
          <w:p w14:paraId="67EFD6E6" w14:textId="1F127AF7" w:rsidR="008F55CA" w:rsidRPr="00866076" w:rsidRDefault="008F55CA" w:rsidP="000F3133">
            <w:pPr>
              <w:spacing w:after="240"/>
              <w:rPr>
                <w:rFonts w:ascii="Arial" w:eastAsia="Cambria" w:hAnsi="Arial" w:cs="Arial"/>
                <w:sz w:val="20"/>
                <w:szCs w:val="20"/>
                <w:lang w:val="en-AU"/>
              </w:rPr>
            </w:pPr>
            <w:r w:rsidRPr="00866076">
              <w:rPr>
                <w:rFonts w:ascii="Arial" w:eastAsia="Cambria" w:hAnsi="Arial" w:cs="Arial"/>
                <w:sz w:val="20"/>
                <w:szCs w:val="20"/>
              </w:rPr>
              <w:t xml:space="preserve">An education provider must notify </w:t>
            </w:r>
            <w:r w:rsidR="000A75BA">
              <w:rPr>
                <w:rFonts w:ascii="Arial" w:eastAsia="Cambria" w:hAnsi="Arial" w:cs="Arial"/>
                <w:sz w:val="20"/>
                <w:szCs w:val="20"/>
              </w:rPr>
              <w:t>Ahpra</w:t>
            </w:r>
            <w:r w:rsidRPr="00866076">
              <w:rPr>
                <w:rFonts w:ascii="Arial" w:eastAsia="Cambria" w:hAnsi="Arial" w:cs="Arial"/>
                <w:sz w:val="20"/>
                <w:szCs w:val="20"/>
              </w:rPr>
              <w:t xml:space="preserve"> if the provider reasonably believes:</w:t>
            </w:r>
          </w:p>
          <w:p w14:paraId="771411B7" w14:textId="23D6F062" w:rsidR="008F55CA" w:rsidRPr="00866076" w:rsidRDefault="008F55CA" w:rsidP="00456240">
            <w:pPr>
              <w:pStyle w:val="ListParagraph"/>
              <w:numPr>
                <w:ilvl w:val="0"/>
                <w:numId w:val="36"/>
              </w:numPr>
              <w:spacing w:after="240"/>
              <w:jc w:val="left"/>
              <w:rPr>
                <w:rFonts w:eastAsia="Cambria"/>
                <w:sz w:val="20"/>
                <w:szCs w:val="20"/>
                <w:lang w:val="en-AU" w:eastAsia="en-US"/>
              </w:rPr>
            </w:pPr>
            <w:r w:rsidRPr="00866076">
              <w:rPr>
                <w:rFonts w:eastAsia="Cambria"/>
                <w:sz w:val="20"/>
                <w:szCs w:val="20"/>
                <w:lang w:eastAsia="en-US"/>
              </w:rPr>
              <w:t xml:space="preserve">a student enrolled in a </w:t>
            </w:r>
            <w:r w:rsidR="00E12C15">
              <w:rPr>
                <w:rFonts w:eastAsia="Cambria"/>
                <w:sz w:val="20"/>
                <w:szCs w:val="20"/>
                <w:lang w:eastAsia="en-US"/>
              </w:rPr>
              <w:t xml:space="preserve">unit/subject or </w:t>
            </w:r>
            <w:r w:rsidRPr="00866076">
              <w:rPr>
                <w:rFonts w:eastAsia="Cambria"/>
                <w:sz w:val="20"/>
                <w:szCs w:val="20"/>
                <w:lang w:eastAsia="en-US"/>
              </w:rPr>
              <w:t>program of study provided by the provider has an impairment that, in the course of the student undertaking clinical training as part of the program of study, may place the public at substantial risk of harm; or</w:t>
            </w:r>
          </w:p>
          <w:p w14:paraId="57F8835A" w14:textId="497214E3" w:rsidR="008F55CA" w:rsidRPr="00866076" w:rsidRDefault="008F55CA" w:rsidP="00456240">
            <w:pPr>
              <w:pStyle w:val="ListParagraph"/>
              <w:numPr>
                <w:ilvl w:val="0"/>
                <w:numId w:val="36"/>
              </w:numPr>
              <w:spacing w:after="240"/>
              <w:jc w:val="left"/>
              <w:rPr>
                <w:rFonts w:eastAsia="Cambria"/>
                <w:sz w:val="20"/>
                <w:szCs w:val="20"/>
                <w:lang w:val="en-AU" w:eastAsia="en-US"/>
              </w:rPr>
            </w:pPr>
            <w:r w:rsidRPr="00866076">
              <w:rPr>
                <w:rFonts w:eastAsia="Cambria"/>
                <w:sz w:val="20"/>
                <w:szCs w:val="20"/>
                <w:lang w:eastAsia="en-US"/>
              </w:rPr>
              <w:t>a student for whom the education provider has arranged clinical training has an impairment that, in the course of the student undertaking the clinical training, may place the public at substantial risk of harm</w:t>
            </w:r>
            <w:r>
              <w:rPr>
                <w:rFonts w:eastAsia="Cambria"/>
                <w:sz w:val="20"/>
                <w:szCs w:val="20"/>
                <w:lang w:eastAsia="en-US"/>
              </w:rPr>
              <w:t>.</w:t>
            </w:r>
            <w:r w:rsidRPr="00863470">
              <w:rPr>
                <w:rFonts w:eastAsia="Cambria"/>
                <w:sz w:val="20"/>
                <w:szCs w:val="20"/>
                <w:vertAlign w:val="superscript"/>
                <w:lang w:eastAsia="en-US"/>
              </w:rPr>
              <w:footnoteReference w:id="30"/>
            </w:r>
          </w:p>
          <w:p w14:paraId="281806BB" w14:textId="23041499" w:rsidR="008F55CA" w:rsidRPr="00866076" w:rsidRDefault="008F55CA" w:rsidP="000F3133">
            <w:pPr>
              <w:spacing w:after="240"/>
              <w:rPr>
                <w:rFonts w:ascii="Arial" w:eastAsia="Cambria" w:hAnsi="Arial" w:cs="Arial"/>
                <w:sz w:val="20"/>
                <w:szCs w:val="20"/>
                <w:lang w:val="en-AU"/>
              </w:rPr>
            </w:pPr>
            <w:r w:rsidRPr="00866076">
              <w:rPr>
                <w:rFonts w:ascii="Arial" w:eastAsia="Cambria" w:hAnsi="Arial" w:cs="Arial"/>
                <w:sz w:val="20"/>
                <w:szCs w:val="20"/>
              </w:rPr>
              <w:t xml:space="preserve">A voluntary notification about a student may be made to </w:t>
            </w:r>
            <w:r w:rsidR="000A75BA">
              <w:rPr>
                <w:rFonts w:ascii="Arial" w:eastAsia="Cambria" w:hAnsi="Arial" w:cs="Arial"/>
                <w:sz w:val="20"/>
                <w:szCs w:val="20"/>
              </w:rPr>
              <w:t>Ahpra</w:t>
            </w:r>
            <w:r w:rsidRPr="00866076">
              <w:rPr>
                <w:rFonts w:ascii="Arial" w:eastAsia="Cambria" w:hAnsi="Arial" w:cs="Arial"/>
                <w:sz w:val="20"/>
                <w:szCs w:val="20"/>
              </w:rPr>
              <w:t xml:space="preserve"> on the grounds that:</w:t>
            </w:r>
          </w:p>
          <w:p w14:paraId="3CC7017C" w14:textId="77777777" w:rsidR="008F55CA" w:rsidRPr="00866076" w:rsidRDefault="008F55CA" w:rsidP="00456240">
            <w:pPr>
              <w:pStyle w:val="ListParagraph"/>
              <w:numPr>
                <w:ilvl w:val="0"/>
                <w:numId w:val="38"/>
              </w:numPr>
              <w:spacing w:after="240"/>
              <w:jc w:val="left"/>
              <w:rPr>
                <w:rFonts w:eastAsia="Cambria"/>
                <w:sz w:val="20"/>
                <w:szCs w:val="20"/>
                <w:lang w:val="en-AU" w:eastAsia="en-US"/>
              </w:rPr>
            </w:pPr>
            <w:r w:rsidRPr="00866076">
              <w:rPr>
                <w:rFonts w:eastAsia="Cambria"/>
                <w:sz w:val="20"/>
                <w:szCs w:val="20"/>
                <w:lang w:eastAsia="en-US"/>
              </w:rPr>
              <w:t>the student has been charged with an offence, or has been convicted or found guilty of an offence, that is punishable by 12 months imprisonment or more, or</w:t>
            </w:r>
          </w:p>
          <w:p w14:paraId="3990CBD0" w14:textId="77777777" w:rsidR="008F55CA" w:rsidRPr="00866076" w:rsidRDefault="008F55CA" w:rsidP="00456240">
            <w:pPr>
              <w:pStyle w:val="ListParagraph"/>
              <w:numPr>
                <w:ilvl w:val="0"/>
                <w:numId w:val="38"/>
              </w:numPr>
              <w:spacing w:after="240"/>
              <w:jc w:val="left"/>
              <w:rPr>
                <w:rFonts w:eastAsia="Cambria"/>
                <w:sz w:val="20"/>
                <w:szCs w:val="20"/>
                <w:lang w:val="en-AU" w:eastAsia="en-US"/>
              </w:rPr>
            </w:pPr>
            <w:r w:rsidRPr="00866076">
              <w:rPr>
                <w:rFonts w:eastAsia="Cambria"/>
                <w:sz w:val="20"/>
                <w:szCs w:val="20"/>
                <w:lang w:eastAsia="en-US"/>
              </w:rPr>
              <w:t>the student has, or may have, an impairment; or</w:t>
            </w:r>
          </w:p>
          <w:p w14:paraId="02E7B545" w14:textId="38983377" w:rsidR="008F55CA" w:rsidRPr="00866076" w:rsidRDefault="008F55CA" w:rsidP="00456240">
            <w:pPr>
              <w:pStyle w:val="ListParagraph"/>
              <w:numPr>
                <w:ilvl w:val="0"/>
                <w:numId w:val="38"/>
              </w:numPr>
              <w:spacing w:after="240"/>
              <w:jc w:val="left"/>
              <w:rPr>
                <w:rFonts w:eastAsia="Cambria"/>
                <w:sz w:val="20"/>
                <w:szCs w:val="20"/>
                <w:lang w:val="en-AU" w:eastAsia="en-US"/>
              </w:rPr>
            </w:pPr>
            <w:r w:rsidRPr="00866076">
              <w:rPr>
                <w:rFonts w:eastAsia="Cambria"/>
                <w:sz w:val="20"/>
                <w:szCs w:val="20"/>
                <w:lang w:eastAsia="en-US"/>
              </w:rPr>
              <w:t>that the student has, or may have, contravened a condition of the student’s registration or an undertaking given by the student to a National Board</w:t>
            </w:r>
            <w:r>
              <w:rPr>
                <w:rFonts w:eastAsia="Cambria"/>
                <w:sz w:val="20"/>
                <w:szCs w:val="20"/>
                <w:lang w:eastAsia="en-US"/>
              </w:rPr>
              <w:t>.</w:t>
            </w:r>
            <w:r w:rsidRPr="00863470">
              <w:rPr>
                <w:rFonts w:eastAsia="Cambria"/>
                <w:sz w:val="20"/>
                <w:szCs w:val="20"/>
                <w:vertAlign w:val="superscript"/>
                <w:lang w:eastAsia="en-US"/>
              </w:rPr>
              <w:footnoteReference w:id="31"/>
            </w:r>
          </w:p>
          <w:p w14:paraId="10D257A9" w14:textId="0C0BA5C6" w:rsidR="008F55CA" w:rsidRPr="00866076" w:rsidRDefault="008F55CA" w:rsidP="000F3133">
            <w:pPr>
              <w:spacing w:after="240"/>
              <w:rPr>
                <w:rFonts w:ascii="Arial" w:eastAsia="Cambria" w:hAnsi="Arial" w:cs="Arial"/>
                <w:sz w:val="20"/>
                <w:szCs w:val="20"/>
                <w:lang w:val="en-AU"/>
              </w:rPr>
            </w:pPr>
            <w:r w:rsidRPr="000F14AB">
              <w:rPr>
                <w:rFonts w:ascii="Arial" w:eastAsia="Cambria" w:hAnsi="Arial" w:cs="Arial"/>
                <w:sz w:val="20"/>
                <w:szCs w:val="20"/>
                <w:lang w:val="en-AU"/>
              </w:rPr>
              <w:t>NOTE: The term “impairment” has a specific meaning under the National Law in Australia. In relation to a person,</w:t>
            </w:r>
            <w:r>
              <w:rPr>
                <w:rFonts w:ascii="Arial" w:eastAsia="Cambria" w:hAnsi="Arial" w:cs="Arial"/>
                <w:sz w:val="20"/>
                <w:szCs w:val="20"/>
              </w:rPr>
              <w:t xml:space="preserve"> it</w:t>
            </w:r>
            <w:r w:rsidRPr="000F14AB">
              <w:rPr>
                <w:rFonts w:ascii="Arial" w:eastAsia="Cambria" w:hAnsi="Arial" w:cs="Arial"/>
                <w:sz w:val="20"/>
                <w:szCs w:val="20"/>
                <w:lang w:val="en-AU"/>
              </w:rPr>
              <w:t xml:space="preserve"> means the person has a physical or mental impairment, disability, condition or disorder (including substance abuse or dependence) that detrimentally affects or is likely to detrimentally affect:</w:t>
            </w:r>
          </w:p>
          <w:p w14:paraId="70799F8B" w14:textId="77777777" w:rsidR="008F55CA" w:rsidRPr="00AF76B2" w:rsidRDefault="008F55CA" w:rsidP="00456240">
            <w:pPr>
              <w:numPr>
                <w:ilvl w:val="0"/>
                <w:numId w:val="40"/>
              </w:numPr>
              <w:spacing w:after="240"/>
              <w:ind w:left="723"/>
              <w:rPr>
                <w:rFonts w:ascii="Arial" w:eastAsia="Cambria" w:hAnsi="Arial" w:cs="Arial"/>
                <w:sz w:val="20"/>
                <w:szCs w:val="20"/>
                <w:lang w:val="en-AU"/>
              </w:rPr>
            </w:pPr>
            <w:r w:rsidRPr="00AC63E7">
              <w:rPr>
                <w:rFonts w:ascii="Arial" w:eastAsia="Cambria" w:hAnsi="Arial" w:cs="Arial"/>
                <w:sz w:val="20"/>
                <w:szCs w:val="20"/>
              </w:rPr>
              <w:t xml:space="preserve">for a registered health practitioner or an applicant for registration in a health profession, the person’s capacity to </w:t>
            </w:r>
            <w:r w:rsidRPr="00AF76B2">
              <w:rPr>
                <w:rFonts w:ascii="Arial" w:eastAsia="Cambria" w:hAnsi="Arial" w:cs="Arial"/>
                <w:sz w:val="20"/>
                <w:szCs w:val="20"/>
                <w:lang w:val="en-AU"/>
              </w:rPr>
              <w:t>practise the profession; or</w:t>
            </w:r>
          </w:p>
          <w:p w14:paraId="04EA9DB2" w14:textId="77777777" w:rsidR="008F55CA" w:rsidRPr="00AF76B2" w:rsidRDefault="008F55CA" w:rsidP="00456240">
            <w:pPr>
              <w:numPr>
                <w:ilvl w:val="0"/>
                <w:numId w:val="40"/>
              </w:numPr>
              <w:spacing w:after="240"/>
              <w:ind w:left="723"/>
              <w:rPr>
                <w:rFonts w:ascii="Arial" w:hAnsi="Arial" w:cs="Arial"/>
                <w:sz w:val="20"/>
                <w:szCs w:val="20"/>
                <w:lang w:val="en-AU" w:eastAsia="en-AU"/>
              </w:rPr>
            </w:pPr>
            <w:r w:rsidRPr="00AF76B2">
              <w:rPr>
                <w:rFonts w:ascii="Arial" w:hAnsi="Arial" w:cs="Arial"/>
                <w:sz w:val="20"/>
                <w:szCs w:val="20"/>
                <w:lang w:val="en-AU" w:eastAsia="en-AU"/>
              </w:rPr>
              <w:lastRenderedPageBreak/>
              <w:t>for a student, the student’s capacity to undertake clinical</w:t>
            </w:r>
            <w:r>
              <w:rPr>
                <w:rFonts w:ascii="Arial" w:hAnsi="Arial" w:cs="Arial"/>
                <w:sz w:val="20"/>
                <w:szCs w:val="20"/>
                <w:lang w:eastAsia="en-AU"/>
              </w:rPr>
              <w:t xml:space="preserve"> </w:t>
            </w:r>
            <w:r w:rsidRPr="00AF76B2">
              <w:rPr>
                <w:rFonts w:ascii="Arial" w:hAnsi="Arial" w:cs="Arial"/>
                <w:sz w:val="20"/>
                <w:szCs w:val="20"/>
                <w:lang w:val="en-AU" w:eastAsia="en-AU"/>
              </w:rPr>
              <w:t>training—</w:t>
            </w:r>
          </w:p>
          <w:p w14:paraId="37B0756E" w14:textId="77777777" w:rsidR="008F55CA" w:rsidRPr="00AF76B2" w:rsidRDefault="008F55CA" w:rsidP="00456240">
            <w:pPr>
              <w:numPr>
                <w:ilvl w:val="0"/>
                <w:numId w:val="39"/>
              </w:numPr>
              <w:autoSpaceDE w:val="0"/>
              <w:autoSpaceDN w:val="0"/>
              <w:adjustRightInd w:val="0"/>
              <w:spacing w:after="240"/>
              <w:ind w:left="1077" w:hanging="283"/>
              <w:rPr>
                <w:rFonts w:ascii="Arial" w:eastAsia="Cambria" w:hAnsi="Arial" w:cs="Arial"/>
                <w:sz w:val="20"/>
                <w:szCs w:val="20"/>
                <w:lang w:val="en-AU"/>
              </w:rPr>
            </w:pPr>
            <w:r w:rsidRPr="00AF76B2">
              <w:rPr>
                <w:rFonts w:ascii="Arial" w:eastAsia="Cambria" w:hAnsi="Arial" w:cs="Arial"/>
                <w:sz w:val="20"/>
                <w:szCs w:val="20"/>
                <w:lang w:val="en-AU"/>
              </w:rPr>
              <w:t>as part of the approved program of study in which the student is enrolled; or</w:t>
            </w:r>
          </w:p>
          <w:p w14:paraId="0795C68B" w14:textId="41FB3565" w:rsidR="008F55CA" w:rsidRPr="00866076" w:rsidRDefault="008F55CA" w:rsidP="00456240">
            <w:pPr>
              <w:numPr>
                <w:ilvl w:val="0"/>
                <w:numId w:val="39"/>
              </w:numPr>
              <w:autoSpaceDE w:val="0"/>
              <w:autoSpaceDN w:val="0"/>
              <w:adjustRightInd w:val="0"/>
              <w:spacing w:after="240"/>
              <w:ind w:left="1111" w:hanging="283"/>
              <w:rPr>
                <w:rFonts w:ascii="Arial" w:eastAsia="Cambria" w:hAnsi="Arial" w:cs="Arial"/>
                <w:sz w:val="20"/>
                <w:szCs w:val="20"/>
                <w:lang w:val="en-AU"/>
              </w:rPr>
            </w:pPr>
            <w:r w:rsidRPr="00AF76B2">
              <w:rPr>
                <w:rFonts w:ascii="Arial" w:eastAsia="Cambria" w:hAnsi="Arial" w:cs="Arial"/>
                <w:sz w:val="20"/>
                <w:szCs w:val="20"/>
                <w:lang w:val="en-AU"/>
              </w:rPr>
              <w:t>arranged by an education provider</w:t>
            </w:r>
            <w:r>
              <w:rPr>
                <w:rFonts w:ascii="Arial" w:eastAsia="Cambria" w:hAnsi="Arial" w:cs="Arial"/>
                <w:sz w:val="20"/>
                <w:szCs w:val="20"/>
                <w:lang w:val="en-AU"/>
              </w:rPr>
              <w:t>.</w:t>
            </w:r>
            <w:r w:rsidRPr="000F14AB">
              <w:rPr>
                <w:rStyle w:val="FootnoteReference"/>
                <w:rFonts w:eastAsia="Cambria" w:cs="Arial"/>
                <w:lang w:val="en-AU"/>
              </w:rPr>
              <w:footnoteReference w:id="32"/>
            </w:r>
          </w:p>
        </w:tc>
      </w:tr>
      <w:tr w:rsidR="009C75BA" w:rsidRPr="004653E7" w14:paraId="4E9768B6" w14:textId="77777777" w:rsidTr="000F3133">
        <w:trPr>
          <w:trHeight w:val="141"/>
        </w:trPr>
        <w:tc>
          <w:tcPr>
            <w:tcW w:w="2883" w:type="dxa"/>
          </w:tcPr>
          <w:p w14:paraId="65FEA070" w14:textId="64E4A19E" w:rsidR="009C75BA" w:rsidRPr="00003821" w:rsidRDefault="00CE285C" w:rsidP="008F55CA">
            <w:pPr>
              <w:rPr>
                <w:rFonts w:ascii="Arial" w:eastAsia="MS Mincho" w:hAnsi="Arial" w:cs="Arial"/>
                <w:sz w:val="20"/>
                <w:szCs w:val="20"/>
              </w:rPr>
            </w:pPr>
            <w:r w:rsidRPr="00CE285C">
              <w:rPr>
                <w:rFonts w:ascii="Arial" w:eastAsia="MS Mincho" w:hAnsi="Arial" w:cs="Arial"/>
                <w:b/>
                <w:sz w:val="20"/>
                <w:szCs w:val="20"/>
              </w:rPr>
              <w:lastRenderedPageBreak/>
              <w:t>Medicines</w:t>
            </w:r>
            <w:r w:rsidR="00003821">
              <w:rPr>
                <w:rFonts w:ascii="Arial" w:eastAsia="MS Mincho" w:hAnsi="Arial" w:cs="Arial"/>
                <w:b/>
                <w:sz w:val="20"/>
                <w:szCs w:val="20"/>
              </w:rPr>
              <w:t xml:space="preserve"> </w:t>
            </w:r>
            <w:r w:rsidR="00003821">
              <w:rPr>
                <w:rFonts w:ascii="Arial" w:eastAsia="MS Mincho" w:hAnsi="Arial" w:cs="Arial"/>
                <w:sz w:val="20"/>
                <w:szCs w:val="20"/>
              </w:rPr>
              <w:t>(see pharmaceuticals)</w:t>
            </w:r>
          </w:p>
        </w:tc>
        <w:tc>
          <w:tcPr>
            <w:tcW w:w="6468" w:type="dxa"/>
          </w:tcPr>
          <w:p w14:paraId="4380390A" w14:textId="1BD7FD1A" w:rsidR="00CE285C" w:rsidRDefault="00CE285C" w:rsidP="000F3133">
            <w:pPr>
              <w:spacing w:after="240"/>
              <w:rPr>
                <w:rFonts w:ascii="Arial" w:hAnsi="Arial" w:cs="Arial"/>
                <w:sz w:val="20"/>
                <w:szCs w:val="20"/>
                <w:lang w:val="en-AU"/>
              </w:rPr>
            </w:pPr>
            <w:r w:rsidRPr="00CE285C">
              <w:rPr>
                <w:rFonts w:ascii="Arial" w:hAnsi="Arial" w:cs="Arial"/>
                <w:sz w:val="20"/>
                <w:szCs w:val="20"/>
                <w:lang w:val="en-AU"/>
              </w:rPr>
              <w:t>Therapeutic goods that are represented to achieve or are likely to achieve their principal intended action by pharmacological, chemical, immunological or metabolic means in or on the body of a human</w:t>
            </w:r>
            <w:r>
              <w:rPr>
                <w:rFonts w:ascii="Arial" w:hAnsi="Arial" w:cs="Arial"/>
                <w:sz w:val="20"/>
                <w:szCs w:val="20"/>
                <w:lang w:val="en-AU"/>
              </w:rPr>
              <w:t>.</w:t>
            </w:r>
          </w:p>
          <w:p w14:paraId="745DD3E8" w14:textId="29190149" w:rsidR="009C75BA" w:rsidRPr="00CE285C" w:rsidRDefault="00CE285C" w:rsidP="000F3133">
            <w:pPr>
              <w:spacing w:after="240"/>
              <w:rPr>
                <w:rFonts w:ascii="Arial" w:hAnsi="Arial" w:cs="Arial"/>
                <w:sz w:val="20"/>
                <w:szCs w:val="20"/>
                <w:lang w:val="en-AU"/>
              </w:rPr>
            </w:pPr>
            <w:r w:rsidRPr="00CE285C">
              <w:rPr>
                <w:rFonts w:ascii="Arial" w:hAnsi="Arial" w:cs="Arial"/>
                <w:sz w:val="20"/>
                <w:szCs w:val="20"/>
                <w:lang w:val="en-AU"/>
              </w:rPr>
              <w:t>In this document, the term ‘medicine’ or ‘medicines’ includes prescription medicines, non-prescription or over-the-counter medicines and complementary medicines, including herbs, vitamins, minerals, nutritional supplements, homeopathic medicines and bush and traditional medicines.</w:t>
            </w:r>
            <w:r w:rsidRPr="008E7F7A">
              <w:rPr>
                <w:rFonts w:ascii="Arial" w:hAnsi="Arial" w:cs="Arial"/>
                <w:sz w:val="20"/>
                <w:vertAlign w:val="superscript"/>
              </w:rPr>
              <w:footnoteReference w:id="33"/>
            </w:r>
          </w:p>
        </w:tc>
      </w:tr>
      <w:tr w:rsidR="00A22D5A" w:rsidRPr="004653E7" w14:paraId="3348C46A" w14:textId="77777777" w:rsidTr="00A22D5A">
        <w:trPr>
          <w:trHeight w:val="141"/>
        </w:trPr>
        <w:tc>
          <w:tcPr>
            <w:tcW w:w="2883" w:type="dxa"/>
          </w:tcPr>
          <w:p w14:paraId="06DEED04" w14:textId="288BE8D5" w:rsidR="00A22D5A" w:rsidRPr="00CE285C" w:rsidRDefault="00A22D5A" w:rsidP="00A22D5A">
            <w:pPr>
              <w:rPr>
                <w:rFonts w:ascii="Arial" w:eastAsia="MS Mincho" w:hAnsi="Arial" w:cs="Arial"/>
                <w:b/>
                <w:sz w:val="20"/>
                <w:szCs w:val="20"/>
              </w:rPr>
            </w:pPr>
            <w:r>
              <w:rPr>
                <w:rFonts w:ascii="Arial" w:eastAsia="MS Mincho" w:hAnsi="Arial" w:cs="Arial"/>
                <w:b/>
                <w:sz w:val="20"/>
                <w:szCs w:val="20"/>
              </w:rPr>
              <w:t>National podiatry scheduled medicines list</w:t>
            </w:r>
          </w:p>
        </w:tc>
        <w:tc>
          <w:tcPr>
            <w:tcW w:w="6468" w:type="dxa"/>
            <w:vAlign w:val="center"/>
          </w:tcPr>
          <w:p w14:paraId="31375871" w14:textId="58A8CCAB" w:rsidR="00A22D5A" w:rsidRPr="00A22D5A" w:rsidRDefault="00A22D5A" w:rsidP="00A22D5A">
            <w:pPr>
              <w:spacing w:after="240"/>
              <w:rPr>
                <w:rFonts w:ascii="Arial" w:hAnsi="Arial" w:cs="Arial"/>
                <w:sz w:val="20"/>
                <w:szCs w:val="20"/>
              </w:rPr>
            </w:pPr>
            <w:r w:rsidRPr="00A22D5A">
              <w:rPr>
                <w:rFonts w:ascii="Arial" w:eastAsiaTheme="minorHAnsi" w:hAnsi="Arial" w:cs="Arial"/>
                <w:sz w:val="20"/>
                <w:szCs w:val="20"/>
              </w:rPr>
              <w:t xml:space="preserve">The </w:t>
            </w:r>
            <w:r w:rsidRPr="00A22D5A">
              <w:rPr>
                <w:rFonts w:ascii="Arial" w:eastAsiaTheme="minorHAnsi" w:hAnsi="Arial" w:cs="Arial"/>
                <w:i/>
                <w:sz w:val="20"/>
                <w:szCs w:val="20"/>
              </w:rPr>
              <w:t>National podiatry scheduled medicines list</w:t>
            </w:r>
            <w:r w:rsidRPr="00A22D5A">
              <w:rPr>
                <w:rFonts w:ascii="Arial" w:eastAsiaTheme="minorHAnsi" w:hAnsi="Arial" w:cs="Arial"/>
                <w:sz w:val="20"/>
                <w:szCs w:val="20"/>
              </w:rPr>
              <w:t xml:space="preserve"> specifies the Schedule 2, 3, 4 and 8 medicines that podiatrists and podiatric surgeons whose registration has been endorsed for scheduled medicines by the Board are qualified to administer, obtain, possess, prescribe, sell, supply, or use for the treatment of podiatric conditions.</w:t>
            </w:r>
            <w:r w:rsidRPr="00A22D5A">
              <w:rPr>
                <w:rStyle w:val="FootnoteReference"/>
                <w:rFonts w:eastAsiaTheme="minorHAnsi" w:cs="Arial"/>
                <w:sz w:val="20"/>
                <w:szCs w:val="20"/>
              </w:rPr>
              <w:footnoteReference w:id="34"/>
            </w:r>
            <w:r w:rsidRPr="00A22D5A">
              <w:rPr>
                <w:rFonts w:ascii="Arial" w:eastAsiaTheme="minorHAnsi" w:hAnsi="Arial" w:cs="Arial"/>
                <w:sz w:val="20"/>
                <w:szCs w:val="20"/>
              </w:rPr>
              <w:t xml:space="preserve"> Note that podiatrists and podiatric surgeons whose registration is endorsed may only administer, obtain, possess, prescribe, sell, supply or use the scheduled medicines in the </w:t>
            </w:r>
            <w:r w:rsidRPr="00715CCF">
              <w:rPr>
                <w:rFonts w:ascii="Arial" w:eastAsiaTheme="minorHAnsi" w:hAnsi="Arial" w:cs="Arial"/>
                <w:i/>
                <w:sz w:val="20"/>
                <w:szCs w:val="20"/>
              </w:rPr>
              <w:t>National podiatry scheduled medicines list</w:t>
            </w:r>
            <w:r w:rsidRPr="00A22D5A">
              <w:rPr>
                <w:rFonts w:ascii="Arial" w:eastAsiaTheme="minorHAnsi" w:hAnsi="Arial" w:cs="Arial"/>
                <w:sz w:val="20"/>
                <w:szCs w:val="20"/>
              </w:rPr>
              <w:t xml:space="preserve"> </w:t>
            </w:r>
            <w:r w:rsidR="00DA33B4" w:rsidRPr="00DA33B4">
              <w:rPr>
                <w:rFonts w:ascii="Arial" w:eastAsiaTheme="minorHAnsi" w:hAnsi="Arial" w:cs="Arial"/>
                <w:sz w:val="20"/>
                <w:szCs w:val="20"/>
              </w:rPr>
              <w:t>in accordance with the relevant legislation and regulations in each state or territory in which they are practicing</w:t>
            </w:r>
            <w:r w:rsidRPr="00A22D5A">
              <w:rPr>
                <w:rFonts w:ascii="Arial" w:eastAsiaTheme="minorHAnsi" w:hAnsi="Arial" w:cs="Arial"/>
                <w:sz w:val="20"/>
                <w:szCs w:val="20"/>
              </w:rPr>
              <w:t>.</w:t>
            </w:r>
          </w:p>
        </w:tc>
      </w:tr>
      <w:tr w:rsidR="00A22D5A" w:rsidRPr="004653E7" w14:paraId="70A363C3" w14:textId="77777777" w:rsidTr="000F3133">
        <w:trPr>
          <w:trHeight w:val="141"/>
        </w:trPr>
        <w:tc>
          <w:tcPr>
            <w:tcW w:w="2883" w:type="dxa"/>
          </w:tcPr>
          <w:p w14:paraId="4485BAEC" w14:textId="47876124" w:rsidR="00A22D5A" w:rsidRDefault="00A22D5A" w:rsidP="00A22D5A">
            <w:pPr>
              <w:rPr>
                <w:rFonts w:ascii="Arial" w:eastAsia="MS Mincho" w:hAnsi="Arial" w:cs="Arial"/>
                <w:b/>
                <w:sz w:val="20"/>
                <w:szCs w:val="20"/>
              </w:rPr>
            </w:pPr>
            <w:r>
              <w:rPr>
                <w:rFonts w:ascii="Arial" w:eastAsia="MS Mincho" w:hAnsi="Arial" w:cs="Arial"/>
                <w:b/>
                <w:sz w:val="20"/>
                <w:szCs w:val="20"/>
              </w:rPr>
              <w:t>Patient</w:t>
            </w:r>
          </w:p>
        </w:tc>
        <w:tc>
          <w:tcPr>
            <w:tcW w:w="6468" w:type="dxa"/>
          </w:tcPr>
          <w:p w14:paraId="5960C646" w14:textId="6EDCFACA" w:rsidR="00A22D5A" w:rsidRDefault="00A22D5A" w:rsidP="00A22D5A">
            <w:pPr>
              <w:spacing w:after="240"/>
              <w:rPr>
                <w:rFonts w:ascii="Arial" w:hAnsi="Arial" w:cs="Arial"/>
                <w:sz w:val="20"/>
                <w:szCs w:val="20"/>
              </w:rPr>
            </w:pPr>
            <w:r>
              <w:rPr>
                <w:rFonts w:ascii="Arial" w:hAnsi="Arial" w:cs="Arial"/>
                <w:sz w:val="20"/>
                <w:szCs w:val="20"/>
              </w:rPr>
              <w:t xml:space="preserve">A patient (sometimes called a client) is a person receiving or seeking to receive </w:t>
            </w:r>
            <w:r w:rsidR="002F7D41">
              <w:rPr>
                <w:rFonts w:ascii="Arial" w:hAnsi="Arial" w:cs="Arial"/>
                <w:sz w:val="20"/>
                <w:szCs w:val="20"/>
              </w:rPr>
              <w:t xml:space="preserve">advice and/or </w:t>
            </w:r>
            <w:r>
              <w:rPr>
                <w:rFonts w:ascii="Arial" w:hAnsi="Arial" w:cs="Arial"/>
                <w:sz w:val="20"/>
                <w:szCs w:val="20"/>
              </w:rPr>
              <w:t xml:space="preserve">treatment. </w:t>
            </w:r>
          </w:p>
        </w:tc>
      </w:tr>
      <w:tr w:rsidR="00A22D5A" w14:paraId="56C5EF0C" w14:textId="77777777" w:rsidTr="00003821">
        <w:trPr>
          <w:trHeight w:val="141"/>
        </w:trPr>
        <w:tc>
          <w:tcPr>
            <w:tcW w:w="2883" w:type="dxa"/>
            <w:tcBorders>
              <w:top w:val="single" w:sz="4" w:space="0" w:color="auto"/>
              <w:left w:val="single" w:sz="4" w:space="0" w:color="auto"/>
              <w:bottom w:val="single" w:sz="4" w:space="0" w:color="auto"/>
              <w:right w:val="single" w:sz="4" w:space="0" w:color="auto"/>
            </w:tcBorders>
            <w:hideMark/>
          </w:tcPr>
          <w:p w14:paraId="751FA286" w14:textId="196A8693" w:rsidR="00A22D5A" w:rsidRDefault="00A22D5A" w:rsidP="00A22D5A">
            <w:pPr>
              <w:rPr>
                <w:rFonts w:ascii="Arial" w:eastAsia="MS Mincho" w:hAnsi="Arial" w:cs="Arial"/>
                <w:b/>
                <w:sz w:val="20"/>
                <w:szCs w:val="20"/>
              </w:rPr>
            </w:pPr>
            <w:r>
              <w:rPr>
                <w:rFonts w:ascii="Arial" w:eastAsia="MS Mincho" w:hAnsi="Arial" w:cs="Arial"/>
                <w:b/>
                <w:sz w:val="20"/>
                <w:szCs w:val="20"/>
              </w:rPr>
              <w:t xml:space="preserve">Pharmaceuticals </w:t>
            </w:r>
            <w:r>
              <w:rPr>
                <w:rFonts w:ascii="Arial" w:eastAsia="MS Mincho" w:hAnsi="Arial" w:cs="Arial"/>
                <w:sz w:val="20"/>
                <w:szCs w:val="20"/>
              </w:rPr>
              <w:t>(see medicines)</w:t>
            </w:r>
          </w:p>
        </w:tc>
        <w:tc>
          <w:tcPr>
            <w:tcW w:w="6468" w:type="dxa"/>
            <w:tcBorders>
              <w:top w:val="single" w:sz="4" w:space="0" w:color="auto"/>
              <w:left w:val="single" w:sz="4" w:space="0" w:color="auto"/>
              <w:bottom w:val="single" w:sz="4" w:space="0" w:color="auto"/>
              <w:right w:val="single" w:sz="4" w:space="0" w:color="auto"/>
            </w:tcBorders>
            <w:hideMark/>
          </w:tcPr>
          <w:p w14:paraId="59AAF7CC" w14:textId="77777777" w:rsidR="00A22D5A" w:rsidRDefault="00A22D5A" w:rsidP="00A22D5A">
            <w:pPr>
              <w:spacing w:after="240"/>
              <w:rPr>
                <w:rFonts w:ascii="Arial" w:hAnsi="Arial" w:cs="Arial"/>
                <w:sz w:val="20"/>
                <w:szCs w:val="20"/>
              </w:rPr>
            </w:pPr>
            <w:r>
              <w:rPr>
                <w:rFonts w:ascii="Arial" w:hAnsi="Arial" w:cs="Arial"/>
                <w:sz w:val="20"/>
                <w:szCs w:val="20"/>
              </w:rPr>
              <w:t>Therapeutic goods that are represented to achieve or are likely to achieve their principal intended action by pharmacological, chemical, immunological or metabolic means in or on the body of a human.</w:t>
            </w:r>
          </w:p>
          <w:p w14:paraId="0EF13689" w14:textId="77777777" w:rsidR="00A22D5A" w:rsidRDefault="00A22D5A" w:rsidP="00A22D5A">
            <w:pPr>
              <w:spacing w:after="240"/>
              <w:rPr>
                <w:rFonts w:ascii="Arial" w:hAnsi="Arial" w:cs="Arial"/>
                <w:sz w:val="20"/>
                <w:szCs w:val="20"/>
              </w:rPr>
            </w:pPr>
            <w:r>
              <w:rPr>
                <w:rFonts w:ascii="Arial" w:hAnsi="Arial" w:cs="Arial"/>
                <w:sz w:val="20"/>
                <w:szCs w:val="20"/>
              </w:rPr>
              <w:t>In this document, the term ‘medicine’ or ‘medicines’ includes prescription medicines, non-prescription or over-the-counter medicines and complementary medicines, including herbs, vitamins, minerals, nutritional supplements, homeopathic medicines and bush and traditional medicines.</w:t>
            </w:r>
            <w:r>
              <w:rPr>
                <w:rFonts w:ascii="Arial" w:hAnsi="Arial" w:cs="Arial"/>
                <w:sz w:val="20"/>
                <w:vertAlign w:val="superscript"/>
              </w:rPr>
              <w:footnoteReference w:id="35"/>
            </w:r>
          </w:p>
        </w:tc>
      </w:tr>
      <w:tr w:rsidR="00A22D5A" w:rsidRPr="004653E7" w14:paraId="409EADB4" w14:textId="77777777" w:rsidTr="000F3133">
        <w:trPr>
          <w:trHeight w:val="141"/>
        </w:trPr>
        <w:tc>
          <w:tcPr>
            <w:tcW w:w="2883" w:type="dxa"/>
          </w:tcPr>
          <w:p w14:paraId="7CE3A298" w14:textId="3438354F" w:rsidR="00A22D5A" w:rsidRDefault="00A22D5A" w:rsidP="00A22D5A">
            <w:pPr>
              <w:rPr>
                <w:rFonts w:ascii="Arial" w:eastAsia="MS Mincho" w:hAnsi="Arial" w:cs="Arial"/>
                <w:b/>
                <w:sz w:val="20"/>
                <w:szCs w:val="20"/>
              </w:rPr>
            </w:pPr>
            <w:r>
              <w:rPr>
                <w:rFonts w:ascii="Arial" w:eastAsia="MS Mincho" w:hAnsi="Arial" w:cs="Arial"/>
                <w:b/>
                <w:sz w:val="20"/>
                <w:szCs w:val="20"/>
              </w:rPr>
              <w:t>Podiatric surgeon</w:t>
            </w:r>
          </w:p>
        </w:tc>
        <w:tc>
          <w:tcPr>
            <w:tcW w:w="6468" w:type="dxa"/>
          </w:tcPr>
          <w:p w14:paraId="43E1985B" w14:textId="3025C7DF" w:rsidR="00A22D5A" w:rsidRPr="0050282E" w:rsidRDefault="00A22D5A" w:rsidP="00A22D5A">
            <w:pPr>
              <w:spacing w:after="240"/>
              <w:rPr>
                <w:rFonts w:ascii="Arial" w:hAnsi="Arial" w:cs="Arial"/>
                <w:sz w:val="20"/>
                <w:szCs w:val="20"/>
              </w:rPr>
            </w:pPr>
            <w:r>
              <w:rPr>
                <w:rFonts w:ascii="Arial" w:hAnsi="Arial" w:cs="Arial"/>
                <w:sz w:val="20"/>
                <w:szCs w:val="20"/>
              </w:rPr>
              <w:t xml:space="preserve">An individual who is listed on the Podiatry Board of Australia’s register </w:t>
            </w:r>
            <w:r w:rsidRPr="00AE2120">
              <w:rPr>
                <w:rFonts w:ascii="Arial" w:hAnsi="Arial" w:cs="Arial"/>
                <w:sz w:val="20"/>
                <w:szCs w:val="20"/>
              </w:rPr>
              <w:t>with specialist registration as a podiatric surgeon</w:t>
            </w:r>
            <w:r>
              <w:rPr>
                <w:rFonts w:ascii="Arial" w:hAnsi="Arial" w:cs="Arial"/>
                <w:sz w:val="20"/>
                <w:szCs w:val="20"/>
              </w:rPr>
              <w:t>.</w:t>
            </w:r>
            <w:r w:rsidDel="00AE2120">
              <w:rPr>
                <w:rFonts w:ascii="Arial" w:hAnsi="Arial" w:cs="Arial"/>
                <w:sz w:val="20"/>
                <w:szCs w:val="20"/>
              </w:rPr>
              <w:t xml:space="preserve"> </w:t>
            </w:r>
          </w:p>
        </w:tc>
      </w:tr>
      <w:tr w:rsidR="00A22D5A" w:rsidRPr="004653E7" w14:paraId="43EA31E7" w14:textId="77777777" w:rsidTr="000F3133">
        <w:trPr>
          <w:trHeight w:val="141"/>
        </w:trPr>
        <w:tc>
          <w:tcPr>
            <w:tcW w:w="2883" w:type="dxa"/>
          </w:tcPr>
          <w:p w14:paraId="244C3054" w14:textId="21AB22A4" w:rsidR="00A22D5A" w:rsidRPr="00CE285C" w:rsidRDefault="00A22D5A" w:rsidP="00A22D5A">
            <w:pPr>
              <w:rPr>
                <w:rFonts w:ascii="Arial" w:hAnsi="Arial" w:cs="Arial"/>
                <w:b/>
                <w:sz w:val="20"/>
                <w:szCs w:val="20"/>
              </w:rPr>
            </w:pPr>
            <w:r w:rsidRPr="00CE285C">
              <w:rPr>
                <w:rFonts w:ascii="Arial" w:hAnsi="Arial" w:cs="Arial"/>
                <w:b/>
                <w:sz w:val="20"/>
                <w:szCs w:val="20"/>
              </w:rPr>
              <w:lastRenderedPageBreak/>
              <w:t>Podiatrist</w:t>
            </w:r>
          </w:p>
        </w:tc>
        <w:tc>
          <w:tcPr>
            <w:tcW w:w="6468" w:type="dxa"/>
          </w:tcPr>
          <w:p w14:paraId="19E6BCEB" w14:textId="25A52B04" w:rsidR="00A22D5A" w:rsidRPr="004653E7" w:rsidRDefault="00A22D5A" w:rsidP="00A22D5A">
            <w:pPr>
              <w:spacing w:after="240"/>
              <w:rPr>
                <w:rFonts w:ascii="Arial" w:hAnsi="Arial" w:cs="Arial"/>
                <w:sz w:val="20"/>
                <w:szCs w:val="20"/>
              </w:rPr>
            </w:pPr>
            <w:r>
              <w:rPr>
                <w:rFonts w:ascii="Arial" w:hAnsi="Arial" w:cs="Arial"/>
                <w:sz w:val="20"/>
                <w:szCs w:val="20"/>
              </w:rPr>
              <w:t>An individual who is listed on the Podiatry Board of Australia’s register of podiatrists.</w:t>
            </w:r>
          </w:p>
        </w:tc>
      </w:tr>
      <w:tr w:rsidR="00A22D5A" w:rsidRPr="004653E7" w14:paraId="74DE97FC" w14:textId="77777777" w:rsidTr="000F3133">
        <w:trPr>
          <w:trHeight w:val="141"/>
        </w:trPr>
        <w:tc>
          <w:tcPr>
            <w:tcW w:w="2883" w:type="dxa"/>
          </w:tcPr>
          <w:p w14:paraId="3452CA8F" w14:textId="6F67EF76" w:rsidR="00A22D5A" w:rsidRPr="00CE285C" w:rsidRDefault="00A22D5A" w:rsidP="00A22D5A">
            <w:pPr>
              <w:rPr>
                <w:rFonts w:ascii="Arial" w:eastAsia="MS Mincho" w:hAnsi="Arial" w:cs="Arial"/>
                <w:b/>
                <w:sz w:val="20"/>
                <w:szCs w:val="20"/>
                <w:lang w:val="en-AU"/>
              </w:rPr>
            </w:pPr>
            <w:r w:rsidRPr="00CE285C">
              <w:rPr>
                <w:rFonts w:ascii="Arial" w:hAnsi="Arial" w:cs="Arial"/>
                <w:b/>
                <w:sz w:val="20"/>
                <w:szCs w:val="20"/>
                <w:lang w:val="en-AU"/>
              </w:rPr>
              <w:t>Podiatry Accreditation Committee</w:t>
            </w:r>
          </w:p>
        </w:tc>
        <w:tc>
          <w:tcPr>
            <w:tcW w:w="6468" w:type="dxa"/>
          </w:tcPr>
          <w:p w14:paraId="6731999A" w14:textId="1975F79B" w:rsidR="00A22D5A" w:rsidRPr="00866076" w:rsidRDefault="00A22D5A" w:rsidP="00A22D5A">
            <w:pPr>
              <w:spacing w:after="240"/>
              <w:rPr>
                <w:rFonts w:ascii="Arial" w:hAnsi="Arial" w:cs="Arial"/>
                <w:sz w:val="20"/>
                <w:szCs w:val="20"/>
                <w:lang w:val="en-AU"/>
              </w:rPr>
            </w:pPr>
            <w:r w:rsidRPr="004653E7">
              <w:rPr>
                <w:rFonts w:ascii="Arial" w:hAnsi="Arial" w:cs="Arial"/>
                <w:sz w:val="20"/>
                <w:szCs w:val="20"/>
                <w:lang w:val="en-AU"/>
              </w:rPr>
              <w:t xml:space="preserve">The committee appointed by the </w:t>
            </w:r>
            <w:r>
              <w:rPr>
                <w:rFonts w:ascii="Arial" w:hAnsi="Arial" w:cs="Arial"/>
                <w:sz w:val="20"/>
                <w:szCs w:val="20"/>
                <w:lang w:val="en-AU"/>
              </w:rPr>
              <w:t xml:space="preserve">Podiatry </w:t>
            </w:r>
            <w:r w:rsidRPr="004653E7">
              <w:rPr>
                <w:rFonts w:ascii="Arial" w:hAnsi="Arial" w:cs="Arial"/>
                <w:sz w:val="20"/>
                <w:szCs w:val="20"/>
                <w:lang w:val="en-AU"/>
              </w:rPr>
              <w:t>Board of Australia which is responsible for implementing and administering accreditation.</w:t>
            </w:r>
          </w:p>
        </w:tc>
      </w:tr>
      <w:tr w:rsidR="00A22D5A" w:rsidRPr="004653E7" w14:paraId="7D9D0E70" w14:textId="77777777" w:rsidTr="000F3133">
        <w:trPr>
          <w:trHeight w:val="141"/>
        </w:trPr>
        <w:tc>
          <w:tcPr>
            <w:tcW w:w="2883" w:type="dxa"/>
          </w:tcPr>
          <w:p w14:paraId="749AD926" w14:textId="77777777" w:rsidR="00A22D5A" w:rsidRPr="00CE285C" w:rsidRDefault="00A22D5A" w:rsidP="00A22D5A">
            <w:pPr>
              <w:rPr>
                <w:rFonts w:ascii="Arial" w:eastAsia="MS Mincho" w:hAnsi="Arial" w:cs="Arial"/>
                <w:b/>
                <w:sz w:val="20"/>
                <w:szCs w:val="20"/>
              </w:rPr>
            </w:pPr>
            <w:r>
              <w:rPr>
                <w:rFonts w:ascii="Arial" w:eastAsia="MS Mincho" w:hAnsi="Arial" w:cs="Arial"/>
                <w:b/>
                <w:sz w:val="20"/>
                <w:szCs w:val="20"/>
              </w:rPr>
              <w:t>Podiatry prescribing</w:t>
            </w:r>
          </w:p>
        </w:tc>
        <w:tc>
          <w:tcPr>
            <w:tcW w:w="6468" w:type="dxa"/>
          </w:tcPr>
          <w:p w14:paraId="73898415" w14:textId="77777777" w:rsidR="00A22D5A" w:rsidRPr="00CE285C" w:rsidRDefault="00A22D5A" w:rsidP="00A22D5A">
            <w:pPr>
              <w:spacing w:after="240"/>
              <w:rPr>
                <w:rFonts w:ascii="Arial" w:hAnsi="Arial" w:cs="Arial"/>
                <w:sz w:val="20"/>
                <w:szCs w:val="20"/>
              </w:rPr>
            </w:pPr>
            <w:r w:rsidRPr="0050282E">
              <w:rPr>
                <w:rFonts w:ascii="Arial" w:hAnsi="Arial" w:cs="Arial"/>
                <w:sz w:val="20"/>
                <w:szCs w:val="20"/>
              </w:rPr>
              <w:t>The practice of podiatry that includes administering, obtaining, possessing, prescribing, supplying or using Schedule 2, 3, 4 or 8 medicines in the course of podiatr</w:t>
            </w:r>
            <w:r>
              <w:rPr>
                <w:rFonts w:ascii="Arial" w:hAnsi="Arial" w:cs="Arial"/>
                <w:sz w:val="20"/>
                <w:szCs w:val="20"/>
              </w:rPr>
              <w:t>ic treatment.</w:t>
            </w:r>
          </w:p>
        </w:tc>
      </w:tr>
      <w:tr w:rsidR="00A22D5A" w:rsidRPr="004653E7" w14:paraId="51BD5AC7" w14:textId="77777777" w:rsidTr="000F3133">
        <w:trPr>
          <w:trHeight w:val="141"/>
        </w:trPr>
        <w:tc>
          <w:tcPr>
            <w:tcW w:w="2883" w:type="dxa"/>
          </w:tcPr>
          <w:p w14:paraId="1A79A618" w14:textId="77777777" w:rsidR="00A22D5A" w:rsidRPr="00CE285C" w:rsidRDefault="00A22D5A" w:rsidP="00A22D5A">
            <w:pPr>
              <w:rPr>
                <w:rFonts w:ascii="Arial" w:hAnsi="Arial" w:cs="Arial"/>
                <w:b/>
                <w:sz w:val="20"/>
                <w:szCs w:val="20"/>
                <w:lang w:val="en-AU"/>
              </w:rPr>
            </w:pPr>
            <w:r w:rsidRPr="00CE285C">
              <w:rPr>
                <w:rFonts w:ascii="Arial" w:eastAsia="MS Mincho" w:hAnsi="Arial" w:cs="Arial"/>
                <w:b/>
                <w:sz w:val="20"/>
                <w:szCs w:val="20"/>
              </w:rPr>
              <w:t>Principles of assessment</w:t>
            </w:r>
          </w:p>
        </w:tc>
        <w:tc>
          <w:tcPr>
            <w:tcW w:w="6468" w:type="dxa"/>
          </w:tcPr>
          <w:p w14:paraId="47E5B0D3" w14:textId="77777777" w:rsidR="00A22D5A" w:rsidRPr="00866076" w:rsidRDefault="00A22D5A" w:rsidP="00A22D5A">
            <w:pPr>
              <w:spacing w:after="240"/>
              <w:rPr>
                <w:rFonts w:ascii="Arial" w:hAnsi="Arial" w:cs="Arial"/>
                <w:sz w:val="20"/>
                <w:szCs w:val="20"/>
                <w:lang w:val="en-AU"/>
              </w:rPr>
            </w:pPr>
            <w:r w:rsidRPr="0036539A">
              <w:rPr>
                <w:rFonts w:ascii="Arial" w:hAnsi="Arial" w:cs="Arial"/>
                <w:sz w:val="20"/>
                <w:szCs w:val="20"/>
              </w:rPr>
              <w:t>The principles of assessment are a set of measures to ensure that assessment of students is valid, reliable, flexible and fair.</w:t>
            </w:r>
          </w:p>
        </w:tc>
      </w:tr>
      <w:tr w:rsidR="00A22D5A" w:rsidRPr="004653E7" w14:paraId="0AA4CBEA" w14:textId="77777777" w:rsidTr="000F3133">
        <w:trPr>
          <w:trHeight w:val="141"/>
        </w:trPr>
        <w:tc>
          <w:tcPr>
            <w:tcW w:w="2883" w:type="dxa"/>
          </w:tcPr>
          <w:p w14:paraId="1BBA5E0A" w14:textId="731793B5" w:rsidR="00A22D5A" w:rsidRPr="00CE285C" w:rsidRDefault="00A22D5A" w:rsidP="00A22D5A">
            <w:pPr>
              <w:rPr>
                <w:rFonts w:ascii="Arial" w:hAnsi="Arial" w:cs="Arial"/>
                <w:b/>
                <w:sz w:val="20"/>
                <w:szCs w:val="20"/>
              </w:rPr>
            </w:pPr>
            <w:r w:rsidRPr="00CE285C">
              <w:rPr>
                <w:rFonts w:ascii="Arial" w:hAnsi="Arial" w:cs="Arial"/>
                <w:b/>
                <w:sz w:val="20"/>
                <w:szCs w:val="20"/>
                <w:lang w:val="en-AU"/>
              </w:rPr>
              <w:t>Professional capabilities for podiatri</w:t>
            </w:r>
            <w:r>
              <w:rPr>
                <w:rFonts w:ascii="Arial" w:hAnsi="Arial" w:cs="Arial"/>
                <w:b/>
                <w:sz w:val="20"/>
                <w:szCs w:val="20"/>
                <w:lang w:val="en-AU"/>
              </w:rPr>
              <w:t>c surgeons</w:t>
            </w:r>
          </w:p>
        </w:tc>
        <w:tc>
          <w:tcPr>
            <w:tcW w:w="6468" w:type="dxa"/>
          </w:tcPr>
          <w:p w14:paraId="57B6609A" w14:textId="6A8A76EB" w:rsidR="00A22D5A" w:rsidRPr="004653E7" w:rsidRDefault="00A22D5A" w:rsidP="00A22D5A">
            <w:pPr>
              <w:spacing w:after="240"/>
              <w:rPr>
                <w:rFonts w:ascii="Arial" w:hAnsi="Arial" w:cs="Arial"/>
                <w:sz w:val="20"/>
                <w:szCs w:val="20"/>
              </w:rPr>
            </w:pPr>
            <w:r w:rsidRPr="004653E7">
              <w:rPr>
                <w:rFonts w:ascii="Arial" w:hAnsi="Arial" w:cs="Arial"/>
                <w:sz w:val="20"/>
                <w:szCs w:val="20"/>
                <w:lang w:val="en-AU"/>
              </w:rPr>
              <w:t xml:space="preserve">Threshold capabilities </w:t>
            </w:r>
            <w:r w:rsidRPr="0036539A">
              <w:rPr>
                <w:rFonts w:ascii="Arial" w:hAnsi="Arial" w:cs="Arial"/>
                <w:sz w:val="20"/>
                <w:szCs w:val="20"/>
              </w:rPr>
              <w:t>needed to safely and competently practice as a</w:t>
            </w:r>
            <w:r w:rsidRPr="004653E7" w:rsidDel="004152C3">
              <w:rPr>
                <w:rFonts w:ascii="Arial" w:hAnsi="Arial" w:cs="Arial"/>
                <w:sz w:val="20"/>
                <w:szCs w:val="20"/>
                <w:lang w:val="en-AU"/>
              </w:rPr>
              <w:t xml:space="preserve"> </w:t>
            </w:r>
            <w:r>
              <w:rPr>
                <w:rFonts w:ascii="Arial" w:hAnsi="Arial" w:cs="Arial"/>
                <w:sz w:val="20"/>
                <w:szCs w:val="20"/>
                <w:lang w:val="en-AU"/>
              </w:rPr>
              <w:t>podiatric surgeon in Australia</w:t>
            </w:r>
            <w:r w:rsidRPr="004653E7">
              <w:rPr>
                <w:rFonts w:ascii="Arial" w:hAnsi="Arial" w:cs="Arial"/>
                <w:sz w:val="20"/>
                <w:szCs w:val="20"/>
                <w:lang w:val="en-AU"/>
              </w:rPr>
              <w:t>.</w:t>
            </w:r>
          </w:p>
        </w:tc>
      </w:tr>
      <w:tr w:rsidR="00A22D5A" w:rsidRPr="004653E7" w14:paraId="14CF60F5" w14:textId="77777777" w:rsidTr="000F3133">
        <w:trPr>
          <w:trHeight w:val="141"/>
        </w:trPr>
        <w:tc>
          <w:tcPr>
            <w:tcW w:w="2883" w:type="dxa"/>
          </w:tcPr>
          <w:p w14:paraId="6850731C" w14:textId="5BD498E4" w:rsidR="00A22D5A" w:rsidRPr="00CE285C" w:rsidRDefault="00A22D5A" w:rsidP="00A22D5A">
            <w:pPr>
              <w:rPr>
                <w:rFonts w:ascii="Arial" w:hAnsi="Arial" w:cs="Arial"/>
                <w:b/>
                <w:sz w:val="20"/>
                <w:szCs w:val="20"/>
                <w:lang w:val="en-AU"/>
              </w:rPr>
            </w:pPr>
            <w:r w:rsidRPr="00CE285C">
              <w:rPr>
                <w:rFonts w:ascii="Arial" w:hAnsi="Arial" w:cs="Arial"/>
                <w:b/>
                <w:sz w:val="20"/>
                <w:szCs w:val="20"/>
                <w:lang w:val="en-AU"/>
              </w:rPr>
              <w:t>Professional capabilities for podiatrists</w:t>
            </w:r>
          </w:p>
        </w:tc>
        <w:tc>
          <w:tcPr>
            <w:tcW w:w="6468" w:type="dxa"/>
          </w:tcPr>
          <w:p w14:paraId="715CEBCF" w14:textId="2375796A" w:rsidR="00A22D5A" w:rsidRPr="004653E7" w:rsidRDefault="00A22D5A" w:rsidP="00A22D5A">
            <w:pPr>
              <w:spacing w:after="240"/>
              <w:rPr>
                <w:rFonts w:ascii="Arial" w:hAnsi="Arial" w:cs="Arial"/>
                <w:sz w:val="20"/>
                <w:szCs w:val="20"/>
                <w:lang w:val="en-AU"/>
              </w:rPr>
            </w:pPr>
            <w:r w:rsidRPr="004653E7">
              <w:rPr>
                <w:rFonts w:ascii="Arial" w:hAnsi="Arial" w:cs="Arial"/>
                <w:sz w:val="20"/>
                <w:szCs w:val="20"/>
                <w:lang w:val="en-AU"/>
              </w:rPr>
              <w:t xml:space="preserve">Threshold capabilities </w:t>
            </w:r>
            <w:r w:rsidRPr="0036539A">
              <w:rPr>
                <w:rFonts w:ascii="Arial" w:hAnsi="Arial" w:cs="Arial"/>
                <w:sz w:val="20"/>
                <w:szCs w:val="20"/>
              </w:rPr>
              <w:t>needed to safely and competently practice as a</w:t>
            </w:r>
            <w:r w:rsidRPr="004653E7" w:rsidDel="004152C3">
              <w:rPr>
                <w:rFonts w:ascii="Arial" w:hAnsi="Arial" w:cs="Arial"/>
                <w:sz w:val="20"/>
                <w:szCs w:val="20"/>
                <w:lang w:val="en-AU"/>
              </w:rPr>
              <w:t xml:space="preserve"> </w:t>
            </w:r>
            <w:r>
              <w:rPr>
                <w:rFonts w:ascii="Arial" w:hAnsi="Arial" w:cs="Arial"/>
                <w:sz w:val="20"/>
                <w:szCs w:val="20"/>
                <w:lang w:val="en-AU"/>
              </w:rPr>
              <w:t>podiatrist in Australia</w:t>
            </w:r>
            <w:r w:rsidRPr="004653E7">
              <w:rPr>
                <w:rFonts w:ascii="Arial" w:hAnsi="Arial" w:cs="Arial"/>
                <w:sz w:val="20"/>
                <w:szCs w:val="20"/>
                <w:lang w:val="en-AU"/>
              </w:rPr>
              <w:t>.</w:t>
            </w:r>
          </w:p>
        </w:tc>
      </w:tr>
      <w:tr w:rsidR="00A22D5A" w:rsidRPr="004653E7" w14:paraId="301FAA2D" w14:textId="77777777" w:rsidTr="000F3133">
        <w:trPr>
          <w:trHeight w:val="141"/>
        </w:trPr>
        <w:tc>
          <w:tcPr>
            <w:tcW w:w="2883" w:type="dxa"/>
          </w:tcPr>
          <w:p w14:paraId="72C75B1C" w14:textId="77777777" w:rsidR="00A22D5A" w:rsidRPr="00CE285C" w:rsidRDefault="00A22D5A" w:rsidP="00A22D5A">
            <w:pPr>
              <w:rPr>
                <w:rFonts w:ascii="Arial" w:hAnsi="Arial" w:cs="Arial"/>
                <w:b/>
                <w:sz w:val="20"/>
                <w:szCs w:val="20"/>
                <w:lang w:val="en-AU"/>
              </w:rPr>
            </w:pPr>
            <w:r w:rsidRPr="00CE285C">
              <w:rPr>
                <w:rFonts w:ascii="Arial" w:hAnsi="Arial" w:cs="Arial"/>
                <w:b/>
                <w:sz w:val="20"/>
                <w:szCs w:val="20"/>
                <w:lang w:val="en-AU"/>
              </w:rPr>
              <w:t>Program of study</w:t>
            </w:r>
          </w:p>
        </w:tc>
        <w:tc>
          <w:tcPr>
            <w:tcW w:w="6468" w:type="dxa"/>
          </w:tcPr>
          <w:p w14:paraId="64FF45A5" w14:textId="77777777" w:rsidR="00A22D5A" w:rsidRPr="004653E7" w:rsidRDefault="00A22D5A" w:rsidP="00A22D5A">
            <w:pPr>
              <w:spacing w:after="240"/>
              <w:rPr>
                <w:rFonts w:ascii="Arial" w:hAnsi="Arial" w:cs="Arial"/>
                <w:sz w:val="20"/>
                <w:szCs w:val="20"/>
                <w:lang w:val="en-AU"/>
              </w:rPr>
            </w:pPr>
            <w:r w:rsidRPr="004653E7">
              <w:rPr>
                <w:rFonts w:ascii="Arial" w:hAnsi="Arial" w:cs="Arial"/>
                <w:sz w:val="20"/>
                <w:szCs w:val="20"/>
                <w:lang w:val="en-AU"/>
              </w:rPr>
              <w:t xml:space="preserve">A program of study </w:t>
            </w:r>
            <w:r>
              <w:rPr>
                <w:rFonts w:ascii="Arial" w:hAnsi="Arial" w:cs="Arial"/>
                <w:sz w:val="20"/>
                <w:szCs w:val="20"/>
                <w:lang w:val="en-AU"/>
              </w:rPr>
              <w:t xml:space="preserve">(program) </w:t>
            </w:r>
            <w:r w:rsidRPr="004653E7">
              <w:rPr>
                <w:rFonts w:ascii="Arial" w:hAnsi="Arial" w:cs="Arial"/>
                <w:sz w:val="20"/>
                <w:szCs w:val="20"/>
                <w:lang w:val="en-AU"/>
              </w:rPr>
              <w:t>provided by an education provider. Note the term ‘course’ is used by many education providers.</w:t>
            </w:r>
          </w:p>
        </w:tc>
      </w:tr>
      <w:tr w:rsidR="00A22D5A" w:rsidRPr="004653E7" w14:paraId="6BD99112" w14:textId="77777777" w:rsidTr="000F3133">
        <w:trPr>
          <w:trHeight w:val="141"/>
        </w:trPr>
        <w:tc>
          <w:tcPr>
            <w:tcW w:w="2883" w:type="dxa"/>
          </w:tcPr>
          <w:p w14:paraId="2179DCFE" w14:textId="0C885EF9" w:rsidR="00A22D5A" w:rsidRPr="00CE285C" w:rsidRDefault="00A22D5A" w:rsidP="00A22D5A">
            <w:pPr>
              <w:rPr>
                <w:rFonts w:ascii="Arial" w:hAnsi="Arial" w:cs="Arial"/>
                <w:b/>
                <w:sz w:val="20"/>
                <w:szCs w:val="20"/>
              </w:rPr>
            </w:pPr>
            <w:r w:rsidRPr="00CE285C">
              <w:rPr>
                <w:rFonts w:ascii="Arial" w:hAnsi="Arial" w:cs="Arial"/>
                <w:b/>
                <w:sz w:val="20"/>
                <w:szCs w:val="20"/>
              </w:rPr>
              <w:t>Reasonable adjustments</w:t>
            </w:r>
          </w:p>
        </w:tc>
        <w:tc>
          <w:tcPr>
            <w:tcW w:w="6468" w:type="dxa"/>
          </w:tcPr>
          <w:p w14:paraId="6D26D891" w14:textId="13F3A07A" w:rsidR="00A22D5A" w:rsidRDefault="00A22D5A" w:rsidP="00A22D5A">
            <w:pPr>
              <w:spacing w:after="240"/>
              <w:rPr>
                <w:rFonts w:ascii="Arial" w:hAnsi="Arial" w:cs="Arial"/>
                <w:sz w:val="20"/>
                <w:szCs w:val="20"/>
              </w:rPr>
            </w:pPr>
            <w:r w:rsidRPr="004D36F4">
              <w:rPr>
                <w:rFonts w:ascii="Arial" w:hAnsi="Arial" w:cs="Arial"/>
                <w:sz w:val="20"/>
                <w:szCs w:val="20"/>
              </w:rPr>
              <w:t>Education providers are required to make changes so that a student with disability can safely and productively perform the genuine and reasonable requirements of the program.</w:t>
            </w:r>
          </w:p>
          <w:p w14:paraId="064F118A" w14:textId="77777777" w:rsidR="00A22D5A" w:rsidRPr="00CA2401" w:rsidRDefault="00A22D5A" w:rsidP="00A22D5A">
            <w:pPr>
              <w:spacing w:after="240"/>
              <w:rPr>
                <w:rFonts w:ascii="Arial" w:hAnsi="Arial" w:cs="Arial"/>
                <w:sz w:val="20"/>
                <w:szCs w:val="20"/>
              </w:rPr>
            </w:pPr>
            <w:r w:rsidRPr="00CA2401">
              <w:rPr>
                <w:rFonts w:ascii="Arial" w:hAnsi="Arial" w:cs="Arial"/>
                <w:sz w:val="20"/>
                <w:szCs w:val="20"/>
              </w:rPr>
              <w:t>A reasonable adjustment requires an education provider to balance the cost or effort required to make such a change. If an adjustment requires a disproportionately high expenditure or disruption it may not be deemed reasonable.</w:t>
            </w:r>
          </w:p>
          <w:p w14:paraId="5B1FBE6F" w14:textId="4CCEB9C0" w:rsidR="00A22D5A" w:rsidRPr="00EB58CB" w:rsidRDefault="00A22D5A" w:rsidP="00A22D5A">
            <w:pPr>
              <w:spacing w:after="240"/>
              <w:rPr>
                <w:rFonts w:ascii="Arial" w:hAnsi="Arial" w:cs="Arial"/>
                <w:sz w:val="20"/>
                <w:szCs w:val="20"/>
              </w:rPr>
            </w:pPr>
            <w:r w:rsidRPr="00CA2401">
              <w:rPr>
                <w:rFonts w:ascii="Arial" w:hAnsi="Arial" w:cs="Arial"/>
                <w:sz w:val="20"/>
                <w:szCs w:val="20"/>
              </w:rPr>
              <w:t>Reasonable adjustment requirements directly address systemic discrimination experienced by people with disability in education</w:t>
            </w:r>
            <w:r>
              <w:rPr>
                <w:rFonts w:ascii="Arial" w:hAnsi="Arial" w:cs="Arial"/>
                <w:sz w:val="20"/>
                <w:szCs w:val="20"/>
              </w:rPr>
              <w:t>.</w:t>
            </w:r>
            <w:r>
              <w:rPr>
                <w:rStyle w:val="FootnoteReference"/>
                <w:rFonts w:cs="Arial"/>
                <w:szCs w:val="20"/>
              </w:rPr>
              <w:footnoteReference w:id="36"/>
            </w:r>
          </w:p>
        </w:tc>
      </w:tr>
      <w:tr w:rsidR="00A22D5A" w:rsidRPr="004653E7" w14:paraId="1DD6421C" w14:textId="77777777" w:rsidTr="000F3133">
        <w:trPr>
          <w:trHeight w:val="141"/>
        </w:trPr>
        <w:tc>
          <w:tcPr>
            <w:tcW w:w="2883" w:type="dxa"/>
          </w:tcPr>
          <w:p w14:paraId="49D05504" w14:textId="77777777" w:rsidR="00A22D5A" w:rsidRPr="00CE285C" w:rsidRDefault="00A22D5A" w:rsidP="00A22D5A">
            <w:pPr>
              <w:rPr>
                <w:rFonts w:ascii="Arial" w:hAnsi="Arial" w:cs="Arial"/>
                <w:b/>
                <w:sz w:val="20"/>
                <w:szCs w:val="20"/>
                <w:lang w:val="en-AU"/>
              </w:rPr>
            </w:pPr>
            <w:r w:rsidRPr="00CE285C">
              <w:rPr>
                <w:rFonts w:ascii="Arial" w:hAnsi="Arial" w:cs="Arial"/>
                <w:b/>
                <w:sz w:val="20"/>
                <w:szCs w:val="20"/>
              </w:rPr>
              <w:t xml:space="preserve">Reliable assessment/ reliability </w:t>
            </w:r>
          </w:p>
        </w:tc>
        <w:tc>
          <w:tcPr>
            <w:tcW w:w="6468" w:type="dxa"/>
          </w:tcPr>
          <w:p w14:paraId="585A5E08" w14:textId="5D3C4360" w:rsidR="00A22D5A" w:rsidRPr="00866076" w:rsidRDefault="00A22D5A" w:rsidP="00A22D5A">
            <w:pPr>
              <w:spacing w:after="240"/>
              <w:rPr>
                <w:rFonts w:ascii="Arial" w:hAnsi="Arial" w:cs="Arial"/>
                <w:sz w:val="20"/>
                <w:szCs w:val="20"/>
                <w:lang w:val="en-AU"/>
              </w:rPr>
            </w:pPr>
            <w:r w:rsidRPr="0036539A">
              <w:rPr>
                <w:rFonts w:ascii="Arial" w:hAnsi="Arial" w:cs="Arial"/>
                <w:sz w:val="20"/>
                <w:szCs w:val="20"/>
              </w:rPr>
              <w:t>The degree to which an assessment tool produces stable and consistent results</w:t>
            </w:r>
            <w:r>
              <w:rPr>
                <w:rFonts w:ascii="Arial" w:hAnsi="Arial" w:cs="Arial"/>
                <w:sz w:val="20"/>
                <w:szCs w:val="20"/>
              </w:rPr>
              <w:t>.</w:t>
            </w:r>
            <w:r w:rsidRPr="0036539A">
              <w:rPr>
                <w:rStyle w:val="FootnoteReference"/>
                <w:rFonts w:eastAsia="Batang" w:cs="Arial"/>
                <w:szCs w:val="18"/>
              </w:rPr>
              <w:footnoteReference w:id="37"/>
            </w:r>
          </w:p>
        </w:tc>
      </w:tr>
      <w:tr w:rsidR="00A22D5A" w:rsidRPr="004653E7" w14:paraId="694E4165" w14:textId="77777777" w:rsidTr="000F3133">
        <w:trPr>
          <w:trHeight w:val="141"/>
        </w:trPr>
        <w:tc>
          <w:tcPr>
            <w:tcW w:w="2883" w:type="dxa"/>
          </w:tcPr>
          <w:p w14:paraId="7838C14F" w14:textId="77777777" w:rsidR="00A22D5A" w:rsidRPr="00CE285C" w:rsidRDefault="00A22D5A" w:rsidP="00A22D5A">
            <w:pPr>
              <w:rPr>
                <w:rFonts w:ascii="Arial" w:hAnsi="Arial" w:cs="Arial"/>
                <w:b/>
                <w:sz w:val="20"/>
                <w:szCs w:val="20"/>
                <w:lang w:val="en-AU"/>
              </w:rPr>
            </w:pPr>
            <w:r w:rsidRPr="00CE285C">
              <w:rPr>
                <w:rFonts w:ascii="Arial" w:hAnsi="Arial" w:cs="Arial"/>
                <w:b/>
                <w:sz w:val="20"/>
                <w:szCs w:val="20"/>
                <w:lang w:val="en-AU"/>
              </w:rPr>
              <w:t>Unit/subject</w:t>
            </w:r>
          </w:p>
        </w:tc>
        <w:tc>
          <w:tcPr>
            <w:tcW w:w="6468" w:type="dxa"/>
          </w:tcPr>
          <w:p w14:paraId="345CDB1A" w14:textId="06831FCF" w:rsidR="00A22D5A" w:rsidRPr="004653E7" w:rsidRDefault="00A22D5A" w:rsidP="00A22D5A">
            <w:pPr>
              <w:spacing w:after="240"/>
              <w:rPr>
                <w:rFonts w:ascii="Arial" w:hAnsi="Arial" w:cs="Arial"/>
                <w:sz w:val="20"/>
                <w:szCs w:val="20"/>
                <w:lang w:val="en-AU"/>
              </w:rPr>
            </w:pPr>
            <w:r w:rsidRPr="004653E7">
              <w:rPr>
                <w:rFonts w:ascii="Arial" w:hAnsi="Arial" w:cs="Arial"/>
                <w:sz w:val="20"/>
                <w:szCs w:val="20"/>
                <w:lang w:val="en-AU"/>
              </w:rPr>
              <w:t xml:space="preserve">A component of a </w:t>
            </w:r>
            <w:r>
              <w:rPr>
                <w:rFonts w:ascii="Arial" w:hAnsi="Arial" w:cs="Arial"/>
                <w:sz w:val="20"/>
                <w:szCs w:val="20"/>
                <w:lang w:val="en-AU"/>
              </w:rPr>
              <w:t xml:space="preserve">podiatry </w:t>
            </w:r>
            <w:r w:rsidRPr="004653E7">
              <w:rPr>
                <w:rFonts w:ascii="Arial" w:hAnsi="Arial" w:cs="Arial"/>
                <w:sz w:val="20"/>
                <w:szCs w:val="20"/>
                <w:lang w:val="en-AU"/>
              </w:rPr>
              <w:t>program. Note the term</w:t>
            </w:r>
            <w:r>
              <w:rPr>
                <w:rFonts w:ascii="Arial" w:hAnsi="Arial" w:cs="Arial"/>
                <w:sz w:val="20"/>
                <w:szCs w:val="20"/>
                <w:lang w:val="en-AU"/>
              </w:rPr>
              <w:t>s</w:t>
            </w:r>
            <w:r w:rsidRPr="004653E7">
              <w:rPr>
                <w:rFonts w:ascii="Arial" w:hAnsi="Arial" w:cs="Arial"/>
                <w:sz w:val="20"/>
                <w:szCs w:val="20"/>
                <w:lang w:val="en-AU"/>
              </w:rPr>
              <w:t xml:space="preserve"> </w:t>
            </w:r>
            <w:r w:rsidRPr="001300CE">
              <w:rPr>
                <w:rFonts w:ascii="Arial" w:hAnsi="Arial" w:cs="Arial"/>
                <w:sz w:val="20"/>
                <w:szCs w:val="20"/>
              </w:rPr>
              <w:t>‘</w:t>
            </w:r>
            <w:r w:rsidRPr="001300CE">
              <w:rPr>
                <w:rFonts w:ascii="Arial" w:hAnsi="Arial" w:cs="Arial"/>
                <w:sz w:val="20"/>
                <w:szCs w:val="20"/>
                <w:lang w:val="en-AU"/>
              </w:rPr>
              <w:t>course’</w:t>
            </w:r>
            <w:r w:rsidRPr="004653E7">
              <w:rPr>
                <w:rFonts w:ascii="Arial" w:hAnsi="Arial" w:cs="Arial"/>
                <w:sz w:val="20"/>
                <w:szCs w:val="20"/>
                <w:lang w:val="en-AU"/>
              </w:rPr>
              <w:t xml:space="preserve"> or ‘topic’ </w:t>
            </w:r>
            <w:r>
              <w:rPr>
                <w:rFonts w:ascii="Arial" w:hAnsi="Arial" w:cs="Arial"/>
                <w:sz w:val="20"/>
                <w:szCs w:val="20"/>
                <w:lang w:val="en-AU"/>
              </w:rPr>
              <w:t>are</w:t>
            </w:r>
            <w:r w:rsidRPr="004653E7">
              <w:rPr>
                <w:rFonts w:ascii="Arial" w:hAnsi="Arial" w:cs="Arial"/>
                <w:sz w:val="20"/>
                <w:szCs w:val="20"/>
                <w:lang w:val="en-AU"/>
              </w:rPr>
              <w:t xml:space="preserve"> used in many programs.</w:t>
            </w:r>
          </w:p>
        </w:tc>
      </w:tr>
      <w:tr w:rsidR="00A22D5A" w:rsidRPr="004653E7" w14:paraId="3D5C3316" w14:textId="77777777" w:rsidTr="000F3133">
        <w:trPr>
          <w:trHeight w:val="141"/>
        </w:trPr>
        <w:tc>
          <w:tcPr>
            <w:tcW w:w="2883" w:type="dxa"/>
          </w:tcPr>
          <w:p w14:paraId="6C53C3B2" w14:textId="77777777" w:rsidR="00A22D5A" w:rsidRPr="00CE285C" w:rsidRDefault="00A22D5A" w:rsidP="00A22D5A">
            <w:pPr>
              <w:rPr>
                <w:rFonts w:ascii="Arial" w:hAnsi="Arial" w:cs="Arial"/>
                <w:b/>
                <w:sz w:val="20"/>
                <w:szCs w:val="20"/>
                <w:lang w:val="en-AU"/>
              </w:rPr>
            </w:pPr>
            <w:r w:rsidRPr="00CE285C">
              <w:rPr>
                <w:rFonts w:ascii="Arial" w:hAnsi="Arial" w:cs="Arial"/>
                <w:b/>
                <w:sz w:val="20"/>
                <w:szCs w:val="20"/>
                <w:lang w:val="en-AU"/>
              </w:rPr>
              <w:t>Work-integrated learning</w:t>
            </w:r>
          </w:p>
        </w:tc>
        <w:tc>
          <w:tcPr>
            <w:tcW w:w="6468" w:type="dxa"/>
          </w:tcPr>
          <w:p w14:paraId="64878091" w14:textId="5DA8A629" w:rsidR="00A22D5A" w:rsidRPr="004653E7" w:rsidRDefault="00A22D5A" w:rsidP="00A22D5A">
            <w:pPr>
              <w:spacing w:after="240"/>
              <w:rPr>
                <w:rFonts w:ascii="Arial" w:hAnsi="Arial" w:cs="Arial"/>
                <w:sz w:val="20"/>
                <w:szCs w:val="20"/>
                <w:lang w:val="en-AU"/>
              </w:rPr>
            </w:pPr>
            <w:r w:rsidRPr="004653E7">
              <w:rPr>
                <w:rFonts w:ascii="Arial" w:hAnsi="Arial" w:cs="Arial"/>
                <w:color w:val="000000"/>
                <w:sz w:val="20"/>
                <w:szCs w:val="20"/>
                <w:lang w:val="en-AU"/>
              </w:rPr>
              <w:t>An umbrella term for a range of approaches and strategies that integrate academic learning (theory) with its application to practice within a purposefully designed curriculum.</w:t>
            </w:r>
            <w:r>
              <w:rPr>
                <w:rStyle w:val="FootnoteReference"/>
                <w:rFonts w:cs="Arial"/>
                <w:szCs w:val="20"/>
                <w:lang w:val="en-AU"/>
              </w:rPr>
              <w:footnoteReference w:id="38"/>
            </w:r>
          </w:p>
        </w:tc>
      </w:tr>
      <w:tr w:rsidR="00497DD3" w:rsidRPr="004653E7" w14:paraId="235E850A" w14:textId="77777777" w:rsidTr="000F3133">
        <w:trPr>
          <w:trHeight w:val="141"/>
        </w:trPr>
        <w:tc>
          <w:tcPr>
            <w:tcW w:w="2883" w:type="dxa"/>
          </w:tcPr>
          <w:p w14:paraId="1520A8DD" w14:textId="7ADA662C" w:rsidR="00497DD3" w:rsidRPr="00CE285C" w:rsidRDefault="00497DD3" w:rsidP="00497DD3">
            <w:pPr>
              <w:rPr>
                <w:rFonts w:ascii="Arial" w:hAnsi="Arial" w:cs="Arial"/>
                <w:b/>
                <w:sz w:val="20"/>
                <w:szCs w:val="20"/>
                <w:lang w:val="en-AU"/>
              </w:rPr>
            </w:pPr>
            <w:r w:rsidRPr="00CE285C">
              <w:rPr>
                <w:rFonts w:ascii="Arial" w:hAnsi="Arial" w:cs="Arial"/>
                <w:b/>
                <w:sz w:val="20"/>
                <w:szCs w:val="20"/>
                <w:lang w:val="en-AU"/>
              </w:rPr>
              <w:t>Work-integrated learning supervisor/supervision</w:t>
            </w:r>
          </w:p>
        </w:tc>
        <w:tc>
          <w:tcPr>
            <w:tcW w:w="6468" w:type="dxa"/>
          </w:tcPr>
          <w:p w14:paraId="781971A6" w14:textId="77777777" w:rsidR="00497DD3" w:rsidRPr="006677AC" w:rsidRDefault="00497DD3" w:rsidP="006677AC">
            <w:pPr>
              <w:spacing w:after="240"/>
              <w:rPr>
                <w:rFonts w:ascii="Arial" w:hAnsi="Arial" w:cs="Arial"/>
                <w:color w:val="000000"/>
                <w:sz w:val="20"/>
                <w:szCs w:val="20"/>
                <w:lang w:val="en-AU"/>
              </w:rPr>
            </w:pPr>
            <w:r w:rsidRPr="006677AC">
              <w:rPr>
                <w:rFonts w:ascii="Arial" w:hAnsi="Arial" w:cs="Arial"/>
                <w:color w:val="000000"/>
                <w:sz w:val="20"/>
                <w:szCs w:val="20"/>
                <w:lang w:val="en-AU"/>
              </w:rPr>
              <w:t xml:space="preserve">A work-integrated learning supervisor, also known as a clinical supervisor, is an appropriately qualified and registered professional </w:t>
            </w:r>
            <w:r w:rsidRPr="006677AC">
              <w:rPr>
                <w:rFonts w:ascii="Arial" w:hAnsi="Arial" w:cs="Arial"/>
                <w:color w:val="000000"/>
                <w:sz w:val="20"/>
                <w:szCs w:val="20"/>
                <w:lang w:val="en-AU"/>
              </w:rPr>
              <w:lastRenderedPageBreak/>
              <w:t>who guides learners’ education and training during work-integrated learning. The supervisor’s role may encompass educational, support and organisational functions. The supervisor is key in ensuring safe, appropriate and high-quality patient care is delivered by the student.</w:t>
            </w:r>
          </w:p>
          <w:p w14:paraId="07996904" w14:textId="25454FDD" w:rsidR="00497DD3" w:rsidRPr="006677AC" w:rsidRDefault="00497DD3" w:rsidP="006677AC">
            <w:pPr>
              <w:spacing w:after="240"/>
              <w:rPr>
                <w:rFonts w:ascii="Arial" w:hAnsi="Arial" w:cs="Arial"/>
                <w:color w:val="000000"/>
                <w:sz w:val="20"/>
                <w:szCs w:val="20"/>
                <w:lang w:val="en-AU"/>
              </w:rPr>
            </w:pPr>
            <w:r w:rsidRPr="006677AC">
              <w:rPr>
                <w:rFonts w:ascii="Arial" w:hAnsi="Arial" w:cs="Arial"/>
                <w:color w:val="000000"/>
                <w:sz w:val="20"/>
                <w:szCs w:val="20"/>
                <w:lang w:val="en-AU"/>
              </w:rPr>
              <w:t>Work-integrated learning supervision is a mechanism used by the education provider and workplace to assure the student is practising safely, competently and ethically. It involves oversight – either direct or indirect – by an appropriately qualified and registered supervisor(s) to guide, provide feedback on, and assess personal, professional and educational development in the context of each learner’s experience of providing safe, appropriate and high-quality patient care. Work-integrated learning supervision may be direct, indirect or remote according to the context in which the student’s learning is being supervised.</w:t>
            </w:r>
          </w:p>
        </w:tc>
      </w:tr>
      <w:bookmarkEnd w:id="49"/>
    </w:tbl>
    <w:p w14:paraId="7C228827" w14:textId="77777777" w:rsidR="002A24E3" w:rsidRPr="004653E7" w:rsidRDefault="002A24E3" w:rsidP="002A24E3">
      <w:pPr>
        <w:rPr>
          <w:rFonts w:ascii="Arial" w:eastAsia="Cambria" w:hAnsi="Arial" w:cs="Arial"/>
          <w:color w:val="548DD4" w:themeColor="text2" w:themeTint="99"/>
          <w:sz w:val="20"/>
          <w:szCs w:val="20"/>
        </w:rPr>
      </w:pPr>
    </w:p>
    <w:p w14:paraId="7245C1A7" w14:textId="77777777" w:rsidR="005F5523" w:rsidRDefault="005F5523">
      <w:pPr>
        <w:spacing w:after="200" w:line="276" w:lineRule="auto"/>
        <w:rPr>
          <w:rFonts w:ascii="Arial" w:eastAsia="Cambria" w:hAnsi="Arial" w:cs="Arial"/>
          <w:color w:val="5F6062"/>
          <w:sz w:val="28"/>
          <w:szCs w:val="28"/>
        </w:rPr>
      </w:pPr>
      <w:bookmarkStart w:id="53" w:name="_Toc430593694"/>
      <w:r>
        <w:rPr>
          <w:rFonts w:ascii="Arial" w:eastAsia="Cambria" w:hAnsi="Arial" w:cs="Arial"/>
          <w:color w:val="5F6062"/>
          <w:sz w:val="28"/>
          <w:szCs w:val="28"/>
        </w:rPr>
        <w:br w:type="page"/>
      </w:r>
    </w:p>
    <w:p w14:paraId="283548F5" w14:textId="7AD2564D" w:rsidR="002A24E3" w:rsidRPr="004653E7" w:rsidRDefault="002A24E3" w:rsidP="002838B3">
      <w:pPr>
        <w:pStyle w:val="AHPRADocumentsubheading"/>
      </w:pPr>
      <w:bookmarkStart w:id="54" w:name="_Toc55994922"/>
      <w:r w:rsidRPr="004653E7">
        <w:lastRenderedPageBreak/>
        <w:t>List of acronyms</w:t>
      </w:r>
      <w:bookmarkEnd w:id="53"/>
      <w:bookmarkEnd w:id="54"/>
    </w:p>
    <w:tbl>
      <w:tblPr>
        <w:tblStyle w:val="TableGrid"/>
        <w:tblW w:w="0" w:type="auto"/>
        <w:tblLook w:val="04A0" w:firstRow="1" w:lastRow="0" w:firstColumn="1" w:lastColumn="0" w:noHBand="0" w:noVBand="1"/>
      </w:tblPr>
      <w:tblGrid>
        <w:gridCol w:w="1951"/>
        <w:gridCol w:w="7371"/>
      </w:tblGrid>
      <w:tr w:rsidR="00C67BAD" w:rsidRPr="004653E7" w14:paraId="3F753752" w14:textId="77777777" w:rsidTr="00624DC5">
        <w:tc>
          <w:tcPr>
            <w:tcW w:w="1951" w:type="dxa"/>
          </w:tcPr>
          <w:p w14:paraId="7316DB7B" w14:textId="395F4FE6" w:rsidR="00C67BAD" w:rsidRPr="00866076" w:rsidRDefault="00C67BAD" w:rsidP="00C67BAD">
            <w:pPr>
              <w:spacing w:before="120" w:after="120"/>
              <w:rPr>
                <w:rFonts w:ascii="Arial" w:hAnsi="Arial" w:cs="Arial"/>
                <w:sz w:val="20"/>
                <w:szCs w:val="20"/>
                <w:lang w:val="en-AU"/>
              </w:rPr>
            </w:pPr>
            <w:r w:rsidRPr="0036539A">
              <w:rPr>
                <w:rFonts w:ascii="Arial" w:hAnsi="Arial" w:cs="Arial"/>
                <w:sz w:val="20"/>
                <w:szCs w:val="20"/>
              </w:rPr>
              <w:t>A</w:t>
            </w:r>
            <w:r w:rsidR="005F5523">
              <w:rPr>
                <w:rFonts w:ascii="Arial" w:hAnsi="Arial" w:cs="Arial"/>
                <w:sz w:val="20"/>
                <w:szCs w:val="20"/>
              </w:rPr>
              <w:t>hpra</w:t>
            </w:r>
          </w:p>
        </w:tc>
        <w:tc>
          <w:tcPr>
            <w:tcW w:w="7371" w:type="dxa"/>
          </w:tcPr>
          <w:p w14:paraId="4EEEEFE0" w14:textId="77777777" w:rsidR="00C67BAD" w:rsidRPr="00866076" w:rsidRDefault="00C67BAD" w:rsidP="00C67BAD">
            <w:pPr>
              <w:spacing w:before="120" w:after="120"/>
              <w:rPr>
                <w:rFonts w:ascii="Arial" w:hAnsi="Arial" w:cs="Arial"/>
                <w:sz w:val="20"/>
                <w:szCs w:val="20"/>
                <w:lang w:val="en-AU"/>
              </w:rPr>
            </w:pPr>
            <w:r w:rsidRPr="0036539A">
              <w:rPr>
                <w:rFonts w:ascii="Arial" w:hAnsi="Arial" w:cs="Arial"/>
                <w:sz w:val="20"/>
                <w:szCs w:val="20"/>
              </w:rPr>
              <w:t>Australian Health Practitioner Regulation Agency</w:t>
            </w:r>
          </w:p>
        </w:tc>
      </w:tr>
      <w:tr w:rsidR="00C67BAD" w:rsidRPr="004653E7" w14:paraId="57FA9805" w14:textId="77777777" w:rsidTr="00624DC5">
        <w:tc>
          <w:tcPr>
            <w:tcW w:w="1951" w:type="dxa"/>
          </w:tcPr>
          <w:p w14:paraId="0ED8218E" w14:textId="77777777" w:rsidR="00C67BAD" w:rsidRPr="004653E7" w:rsidRDefault="00C67BAD" w:rsidP="00C67BAD">
            <w:pPr>
              <w:spacing w:before="120" w:after="120"/>
              <w:rPr>
                <w:rFonts w:ascii="Arial" w:hAnsi="Arial" w:cs="Arial"/>
                <w:sz w:val="20"/>
                <w:szCs w:val="20"/>
                <w:lang w:val="en-AU"/>
              </w:rPr>
            </w:pPr>
            <w:r w:rsidRPr="004653E7">
              <w:rPr>
                <w:rFonts w:ascii="Arial" w:hAnsi="Arial" w:cs="Arial"/>
                <w:sz w:val="20"/>
                <w:szCs w:val="20"/>
                <w:lang w:val="en-AU"/>
              </w:rPr>
              <w:t>AQF</w:t>
            </w:r>
          </w:p>
        </w:tc>
        <w:tc>
          <w:tcPr>
            <w:tcW w:w="7371" w:type="dxa"/>
          </w:tcPr>
          <w:p w14:paraId="148BF31F" w14:textId="77777777" w:rsidR="00C67BAD" w:rsidRPr="004653E7" w:rsidRDefault="00C67BAD" w:rsidP="00C67BAD">
            <w:pPr>
              <w:spacing w:before="120" w:after="120"/>
              <w:rPr>
                <w:rFonts w:ascii="Arial" w:hAnsi="Arial" w:cs="Arial"/>
                <w:sz w:val="20"/>
                <w:szCs w:val="20"/>
                <w:lang w:val="en-AU"/>
              </w:rPr>
            </w:pPr>
            <w:r w:rsidRPr="004653E7">
              <w:rPr>
                <w:rFonts w:ascii="Arial" w:hAnsi="Arial" w:cs="Arial"/>
                <w:sz w:val="20"/>
                <w:szCs w:val="20"/>
                <w:lang w:val="en-AU"/>
              </w:rPr>
              <w:t>Australian Qualifications Framework</w:t>
            </w:r>
          </w:p>
        </w:tc>
      </w:tr>
      <w:tr w:rsidR="007C663C" w:rsidRPr="004653E7" w14:paraId="0D2C89E7" w14:textId="77777777" w:rsidTr="00624DC5">
        <w:tc>
          <w:tcPr>
            <w:tcW w:w="1951" w:type="dxa"/>
          </w:tcPr>
          <w:p w14:paraId="5C485808" w14:textId="77777777" w:rsidR="007C663C" w:rsidRPr="004653E7" w:rsidRDefault="007C663C" w:rsidP="007C663C">
            <w:pPr>
              <w:spacing w:before="120" w:after="120"/>
              <w:rPr>
                <w:rFonts w:ascii="Arial" w:hAnsi="Arial" w:cs="Arial"/>
                <w:sz w:val="20"/>
                <w:szCs w:val="20"/>
                <w:lang w:val="en-AU"/>
              </w:rPr>
            </w:pPr>
            <w:r w:rsidRPr="0036539A">
              <w:rPr>
                <w:rFonts w:ascii="Arial" w:hAnsi="Arial" w:cs="Arial"/>
                <w:sz w:val="20"/>
                <w:szCs w:val="20"/>
              </w:rPr>
              <w:t xml:space="preserve">HES </w:t>
            </w:r>
          </w:p>
        </w:tc>
        <w:tc>
          <w:tcPr>
            <w:tcW w:w="7371" w:type="dxa"/>
          </w:tcPr>
          <w:p w14:paraId="5E66147B" w14:textId="77777777" w:rsidR="007C663C" w:rsidRPr="004653E7" w:rsidRDefault="007C663C" w:rsidP="007C663C">
            <w:pPr>
              <w:spacing w:before="120" w:after="120"/>
              <w:rPr>
                <w:rFonts w:ascii="Arial" w:hAnsi="Arial" w:cs="Arial"/>
                <w:sz w:val="20"/>
                <w:szCs w:val="20"/>
                <w:lang w:val="en-AU"/>
              </w:rPr>
            </w:pPr>
            <w:r w:rsidRPr="0036539A">
              <w:rPr>
                <w:rFonts w:ascii="Arial" w:hAnsi="Arial" w:cs="Arial"/>
                <w:sz w:val="20"/>
                <w:szCs w:val="20"/>
              </w:rPr>
              <w:t>Higher Education Standards</w:t>
            </w:r>
          </w:p>
        </w:tc>
      </w:tr>
      <w:tr w:rsidR="00C67BAD" w:rsidRPr="004653E7" w14:paraId="0CD7B320" w14:textId="77777777" w:rsidTr="00624DC5">
        <w:tc>
          <w:tcPr>
            <w:tcW w:w="1951" w:type="dxa"/>
          </w:tcPr>
          <w:p w14:paraId="00B326E2" w14:textId="77777777" w:rsidR="00C67BAD" w:rsidRPr="004653E7" w:rsidRDefault="00C67BAD" w:rsidP="00C67BAD">
            <w:pPr>
              <w:spacing w:before="120" w:after="120"/>
              <w:rPr>
                <w:rFonts w:ascii="Arial" w:hAnsi="Arial" w:cs="Arial"/>
                <w:sz w:val="20"/>
                <w:szCs w:val="20"/>
                <w:lang w:val="en-AU"/>
              </w:rPr>
            </w:pPr>
            <w:r w:rsidRPr="004653E7">
              <w:rPr>
                <w:rFonts w:ascii="Arial" w:hAnsi="Arial" w:cs="Arial"/>
                <w:sz w:val="20"/>
                <w:szCs w:val="20"/>
                <w:lang w:val="en-AU"/>
              </w:rPr>
              <w:t>HESP</w:t>
            </w:r>
          </w:p>
        </w:tc>
        <w:tc>
          <w:tcPr>
            <w:tcW w:w="7371" w:type="dxa"/>
          </w:tcPr>
          <w:p w14:paraId="73E755E9" w14:textId="77777777" w:rsidR="00C67BAD" w:rsidRPr="004653E7" w:rsidRDefault="00C67BAD" w:rsidP="00C67BAD">
            <w:pPr>
              <w:spacing w:before="120" w:after="120"/>
              <w:rPr>
                <w:rFonts w:ascii="Arial" w:hAnsi="Arial" w:cs="Arial"/>
                <w:sz w:val="20"/>
                <w:szCs w:val="20"/>
                <w:lang w:val="en-AU"/>
              </w:rPr>
            </w:pPr>
            <w:r w:rsidRPr="004653E7">
              <w:rPr>
                <w:rFonts w:ascii="Arial" w:hAnsi="Arial" w:cs="Arial"/>
                <w:sz w:val="20"/>
                <w:szCs w:val="20"/>
                <w:lang w:val="en-AU"/>
              </w:rPr>
              <w:t>Higher Education Standards Panel</w:t>
            </w:r>
          </w:p>
        </w:tc>
      </w:tr>
      <w:tr w:rsidR="00C67BAD" w:rsidRPr="004653E7" w14:paraId="777FDD38" w14:textId="77777777" w:rsidTr="00624DC5">
        <w:tc>
          <w:tcPr>
            <w:tcW w:w="1951" w:type="dxa"/>
          </w:tcPr>
          <w:p w14:paraId="48789387" w14:textId="77777777" w:rsidR="00C67BAD" w:rsidRPr="004653E7" w:rsidRDefault="00C67BAD" w:rsidP="00C67BAD">
            <w:pPr>
              <w:spacing w:before="120" w:after="120"/>
              <w:rPr>
                <w:rFonts w:ascii="Arial" w:hAnsi="Arial" w:cs="Arial"/>
                <w:sz w:val="20"/>
                <w:szCs w:val="20"/>
                <w:lang w:val="en-AU"/>
              </w:rPr>
            </w:pPr>
            <w:r w:rsidRPr="004653E7">
              <w:rPr>
                <w:rFonts w:ascii="Arial" w:hAnsi="Arial" w:cs="Arial"/>
                <w:sz w:val="20"/>
                <w:szCs w:val="20"/>
                <w:lang w:val="en-AU"/>
              </w:rPr>
              <w:t>TEQSA</w:t>
            </w:r>
          </w:p>
        </w:tc>
        <w:tc>
          <w:tcPr>
            <w:tcW w:w="7371" w:type="dxa"/>
          </w:tcPr>
          <w:p w14:paraId="54C07CC8" w14:textId="77777777" w:rsidR="00C67BAD" w:rsidRPr="004653E7" w:rsidRDefault="00C67BAD" w:rsidP="00C67BAD">
            <w:pPr>
              <w:spacing w:before="120" w:after="120"/>
              <w:rPr>
                <w:rFonts w:ascii="Arial" w:hAnsi="Arial" w:cs="Arial"/>
                <w:sz w:val="20"/>
                <w:szCs w:val="20"/>
                <w:lang w:val="en-AU"/>
              </w:rPr>
            </w:pPr>
            <w:r w:rsidRPr="004653E7">
              <w:rPr>
                <w:rFonts w:ascii="Arial" w:hAnsi="Arial" w:cs="Arial"/>
                <w:sz w:val="20"/>
                <w:szCs w:val="20"/>
                <w:lang w:val="en-AU"/>
              </w:rPr>
              <w:t>Tertiary Education Quality and Standards Agency</w:t>
            </w:r>
          </w:p>
        </w:tc>
      </w:tr>
    </w:tbl>
    <w:p w14:paraId="173909DF" w14:textId="77777777" w:rsidR="002A24E3" w:rsidRPr="004653E7" w:rsidRDefault="002A24E3" w:rsidP="002A24E3"/>
    <w:p w14:paraId="023C7D44" w14:textId="77777777" w:rsidR="0049022D" w:rsidRPr="004653E7" w:rsidRDefault="0049022D"/>
    <w:sectPr w:rsidR="0049022D" w:rsidRPr="004653E7" w:rsidSect="00624DC5">
      <w:footerReference w:type="default" r:id="rId15"/>
      <w:headerReference w:type="first" r:id="rId1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30174" w14:textId="77777777" w:rsidR="006D67FA" w:rsidRDefault="006D67FA" w:rsidP="002A24E3">
      <w:r>
        <w:separator/>
      </w:r>
    </w:p>
  </w:endnote>
  <w:endnote w:type="continuationSeparator" w:id="0">
    <w:p w14:paraId="74C69EC8" w14:textId="77777777" w:rsidR="006D67FA" w:rsidRDefault="006D67FA" w:rsidP="002A2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461464041"/>
      <w:docPartObj>
        <w:docPartGallery w:val="Page Numbers (Bottom of Page)"/>
        <w:docPartUnique/>
      </w:docPartObj>
    </w:sdtPr>
    <w:sdtEndPr>
      <w:rPr>
        <w:noProof/>
      </w:rPr>
    </w:sdtEndPr>
    <w:sdtContent>
      <w:p w14:paraId="185AEF52" w14:textId="2B7A6614" w:rsidR="000C1817" w:rsidRPr="00FD63BF" w:rsidRDefault="000C1817" w:rsidP="00FD63BF">
        <w:pPr>
          <w:pStyle w:val="Footer"/>
          <w:rPr>
            <w:rFonts w:ascii="Arial" w:hAnsi="Arial" w:cs="Arial"/>
          </w:rPr>
        </w:pPr>
        <w:r w:rsidRPr="00FD63BF">
          <w:rPr>
            <w:rFonts w:ascii="Arial" w:hAnsi="Arial" w:cs="Arial"/>
            <w:i/>
            <w:sz w:val="18"/>
          </w:rPr>
          <w:t>Draft proposed accreditation standards for registered podiatrists</w:t>
        </w:r>
        <w:r w:rsidR="00250A62">
          <w:rPr>
            <w:rFonts w:ascii="Arial" w:hAnsi="Arial" w:cs="Arial"/>
            <w:i/>
            <w:sz w:val="18"/>
          </w:rPr>
          <w:t xml:space="preserve"> and podiatric surgeons</w:t>
        </w:r>
        <w:r w:rsidRPr="00FD63BF">
          <w:rPr>
            <w:rFonts w:ascii="Arial" w:hAnsi="Arial" w:cs="Arial"/>
            <w:i/>
            <w:sz w:val="18"/>
          </w:rPr>
          <w:t xml:space="preserve"> addressing requirements for endorsement of registration in relation to scheduled medicines (ESM programs)</w:t>
        </w:r>
        <w:r>
          <w:rPr>
            <w:rFonts w:ascii="Arial" w:hAnsi="Arial" w:cs="Arial"/>
          </w:rPr>
          <w:tab/>
        </w:r>
        <w:r w:rsidRPr="00FD63BF">
          <w:rPr>
            <w:rFonts w:ascii="Arial" w:hAnsi="Arial" w:cs="Arial"/>
          </w:rPr>
          <w:fldChar w:fldCharType="begin"/>
        </w:r>
        <w:r w:rsidRPr="00FD63BF">
          <w:rPr>
            <w:rFonts w:ascii="Arial" w:hAnsi="Arial" w:cs="Arial"/>
          </w:rPr>
          <w:instrText xml:space="preserve"> PAGE   \* MERGEFORMAT </w:instrText>
        </w:r>
        <w:r w:rsidRPr="00FD63BF">
          <w:rPr>
            <w:rFonts w:ascii="Arial" w:hAnsi="Arial" w:cs="Arial"/>
          </w:rPr>
          <w:fldChar w:fldCharType="separate"/>
        </w:r>
        <w:r w:rsidRPr="00FD63BF">
          <w:rPr>
            <w:rFonts w:ascii="Arial" w:hAnsi="Arial" w:cs="Arial"/>
            <w:noProof/>
          </w:rPr>
          <w:t>2</w:t>
        </w:r>
        <w:r w:rsidRPr="00FD63BF">
          <w:rPr>
            <w:rFonts w:ascii="Arial" w:hAnsi="Arial" w:cs="Arial"/>
            <w:noProof/>
          </w:rPr>
          <w:fldChar w:fldCharType="end"/>
        </w:r>
      </w:p>
    </w:sdtContent>
  </w:sdt>
  <w:p w14:paraId="291AF213" w14:textId="77777777" w:rsidR="000C1817" w:rsidRDefault="000C1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D7E99" w14:textId="77777777" w:rsidR="006D67FA" w:rsidRDefault="006D67FA" w:rsidP="002A24E3">
      <w:r>
        <w:separator/>
      </w:r>
    </w:p>
  </w:footnote>
  <w:footnote w:type="continuationSeparator" w:id="0">
    <w:p w14:paraId="7DED0B2D" w14:textId="77777777" w:rsidR="006D67FA" w:rsidRDefault="006D67FA" w:rsidP="002A24E3">
      <w:r>
        <w:continuationSeparator/>
      </w:r>
    </w:p>
  </w:footnote>
  <w:footnote w:id="1">
    <w:p w14:paraId="218AECA1" w14:textId="77777777" w:rsidR="000C1817" w:rsidRPr="00AC3BA9" w:rsidRDefault="000C1817" w:rsidP="00AF43D5">
      <w:pPr>
        <w:pStyle w:val="FootnoteText"/>
        <w:spacing w:after="0"/>
        <w:rPr>
          <w:lang w:val="en-US"/>
        </w:rPr>
      </w:pPr>
      <w:r>
        <w:rPr>
          <w:rStyle w:val="FootnoteReference"/>
        </w:rPr>
        <w:footnoteRef/>
      </w:r>
      <w:r>
        <w:t xml:space="preserve"> </w:t>
      </w:r>
      <w:r w:rsidRPr="004C5E5E">
        <w:rPr>
          <w:sz w:val="16"/>
        </w:rPr>
        <w:t xml:space="preserve">The National podiatry scheduled medicines list is attached to the </w:t>
      </w:r>
      <w:r w:rsidRPr="004C5E5E">
        <w:rPr>
          <w:i/>
          <w:sz w:val="16"/>
        </w:rPr>
        <w:t xml:space="preserve">Registration standard: Endorsement for scheduled medicines </w:t>
      </w:r>
      <w:r w:rsidRPr="004C5E5E">
        <w:rPr>
          <w:sz w:val="16"/>
        </w:rPr>
        <w:t xml:space="preserve">available from </w:t>
      </w:r>
      <w:hyperlink r:id="rId1" w:history="1">
        <w:r w:rsidRPr="004C5E5E">
          <w:rPr>
            <w:rStyle w:val="Hyperlink"/>
            <w:sz w:val="16"/>
          </w:rPr>
          <w:t>https://www.podiatryboard.gov.au/Registration-Standards.aspx</w:t>
        </w:r>
      </w:hyperlink>
      <w:r w:rsidRPr="004C5E5E">
        <w:rPr>
          <w:sz w:val="16"/>
        </w:rPr>
        <w:t>. Accessed on 9 April 2020.</w:t>
      </w:r>
    </w:p>
  </w:footnote>
  <w:footnote w:id="2">
    <w:p w14:paraId="69A49DC0" w14:textId="77777777" w:rsidR="000C1817" w:rsidRDefault="000C1817" w:rsidP="00AF43D5">
      <w:pPr>
        <w:pStyle w:val="FootnoteText"/>
        <w:spacing w:after="0"/>
        <w:rPr>
          <w:sz w:val="16"/>
          <w:lang w:val="en-US"/>
        </w:rPr>
      </w:pPr>
      <w:r>
        <w:rPr>
          <w:rStyle w:val="FootnoteReference"/>
        </w:rPr>
        <w:footnoteRef/>
      </w:r>
      <w:r>
        <w:t xml:space="preserve"> </w:t>
      </w:r>
      <w:r>
        <w:rPr>
          <w:sz w:val="16"/>
          <w:lang w:val="en-US"/>
        </w:rPr>
        <w:t xml:space="preserve">Podiatry Board of Australia, </w:t>
      </w:r>
      <w:r>
        <w:rPr>
          <w:i/>
          <w:sz w:val="16"/>
          <w:lang w:val="en-US"/>
        </w:rPr>
        <w:t>Registration Standard: Endorsement for Scheduled Medicines</w:t>
      </w:r>
      <w:r>
        <w:rPr>
          <w:sz w:val="16"/>
          <w:lang w:val="en-US"/>
        </w:rPr>
        <w:t xml:space="preserve">, 2018 available from </w:t>
      </w:r>
      <w:hyperlink r:id="rId2" w:history="1">
        <w:r w:rsidRPr="00FB4664">
          <w:rPr>
            <w:rStyle w:val="Hyperlink"/>
            <w:sz w:val="16"/>
            <w:lang w:val="en-US"/>
          </w:rPr>
          <w:t>https://www.podiatryboard.gov.au/Registration-Endorsement/Endorsement-Scheduled-Medicines.aspx</w:t>
        </w:r>
      </w:hyperlink>
      <w:r>
        <w:rPr>
          <w:sz w:val="16"/>
          <w:lang w:val="en-US"/>
        </w:rPr>
        <w:t>. Accessed on 9 April 2020.</w:t>
      </w:r>
    </w:p>
    <w:p w14:paraId="6B44B09B" w14:textId="77777777" w:rsidR="000C1817" w:rsidRPr="003D725B" w:rsidRDefault="000C1817" w:rsidP="00AF43D5">
      <w:pPr>
        <w:pStyle w:val="FootnoteText"/>
        <w:spacing w:after="0"/>
        <w:rPr>
          <w:lang w:val="en-US"/>
        </w:rPr>
      </w:pPr>
      <w:r>
        <w:rPr>
          <w:sz w:val="16"/>
          <w:lang w:val="en-US"/>
        </w:rPr>
        <w:t xml:space="preserve">Podiatry Board of Australia, </w:t>
      </w:r>
      <w:r w:rsidRPr="00392BE0">
        <w:rPr>
          <w:i/>
          <w:sz w:val="16"/>
          <w:lang w:val="en-US"/>
        </w:rPr>
        <w:t>Guidelines: Endorsement for Scheduled Medicines</w:t>
      </w:r>
      <w:r>
        <w:rPr>
          <w:sz w:val="16"/>
          <w:lang w:val="en-US"/>
        </w:rPr>
        <w:t xml:space="preserve">, 2018 available from </w:t>
      </w:r>
      <w:hyperlink r:id="rId3" w:history="1">
        <w:r w:rsidRPr="00BC3969">
          <w:rPr>
            <w:rStyle w:val="Hyperlink"/>
            <w:sz w:val="16"/>
            <w:lang w:val="en-US"/>
          </w:rPr>
          <w:t>http://www.podiatryboard.gov.au/documents/default.aspx?record=WD18%2f25232&amp;dbid=AP&amp;chksum=XlIMaKMtApOi%2bgrAlRPUiw%3d%3d</w:t>
        </w:r>
      </w:hyperlink>
      <w:r>
        <w:rPr>
          <w:sz w:val="16"/>
          <w:lang w:val="en-US"/>
        </w:rPr>
        <w:t xml:space="preserve">. Accessed 27 October 2020. </w:t>
      </w:r>
    </w:p>
  </w:footnote>
  <w:footnote w:id="3">
    <w:p w14:paraId="45380CB1" w14:textId="77777777" w:rsidR="000C1817" w:rsidRDefault="000C1817" w:rsidP="00AF43D5">
      <w:pPr>
        <w:pStyle w:val="FootnoteText"/>
        <w:spacing w:after="0"/>
        <w:rPr>
          <w:lang w:val="en-US"/>
        </w:rPr>
      </w:pPr>
      <w:r>
        <w:rPr>
          <w:rStyle w:val="FootnoteReference"/>
        </w:rPr>
        <w:footnoteRef/>
      </w:r>
      <w:r>
        <w:t xml:space="preserve"> </w:t>
      </w:r>
      <w:r>
        <w:rPr>
          <w:sz w:val="16"/>
          <w:lang w:val="en-US"/>
        </w:rPr>
        <w:t xml:space="preserve">Podiatry Board of Australia </w:t>
      </w:r>
      <w:r>
        <w:rPr>
          <w:i/>
          <w:sz w:val="16"/>
          <w:lang w:val="en-US"/>
        </w:rPr>
        <w:t>Registration Standard: Endorsement for Scheduled Medicines</w:t>
      </w:r>
      <w:r>
        <w:rPr>
          <w:sz w:val="16"/>
          <w:lang w:val="en-US"/>
        </w:rPr>
        <w:t xml:space="preserve">, 2018 available from </w:t>
      </w:r>
      <w:hyperlink r:id="rId4" w:history="1">
        <w:r>
          <w:rPr>
            <w:rStyle w:val="Hyperlink"/>
            <w:sz w:val="16"/>
            <w:lang w:val="en-US"/>
          </w:rPr>
          <w:t>https://www.podiatryboard.gov.au/Registration-Endorsement/Endorsement-Scheduled-Medicines.aspx</w:t>
        </w:r>
      </w:hyperlink>
      <w:r>
        <w:rPr>
          <w:sz w:val="16"/>
          <w:lang w:val="en-US"/>
        </w:rPr>
        <w:t xml:space="preserve">. Accessed on 9 April 2020. </w:t>
      </w:r>
    </w:p>
  </w:footnote>
  <w:footnote w:id="4">
    <w:p w14:paraId="124BA8D0" w14:textId="77777777" w:rsidR="000C1817" w:rsidRPr="00BF40A9" w:rsidRDefault="000C1817" w:rsidP="00AF43D5">
      <w:pPr>
        <w:pStyle w:val="FootnoteText"/>
        <w:spacing w:after="0"/>
        <w:rPr>
          <w:lang w:val="en-US"/>
        </w:rPr>
      </w:pPr>
      <w:r>
        <w:rPr>
          <w:rStyle w:val="FootnoteReference"/>
        </w:rPr>
        <w:footnoteRef/>
      </w:r>
      <w:r>
        <w:t xml:space="preserve"> </w:t>
      </w:r>
      <w:r w:rsidRPr="00BF40A9">
        <w:rPr>
          <w:sz w:val="16"/>
          <w:lang w:val="en-US"/>
        </w:rPr>
        <w:t xml:space="preserve">Podiatry Board of Australia, 2018. </w:t>
      </w:r>
      <w:r w:rsidRPr="00BF40A9">
        <w:rPr>
          <w:i/>
          <w:sz w:val="16"/>
          <w:lang w:val="en-US"/>
        </w:rPr>
        <w:t>Guidelines:</w:t>
      </w:r>
      <w:r w:rsidRPr="00BF40A9">
        <w:rPr>
          <w:sz w:val="16"/>
          <w:lang w:val="en-US"/>
        </w:rPr>
        <w:t xml:space="preserve"> </w:t>
      </w:r>
      <w:r w:rsidRPr="00BF40A9">
        <w:rPr>
          <w:i/>
          <w:sz w:val="16"/>
        </w:rPr>
        <w:t>Endorsement for Scheduled Medicines</w:t>
      </w:r>
      <w:r w:rsidRPr="00BF40A9">
        <w:rPr>
          <w:sz w:val="16"/>
        </w:rPr>
        <w:t xml:space="preserve"> and </w:t>
      </w:r>
      <w:r w:rsidRPr="00BF40A9">
        <w:rPr>
          <w:i/>
          <w:sz w:val="16"/>
        </w:rPr>
        <w:t>Registration Standard: Endorsement for Scheduled Medicines</w:t>
      </w:r>
      <w:r w:rsidRPr="00BF40A9">
        <w:rPr>
          <w:sz w:val="16"/>
        </w:rPr>
        <w:t xml:space="preserve"> available from </w:t>
      </w:r>
      <w:hyperlink r:id="rId5" w:history="1">
        <w:r w:rsidRPr="0077739C">
          <w:rPr>
            <w:rStyle w:val="Hyperlink"/>
            <w:sz w:val="16"/>
          </w:rPr>
          <w:t>https://www.podiatryboard.gov.au/Registration-Endorsement/Endorsement-Scheduled-Medicines.aspx</w:t>
        </w:r>
      </w:hyperlink>
      <w:r w:rsidRPr="00BF40A9">
        <w:rPr>
          <w:sz w:val="16"/>
        </w:rPr>
        <w:t xml:space="preserve">, accessed on 12 October 2020. </w:t>
      </w:r>
    </w:p>
  </w:footnote>
  <w:footnote w:id="5">
    <w:p w14:paraId="7B97E41D" w14:textId="77777777" w:rsidR="000C1817" w:rsidRDefault="000C1817" w:rsidP="00AF43D5">
      <w:pPr>
        <w:pStyle w:val="FootnoteText"/>
        <w:spacing w:after="0"/>
        <w:rPr>
          <w:lang w:val="en-US"/>
        </w:rPr>
      </w:pPr>
      <w:r>
        <w:rPr>
          <w:rStyle w:val="FootnoteReference"/>
        </w:rPr>
        <w:footnoteRef/>
      </w:r>
      <w:r>
        <w:t xml:space="preserve"> </w:t>
      </w:r>
      <w:r>
        <w:rPr>
          <w:sz w:val="16"/>
          <w:lang w:val="en-US"/>
        </w:rPr>
        <w:t xml:space="preserve">More information, including two videos about Pathway B to endorsement for scheduled medicines, is available from the Podiatry Board of Australia’s website at </w:t>
      </w:r>
      <w:hyperlink r:id="rId6" w:history="1">
        <w:r>
          <w:rPr>
            <w:rStyle w:val="Hyperlink"/>
            <w:sz w:val="16"/>
            <w:lang w:val="en-US"/>
          </w:rPr>
          <w:t>https://www.podiatryboard.gov.au/Registration-Endorsement/Endorsement-Scheduled-Medicines.aspx</w:t>
        </w:r>
      </w:hyperlink>
      <w:r>
        <w:rPr>
          <w:sz w:val="16"/>
          <w:lang w:val="en-US"/>
        </w:rPr>
        <w:t xml:space="preserve">. Accessed 26 October 2020. </w:t>
      </w:r>
    </w:p>
  </w:footnote>
  <w:footnote w:id="6">
    <w:p w14:paraId="43BE1F50" w14:textId="77777777" w:rsidR="000C1817" w:rsidRPr="00E417D0" w:rsidRDefault="000C1817" w:rsidP="00AF43D5">
      <w:pPr>
        <w:pStyle w:val="FootnoteText"/>
        <w:spacing w:after="0"/>
        <w:rPr>
          <w:rFonts w:cs="Arial"/>
          <w:sz w:val="16"/>
          <w:szCs w:val="16"/>
        </w:rPr>
      </w:pPr>
      <w:r w:rsidRPr="00E417D0">
        <w:rPr>
          <w:rStyle w:val="FootnoteReference"/>
          <w:rFonts w:cs="Arial"/>
          <w:sz w:val="16"/>
          <w:szCs w:val="16"/>
        </w:rPr>
        <w:footnoteRef/>
      </w:r>
      <w:r>
        <w:rPr>
          <w:rFonts w:cs="Arial"/>
          <w:sz w:val="16"/>
          <w:szCs w:val="16"/>
        </w:rPr>
        <w:t xml:space="preserve"> A separate project is being undertaken to review and update the </w:t>
      </w:r>
      <w:r w:rsidRPr="00475851">
        <w:rPr>
          <w:rFonts w:cs="Arial"/>
          <w:i/>
          <w:iCs/>
          <w:sz w:val="16"/>
          <w:szCs w:val="16"/>
        </w:rPr>
        <w:t>Podiatry competency standards for Australia and New Zealand</w:t>
      </w:r>
      <w:r>
        <w:rPr>
          <w:rFonts w:cs="Arial"/>
          <w:sz w:val="16"/>
          <w:szCs w:val="16"/>
        </w:rPr>
        <w:t xml:space="preserve"> </w:t>
      </w:r>
      <w:r w:rsidRPr="00472722">
        <w:rPr>
          <w:rFonts w:cs="Arial"/>
          <w:sz w:val="16"/>
          <w:szCs w:val="16"/>
        </w:rPr>
        <w:t xml:space="preserve">2015. The new </w:t>
      </w:r>
      <w:r w:rsidRPr="00472722">
        <w:rPr>
          <w:rFonts w:cs="Arial"/>
          <w:i/>
          <w:sz w:val="16"/>
          <w:szCs w:val="16"/>
        </w:rPr>
        <w:t>Professional capabilities for podiatrists</w:t>
      </w:r>
      <w:r w:rsidRPr="005A4271">
        <w:rPr>
          <w:rFonts w:cs="Arial"/>
          <w:sz w:val="16"/>
          <w:szCs w:val="16"/>
        </w:rPr>
        <w:t xml:space="preserve"> will reflect the capabilities required</w:t>
      </w:r>
      <w:r w:rsidRPr="002A65F8">
        <w:rPr>
          <w:rFonts w:cs="Arial"/>
          <w:sz w:val="16"/>
          <w:szCs w:val="16"/>
        </w:rPr>
        <w:t xml:space="preserve"> to prescribe medicines safely and effectively, in accordance with the </w:t>
      </w:r>
      <w:r>
        <w:rPr>
          <w:rFonts w:cs="Arial"/>
          <w:sz w:val="16"/>
          <w:szCs w:val="16"/>
        </w:rPr>
        <w:t>N</w:t>
      </w:r>
      <w:r w:rsidRPr="002A65F8">
        <w:rPr>
          <w:rFonts w:cs="Arial"/>
          <w:sz w:val="16"/>
          <w:szCs w:val="16"/>
        </w:rPr>
        <w:t>ational prescribing competencies framework.</w:t>
      </w:r>
    </w:p>
  </w:footnote>
  <w:footnote w:id="7">
    <w:p w14:paraId="549BBCEA" w14:textId="7AA5D289" w:rsidR="000C1817" w:rsidRPr="00E417D0" w:rsidRDefault="000C1817" w:rsidP="004653E7">
      <w:pPr>
        <w:pStyle w:val="FootnoteText"/>
        <w:spacing w:after="0"/>
        <w:rPr>
          <w:rFonts w:cs="Arial"/>
          <w:sz w:val="16"/>
          <w:szCs w:val="16"/>
        </w:rPr>
      </w:pPr>
      <w:r w:rsidRPr="00E417D0">
        <w:rPr>
          <w:rStyle w:val="FootnoteReference"/>
          <w:rFonts w:cs="Arial"/>
          <w:sz w:val="16"/>
          <w:szCs w:val="16"/>
        </w:rPr>
        <w:footnoteRef/>
      </w:r>
      <w:r w:rsidRPr="00E417D0">
        <w:rPr>
          <w:rFonts w:cs="Arial"/>
          <w:sz w:val="16"/>
          <w:szCs w:val="16"/>
        </w:rPr>
        <w:t xml:space="preserve"> For information on the HESP, see </w:t>
      </w:r>
      <w:hyperlink r:id="rId7" w:history="1">
        <w:r w:rsidRPr="00E417D0">
          <w:rPr>
            <w:rStyle w:val="Hyperlink"/>
            <w:rFonts w:cs="Arial"/>
            <w:sz w:val="16"/>
            <w:szCs w:val="16"/>
          </w:rPr>
          <w:t>www.education.gov.au/higher-education-standards-panel-hesp-0</w:t>
        </w:r>
      </w:hyperlink>
      <w:r w:rsidRPr="00F473A3">
        <w:rPr>
          <w:rStyle w:val="Hyperlink"/>
          <w:rFonts w:cs="Arial"/>
          <w:color w:val="auto"/>
          <w:sz w:val="16"/>
          <w:szCs w:val="16"/>
          <w:u w:val="none"/>
        </w:rPr>
        <w:t>. Accessed 15</w:t>
      </w:r>
      <w:r>
        <w:rPr>
          <w:rStyle w:val="Hyperlink"/>
          <w:rFonts w:cs="Arial"/>
          <w:color w:val="auto"/>
          <w:sz w:val="16"/>
          <w:szCs w:val="16"/>
          <w:u w:val="none"/>
        </w:rPr>
        <w:t xml:space="preserve"> January 2020</w:t>
      </w:r>
      <w:r w:rsidRPr="00F473A3">
        <w:rPr>
          <w:rStyle w:val="Hyperlink"/>
          <w:rFonts w:cs="Arial"/>
          <w:color w:val="auto"/>
          <w:sz w:val="16"/>
          <w:szCs w:val="16"/>
          <w:u w:val="none"/>
        </w:rPr>
        <w:t>.</w:t>
      </w:r>
    </w:p>
  </w:footnote>
  <w:footnote w:id="8">
    <w:p w14:paraId="75AB447B" w14:textId="30DDB67A" w:rsidR="000C1817" w:rsidRPr="00E417D0" w:rsidRDefault="000C1817" w:rsidP="004653E7">
      <w:pPr>
        <w:pStyle w:val="FootnoteText"/>
        <w:spacing w:after="0"/>
        <w:rPr>
          <w:rFonts w:cs="Arial"/>
          <w:sz w:val="16"/>
          <w:szCs w:val="16"/>
        </w:rPr>
      </w:pPr>
      <w:r w:rsidRPr="00E417D0">
        <w:rPr>
          <w:rStyle w:val="FootnoteReference"/>
          <w:rFonts w:cs="Arial"/>
          <w:sz w:val="16"/>
          <w:szCs w:val="16"/>
        </w:rPr>
        <w:footnoteRef/>
      </w:r>
      <w:r w:rsidRPr="00E417D0">
        <w:rPr>
          <w:rFonts w:cs="Arial"/>
          <w:sz w:val="16"/>
          <w:szCs w:val="16"/>
        </w:rPr>
        <w:t xml:space="preserve"> For information on TEQSA, see </w:t>
      </w:r>
      <w:hyperlink r:id="rId8" w:history="1">
        <w:r w:rsidRPr="00E417D0">
          <w:rPr>
            <w:rStyle w:val="Hyperlink"/>
            <w:rFonts w:cs="Arial"/>
            <w:sz w:val="16"/>
            <w:szCs w:val="16"/>
          </w:rPr>
          <w:t>www.teqsa.gov.au</w:t>
        </w:r>
      </w:hyperlink>
      <w:r w:rsidRPr="006F3A9B">
        <w:rPr>
          <w:rStyle w:val="Hyperlink"/>
          <w:rFonts w:cs="Arial"/>
          <w:color w:val="auto"/>
          <w:sz w:val="16"/>
          <w:szCs w:val="16"/>
          <w:u w:val="none"/>
        </w:rPr>
        <w:t>.</w:t>
      </w:r>
    </w:p>
  </w:footnote>
  <w:footnote w:id="9">
    <w:p w14:paraId="466F1CF7" w14:textId="35203C9B" w:rsidR="000C1817" w:rsidRPr="00E417D0" w:rsidRDefault="000C1817" w:rsidP="004653E7">
      <w:pPr>
        <w:pStyle w:val="FootnoteText"/>
        <w:spacing w:after="0"/>
        <w:rPr>
          <w:rFonts w:cs="Arial"/>
          <w:sz w:val="16"/>
          <w:szCs w:val="16"/>
        </w:rPr>
      </w:pPr>
      <w:r w:rsidRPr="00E417D0">
        <w:rPr>
          <w:rStyle w:val="FootnoteReference"/>
          <w:rFonts w:cs="Arial"/>
          <w:sz w:val="16"/>
          <w:szCs w:val="16"/>
        </w:rPr>
        <w:footnoteRef/>
      </w:r>
      <w:r w:rsidRPr="00E417D0">
        <w:rPr>
          <w:rFonts w:cs="Arial"/>
          <w:sz w:val="16"/>
          <w:szCs w:val="16"/>
        </w:rPr>
        <w:t xml:space="preserve"> For information on the threshold HES, see</w:t>
      </w:r>
      <w:r w:rsidRPr="00E417D0">
        <w:rPr>
          <w:rFonts w:cs="Arial"/>
          <w:i/>
          <w:sz w:val="16"/>
          <w:szCs w:val="16"/>
        </w:rPr>
        <w:t xml:space="preserve"> </w:t>
      </w:r>
      <w:hyperlink r:id="rId9" w:history="1">
        <w:r w:rsidRPr="00E417D0">
          <w:rPr>
            <w:rStyle w:val="Hyperlink"/>
            <w:rFonts w:cs="Arial"/>
            <w:sz w:val="16"/>
            <w:szCs w:val="16"/>
          </w:rPr>
          <w:t>www.legislation.gov.au/Details/F2015L01639</w:t>
        </w:r>
      </w:hyperlink>
      <w:r w:rsidRPr="00F473A3">
        <w:rPr>
          <w:rStyle w:val="Hyperlink"/>
          <w:rFonts w:cs="Arial"/>
          <w:color w:val="auto"/>
          <w:sz w:val="16"/>
          <w:szCs w:val="16"/>
          <w:u w:val="none"/>
        </w:rPr>
        <w:t xml:space="preserve">. Accessed 15 </w:t>
      </w:r>
      <w:r>
        <w:rPr>
          <w:rStyle w:val="Hyperlink"/>
          <w:rFonts w:cs="Arial"/>
          <w:color w:val="auto"/>
          <w:sz w:val="16"/>
          <w:szCs w:val="16"/>
          <w:u w:val="none"/>
        </w:rPr>
        <w:t>January</w:t>
      </w:r>
      <w:r w:rsidRPr="00F473A3">
        <w:rPr>
          <w:rStyle w:val="Hyperlink"/>
          <w:rFonts w:cs="Arial"/>
          <w:color w:val="auto"/>
          <w:sz w:val="16"/>
          <w:szCs w:val="16"/>
          <w:u w:val="none"/>
        </w:rPr>
        <w:t xml:space="preserve"> 20</w:t>
      </w:r>
      <w:r>
        <w:rPr>
          <w:rStyle w:val="Hyperlink"/>
          <w:rFonts w:cs="Arial"/>
          <w:color w:val="auto"/>
          <w:sz w:val="16"/>
          <w:szCs w:val="16"/>
          <w:u w:val="none"/>
        </w:rPr>
        <w:t>20</w:t>
      </w:r>
      <w:r w:rsidRPr="00F473A3">
        <w:rPr>
          <w:rStyle w:val="Hyperlink"/>
          <w:rFonts w:cs="Arial"/>
          <w:color w:val="auto"/>
          <w:sz w:val="16"/>
          <w:szCs w:val="16"/>
          <w:u w:val="none"/>
        </w:rPr>
        <w:t>.</w:t>
      </w:r>
    </w:p>
  </w:footnote>
  <w:footnote w:id="10">
    <w:p w14:paraId="067DE553" w14:textId="77AB0382" w:rsidR="000C1817" w:rsidRPr="00D57483" w:rsidRDefault="000C1817" w:rsidP="00055CAE">
      <w:pPr>
        <w:pStyle w:val="FootnoteText"/>
        <w:rPr>
          <w:sz w:val="16"/>
        </w:rPr>
      </w:pPr>
      <w:r>
        <w:rPr>
          <w:rStyle w:val="FootnoteReference"/>
        </w:rPr>
        <w:footnoteRef/>
      </w:r>
      <w:r>
        <w:t xml:space="preserve"> </w:t>
      </w:r>
      <w:r w:rsidRPr="00D57483">
        <w:rPr>
          <w:sz w:val="16"/>
        </w:rPr>
        <w:t xml:space="preserve">Guidelines </w:t>
      </w:r>
      <w:r>
        <w:rPr>
          <w:sz w:val="16"/>
        </w:rPr>
        <w:t xml:space="preserve">issued by the </w:t>
      </w:r>
      <w:r w:rsidRPr="00D57483">
        <w:rPr>
          <w:sz w:val="16"/>
        </w:rPr>
        <w:t>Podiatry Board</w:t>
      </w:r>
      <w:r>
        <w:rPr>
          <w:sz w:val="16"/>
        </w:rPr>
        <w:t xml:space="preserve"> of Australia </w:t>
      </w:r>
      <w:r w:rsidRPr="00D57483">
        <w:rPr>
          <w:sz w:val="16"/>
        </w:rPr>
        <w:t xml:space="preserve">relevant to safe practice </w:t>
      </w:r>
      <w:r>
        <w:rPr>
          <w:sz w:val="16"/>
        </w:rPr>
        <w:t xml:space="preserve">in ESM </w:t>
      </w:r>
      <w:r w:rsidRPr="00D57483">
        <w:rPr>
          <w:sz w:val="16"/>
        </w:rPr>
        <w:t>include, but may not be limited to:</w:t>
      </w:r>
      <w:r>
        <w:rPr>
          <w:sz w:val="16"/>
        </w:rPr>
        <w:t xml:space="preserve"> </w:t>
      </w:r>
      <w:r w:rsidRPr="00D57483">
        <w:rPr>
          <w:sz w:val="16"/>
        </w:rPr>
        <w:t xml:space="preserve">Podiatry Board of Australia </w:t>
      </w:r>
      <w:r>
        <w:rPr>
          <w:i/>
          <w:sz w:val="16"/>
        </w:rPr>
        <w:t xml:space="preserve">Guidelines for Endorsed Scheduled Medicines </w:t>
      </w:r>
      <w:r>
        <w:rPr>
          <w:sz w:val="16"/>
        </w:rPr>
        <w:t xml:space="preserve">(2018); </w:t>
      </w:r>
      <w:r w:rsidRPr="00D57483">
        <w:rPr>
          <w:sz w:val="16"/>
        </w:rPr>
        <w:t xml:space="preserve">Podiatry Board of Australia </w:t>
      </w:r>
      <w:r w:rsidRPr="00D57483">
        <w:rPr>
          <w:i/>
          <w:sz w:val="16"/>
        </w:rPr>
        <w:t>Code of Conduct for Health Practitioners</w:t>
      </w:r>
      <w:r w:rsidRPr="00D57483">
        <w:rPr>
          <w:sz w:val="16"/>
        </w:rPr>
        <w:t xml:space="preserve"> (2014)</w:t>
      </w:r>
      <w:r>
        <w:rPr>
          <w:sz w:val="16"/>
        </w:rPr>
        <w:t xml:space="preserve">; National Boards </w:t>
      </w:r>
      <w:r w:rsidRPr="00D57483">
        <w:rPr>
          <w:i/>
          <w:sz w:val="16"/>
        </w:rPr>
        <w:t>Guidelines for Mandatory Notifications</w:t>
      </w:r>
      <w:r w:rsidRPr="00D57483">
        <w:rPr>
          <w:sz w:val="16"/>
        </w:rPr>
        <w:t xml:space="preserve"> (2014)</w:t>
      </w:r>
      <w:r>
        <w:rPr>
          <w:sz w:val="16"/>
        </w:rPr>
        <w:t xml:space="preserve">; </w:t>
      </w:r>
      <w:r w:rsidRPr="00A70743">
        <w:rPr>
          <w:sz w:val="16"/>
        </w:rPr>
        <w:t xml:space="preserve">Podiatry Board of Australia </w:t>
      </w:r>
      <w:r w:rsidRPr="00D57483">
        <w:rPr>
          <w:i/>
          <w:sz w:val="16"/>
        </w:rPr>
        <w:t>Guidelines for infection prevention and control</w:t>
      </w:r>
      <w:r w:rsidRPr="00A70743">
        <w:rPr>
          <w:sz w:val="16"/>
        </w:rPr>
        <w:t xml:space="preserve"> (2016)</w:t>
      </w:r>
      <w:r>
        <w:rPr>
          <w:sz w:val="16"/>
        </w:rPr>
        <w:t xml:space="preserve">; </w:t>
      </w:r>
      <w:r w:rsidRPr="00287D21">
        <w:rPr>
          <w:sz w:val="16"/>
        </w:rPr>
        <w:t xml:space="preserve">Podiatry Board of Australia </w:t>
      </w:r>
      <w:r w:rsidRPr="00D57483">
        <w:rPr>
          <w:i/>
          <w:sz w:val="16"/>
        </w:rPr>
        <w:t>Guidelines for supervision of podiatrists</w:t>
      </w:r>
      <w:r w:rsidRPr="00287D21">
        <w:rPr>
          <w:sz w:val="16"/>
        </w:rPr>
        <w:t xml:space="preserve"> (2012)</w:t>
      </w:r>
      <w:r>
        <w:rPr>
          <w:sz w:val="16"/>
        </w:rPr>
        <w:t xml:space="preserve">; </w:t>
      </w:r>
      <w:r w:rsidRPr="00D57483">
        <w:rPr>
          <w:sz w:val="16"/>
        </w:rPr>
        <w:t xml:space="preserve">Podiatry Board of Australia </w:t>
      </w:r>
      <w:r w:rsidRPr="00D57483">
        <w:rPr>
          <w:i/>
          <w:sz w:val="16"/>
        </w:rPr>
        <w:t>Podiatry guidelines for podiatrists with blood-borne infections</w:t>
      </w:r>
      <w:r w:rsidRPr="00D57483">
        <w:rPr>
          <w:sz w:val="16"/>
        </w:rPr>
        <w:t xml:space="preserve"> (2010)</w:t>
      </w:r>
      <w:r>
        <w:rPr>
          <w:sz w:val="16"/>
        </w:rPr>
        <w:t xml:space="preserve">. The Board’s policies, codes and guidelines are available from https://www.podiatryboard.gov.au/Policies-Codes-Guidelines.aspx. </w:t>
      </w:r>
      <w:r w:rsidRPr="00D57483">
        <w:rPr>
          <w:sz w:val="16"/>
        </w:rPr>
        <w:t xml:space="preserve"> </w:t>
      </w:r>
    </w:p>
  </w:footnote>
  <w:footnote w:id="11">
    <w:p w14:paraId="2931E6E5" w14:textId="670C6A0C" w:rsidR="000C1817" w:rsidRDefault="000C1817" w:rsidP="005A4271">
      <w:r>
        <w:rPr>
          <w:rStyle w:val="FootnoteReference"/>
        </w:rPr>
        <w:footnoteRef/>
      </w:r>
      <w:r>
        <w:t xml:space="preserve"> </w:t>
      </w:r>
      <w:r w:rsidRPr="00D1622A">
        <w:rPr>
          <w:rFonts w:ascii="Arial" w:hAnsi="Arial" w:cs="Arial"/>
          <w:sz w:val="16"/>
          <w:lang w:val="en-US"/>
        </w:rPr>
        <w:t xml:space="preserve">Tertiary Education Quality and Standards Agency (TEQSA) </w:t>
      </w:r>
      <w:r w:rsidRPr="00D1622A">
        <w:rPr>
          <w:rFonts w:ascii="Arial" w:hAnsi="Arial" w:cs="Arial"/>
          <w:i/>
          <w:sz w:val="16"/>
          <w:lang w:val="en-US"/>
        </w:rPr>
        <w:t>Guidance Note: Work Integrated Learning</w:t>
      </w:r>
      <w:r w:rsidRPr="00D1622A">
        <w:rPr>
          <w:rFonts w:ascii="Arial" w:hAnsi="Arial" w:cs="Arial"/>
          <w:sz w:val="16"/>
          <w:lang w:val="en-US"/>
        </w:rPr>
        <w:t xml:space="preserve"> Version 1.2 11 October 2017. Available from </w:t>
      </w:r>
      <w:hyperlink r:id="rId10" w:history="1">
        <w:r w:rsidRPr="00D1622A">
          <w:rPr>
            <w:rStyle w:val="Hyperlink"/>
            <w:rFonts w:ascii="Arial" w:hAnsi="Arial" w:cs="Arial"/>
            <w:sz w:val="16"/>
            <w:lang w:val="en-US"/>
          </w:rPr>
          <w:t>https://www.teqsa.gov.au/latest-news/publications/guidance-note-work-integrated-learning</w:t>
        </w:r>
      </w:hyperlink>
      <w:r w:rsidRPr="00D1622A">
        <w:rPr>
          <w:rFonts w:ascii="Arial" w:hAnsi="Arial" w:cs="Arial"/>
          <w:sz w:val="16"/>
          <w:lang w:val="en-US"/>
        </w:rPr>
        <w:t xml:space="preserve"> Accessed on 24 February 2020.</w:t>
      </w:r>
    </w:p>
  </w:footnote>
  <w:footnote w:id="12">
    <w:p w14:paraId="1E7ADABF" w14:textId="2A2EC355" w:rsidR="000C1817" w:rsidRPr="00426096" w:rsidRDefault="000C1817" w:rsidP="004653E7">
      <w:pPr>
        <w:pStyle w:val="FootnoteText"/>
        <w:spacing w:after="0"/>
        <w:rPr>
          <w:rFonts w:cs="Arial"/>
          <w:sz w:val="16"/>
          <w:szCs w:val="16"/>
        </w:rPr>
      </w:pPr>
      <w:r w:rsidRPr="00E417D0">
        <w:rPr>
          <w:rStyle w:val="FootnoteReference"/>
          <w:rFonts w:cs="Arial"/>
          <w:sz w:val="16"/>
          <w:szCs w:val="16"/>
        </w:rPr>
        <w:footnoteRef/>
      </w:r>
      <w:r w:rsidRPr="00E417D0">
        <w:rPr>
          <w:rFonts w:cs="Arial"/>
          <w:sz w:val="16"/>
          <w:szCs w:val="16"/>
        </w:rPr>
        <w:t xml:space="preserve"> </w:t>
      </w:r>
      <w:bookmarkStart w:id="19" w:name="_Hlk1117214"/>
      <w:bookmarkStart w:id="20" w:name="_Hlk3366883"/>
      <w:r>
        <w:rPr>
          <w:sz w:val="16"/>
          <w:szCs w:val="16"/>
        </w:rPr>
        <w:t xml:space="preserve">Approved accrediting agencies contact details </w:t>
      </w:r>
      <w:bookmarkEnd w:id="19"/>
      <w:r w:rsidRPr="004C6C37">
        <w:rPr>
          <w:rFonts w:cs="Arial"/>
          <w:sz w:val="16"/>
          <w:szCs w:val="16"/>
        </w:rPr>
        <w:fldChar w:fldCharType="begin"/>
      </w:r>
      <w:r w:rsidRPr="004C6C37">
        <w:rPr>
          <w:rFonts w:cs="Arial"/>
          <w:sz w:val="16"/>
          <w:szCs w:val="16"/>
        </w:rPr>
        <w:instrText xml:space="preserve"> HYPERLINK "https://www.safetyandquality.gov.au/standards/nsqhs-standards/assessment-nsqhs-standards/approved-accrediting-agencies-contact-details" </w:instrText>
      </w:r>
      <w:r w:rsidRPr="004C6C37">
        <w:rPr>
          <w:rFonts w:cs="Arial"/>
          <w:sz w:val="16"/>
          <w:szCs w:val="16"/>
        </w:rPr>
        <w:fldChar w:fldCharType="separate"/>
      </w:r>
      <w:r w:rsidRPr="004C6C37">
        <w:rPr>
          <w:rStyle w:val="Hyperlink"/>
          <w:rFonts w:cs="Arial"/>
          <w:sz w:val="16"/>
          <w:szCs w:val="16"/>
        </w:rPr>
        <w:t>https://www.safetyandquality.gov.au/standards/nsqhs-standards/assessment-nsqhs-standards/approved-accrediting-agencies-contact-details</w:t>
      </w:r>
      <w:r w:rsidRPr="004C6C37">
        <w:rPr>
          <w:rFonts w:cs="Arial"/>
          <w:sz w:val="16"/>
          <w:szCs w:val="16"/>
        </w:rPr>
        <w:fldChar w:fldCharType="end"/>
      </w:r>
      <w:r>
        <w:rPr>
          <w:rFonts w:cs="Arial"/>
          <w:sz w:val="16"/>
          <w:szCs w:val="16"/>
        </w:rPr>
        <w:t>. Accessed 15 January 2020</w:t>
      </w:r>
      <w:hyperlink w:history="1"/>
      <w:r w:rsidRPr="00426096">
        <w:rPr>
          <w:rStyle w:val="Hyperlink"/>
          <w:rFonts w:eastAsia="Times New Roman" w:cs="Arial"/>
          <w:color w:val="auto"/>
          <w:sz w:val="16"/>
          <w:szCs w:val="16"/>
          <w:u w:val="none"/>
        </w:rPr>
        <w:t>.</w:t>
      </w:r>
      <w:bookmarkEnd w:id="20"/>
    </w:p>
  </w:footnote>
  <w:footnote w:id="13">
    <w:p w14:paraId="5C60BF01" w14:textId="77777777" w:rsidR="000C1817" w:rsidRPr="00E417D0" w:rsidRDefault="000C1817" w:rsidP="00145FD5">
      <w:pPr>
        <w:pStyle w:val="FootnoteText"/>
        <w:spacing w:after="0"/>
        <w:rPr>
          <w:rFonts w:cs="Arial"/>
          <w:sz w:val="16"/>
          <w:szCs w:val="16"/>
        </w:rPr>
      </w:pPr>
      <w:r w:rsidRPr="00E417D0">
        <w:rPr>
          <w:rStyle w:val="FootnoteReference"/>
          <w:rFonts w:cs="Arial"/>
          <w:sz w:val="16"/>
          <w:szCs w:val="16"/>
        </w:rPr>
        <w:footnoteRef/>
      </w:r>
      <w:r w:rsidRPr="00E417D0">
        <w:rPr>
          <w:rFonts w:cs="Arial"/>
          <w:sz w:val="16"/>
          <w:szCs w:val="16"/>
        </w:rPr>
        <w:t xml:space="preserve"> </w:t>
      </w:r>
      <w:r>
        <w:rPr>
          <w:rFonts w:cs="Arial"/>
          <w:sz w:val="16"/>
          <w:szCs w:val="16"/>
        </w:rPr>
        <w:t>Podiatry</w:t>
      </w:r>
      <w:r w:rsidRPr="00E417D0">
        <w:rPr>
          <w:rFonts w:cs="Arial"/>
          <w:sz w:val="16"/>
          <w:szCs w:val="16"/>
        </w:rPr>
        <w:t xml:space="preserve"> Board of Australia </w:t>
      </w:r>
      <w:r w:rsidRPr="00E417D0">
        <w:rPr>
          <w:rFonts w:cs="Arial"/>
          <w:i/>
          <w:sz w:val="16"/>
          <w:szCs w:val="16"/>
        </w:rPr>
        <w:t>Code of conduct,</w:t>
      </w:r>
      <w:r w:rsidRPr="00E417D0">
        <w:rPr>
          <w:rFonts w:cs="Arial"/>
          <w:sz w:val="16"/>
          <w:szCs w:val="16"/>
        </w:rPr>
        <w:t xml:space="preserve"> 2014</w:t>
      </w:r>
      <w:r>
        <w:rPr>
          <w:rFonts w:cs="Arial"/>
          <w:sz w:val="16"/>
          <w:szCs w:val="16"/>
        </w:rPr>
        <w:t xml:space="preserve">, see </w:t>
      </w:r>
      <w:hyperlink r:id="rId11" w:history="1">
        <w:r w:rsidRPr="00490B36">
          <w:rPr>
            <w:rStyle w:val="Hyperlink"/>
            <w:rFonts w:eastAsiaTheme="majorEastAsia" w:cs="Arial"/>
            <w:sz w:val="16"/>
            <w:szCs w:val="16"/>
          </w:rPr>
          <w:t>https://www.podiatryboard.gov.au/Policies-Codes-Guidelines/Code-of-conduct.aspx</w:t>
        </w:r>
      </w:hyperlink>
      <w:r>
        <w:rPr>
          <w:rFonts w:eastAsiaTheme="majorEastAsia" w:cs="Arial"/>
          <w:sz w:val="16"/>
          <w:szCs w:val="16"/>
        </w:rPr>
        <w:t>. Accessed 15 January 2020</w:t>
      </w:r>
      <w:r>
        <w:rPr>
          <w:rStyle w:val="Hyperlink"/>
          <w:rFonts w:eastAsiaTheme="majorEastAsia" w:cs="Arial"/>
          <w:color w:val="auto"/>
          <w:sz w:val="16"/>
          <w:szCs w:val="16"/>
          <w:u w:val="none"/>
        </w:rPr>
        <w:t>.</w:t>
      </w:r>
    </w:p>
  </w:footnote>
  <w:footnote w:id="14">
    <w:p w14:paraId="78B011BA" w14:textId="781FFF13" w:rsidR="000C1817" w:rsidRPr="00B253B0" w:rsidRDefault="000C1817" w:rsidP="0032308F">
      <w:pPr>
        <w:pStyle w:val="FootnoteText"/>
        <w:spacing w:after="0"/>
      </w:pPr>
      <w:r w:rsidRPr="00B253B0">
        <w:rPr>
          <w:rStyle w:val="FootnoteReference"/>
        </w:rPr>
        <w:footnoteRef/>
      </w:r>
      <w:r w:rsidRPr="00B253B0">
        <w:t xml:space="preserve"> </w:t>
      </w:r>
      <w:r w:rsidRPr="00B253B0">
        <w:rPr>
          <w:sz w:val="16"/>
          <w:szCs w:val="16"/>
        </w:rPr>
        <w:t xml:space="preserve">‘Reconciliation Action Plans’, see </w:t>
      </w:r>
      <w:hyperlink r:id="rId12" w:history="1">
        <w:r w:rsidRPr="00B253B0">
          <w:rPr>
            <w:rStyle w:val="Hyperlink"/>
            <w:sz w:val="16"/>
            <w:szCs w:val="16"/>
          </w:rPr>
          <w:t>www.reconciliation.org.au/reconciliation-action-plans/</w:t>
        </w:r>
      </w:hyperlink>
      <w:r w:rsidRPr="00B253B0">
        <w:rPr>
          <w:sz w:val="16"/>
          <w:szCs w:val="16"/>
        </w:rPr>
        <w:t>. Accessed 1</w:t>
      </w:r>
      <w:r>
        <w:rPr>
          <w:sz w:val="16"/>
          <w:szCs w:val="16"/>
        </w:rPr>
        <w:t>5 January</w:t>
      </w:r>
      <w:r w:rsidRPr="00B253B0">
        <w:rPr>
          <w:sz w:val="16"/>
          <w:szCs w:val="16"/>
        </w:rPr>
        <w:t xml:space="preserve"> 20</w:t>
      </w:r>
      <w:r>
        <w:rPr>
          <w:sz w:val="16"/>
          <w:szCs w:val="16"/>
        </w:rPr>
        <w:t>20</w:t>
      </w:r>
      <w:r w:rsidRPr="00B253B0">
        <w:rPr>
          <w:sz w:val="16"/>
          <w:szCs w:val="16"/>
        </w:rPr>
        <w:t>.</w:t>
      </w:r>
    </w:p>
  </w:footnote>
  <w:footnote w:id="15">
    <w:p w14:paraId="74DA7AE5" w14:textId="77777777" w:rsidR="000C1817" w:rsidRPr="00E417D0" w:rsidRDefault="000C1817" w:rsidP="00FB2135">
      <w:pPr>
        <w:pStyle w:val="FootnoteText"/>
        <w:spacing w:after="0"/>
        <w:rPr>
          <w:rFonts w:cs="Arial"/>
          <w:sz w:val="16"/>
          <w:szCs w:val="16"/>
        </w:rPr>
      </w:pPr>
      <w:r w:rsidRPr="00E417D0">
        <w:rPr>
          <w:rStyle w:val="FootnoteReference"/>
          <w:rFonts w:cs="Arial"/>
          <w:sz w:val="16"/>
          <w:szCs w:val="16"/>
        </w:rPr>
        <w:footnoteRef/>
      </w:r>
      <w:r w:rsidRPr="00E417D0">
        <w:rPr>
          <w:rFonts w:cs="Arial"/>
          <w:sz w:val="16"/>
          <w:szCs w:val="16"/>
        </w:rPr>
        <w:t xml:space="preserve"> Please contact </w:t>
      </w:r>
      <w:r>
        <w:rPr>
          <w:rFonts w:cs="Arial"/>
          <w:sz w:val="16"/>
          <w:szCs w:val="16"/>
        </w:rPr>
        <w:t>Ahpra’s</w:t>
      </w:r>
      <w:r w:rsidRPr="00E417D0">
        <w:rPr>
          <w:rFonts w:cs="Arial"/>
          <w:sz w:val="16"/>
          <w:szCs w:val="16"/>
        </w:rPr>
        <w:t xml:space="preserve"> </w:t>
      </w:r>
      <w:r>
        <w:rPr>
          <w:rFonts w:cs="Arial"/>
          <w:sz w:val="16"/>
          <w:szCs w:val="16"/>
        </w:rPr>
        <w:t>Program Accreditation Team</w:t>
      </w:r>
      <w:r w:rsidRPr="00E417D0">
        <w:rPr>
          <w:rFonts w:cs="Arial"/>
          <w:sz w:val="16"/>
          <w:szCs w:val="16"/>
        </w:rPr>
        <w:t xml:space="preserve"> at </w:t>
      </w:r>
      <w:r>
        <w:rPr>
          <w:rFonts w:cs="Arial"/>
          <w:sz w:val="16"/>
          <w:szCs w:val="16"/>
        </w:rPr>
        <w:t>program.accreditation@ahpra.gov.au</w:t>
      </w:r>
      <w:hyperlink r:id="rId13" w:history="1"/>
      <w:r w:rsidRPr="00E417D0">
        <w:rPr>
          <w:rFonts w:cs="Arial"/>
          <w:sz w:val="16"/>
          <w:szCs w:val="16"/>
        </w:rPr>
        <w:t xml:space="preserve"> to obtain the most up</w:t>
      </w:r>
      <w:r>
        <w:rPr>
          <w:rFonts w:cs="Arial"/>
          <w:sz w:val="16"/>
          <w:szCs w:val="16"/>
        </w:rPr>
        <w:t>-to-</w:t>
      </w:r>
      <w:r w:rsidRPr="00E417D0">
        <w:rPr>
          <w:rFonts w:cs="Arial"/>
          <w:sz w:val="16"/>
          <w:szCs w:val="16"/>
        </w:rPr>
        <w:t>date version of the staffing profile.</w:t>
      </w:r>
    </w:p>
  </w:footnote>
  <w:footnote w:id="16">
    <w:p w14:paraId="196CF505" w14:textId="65BAABFA" w:rsidR="000C1817" w:rsidRPr="002A44C2" w:rsidRDefault="000C1817" w:rsidP="002A44C2">
      <w:pPr>
        <w:pStyle w:val="FootnoteText"/>
        <w:rPr>
          <w:sz w:val="16"/>
          <w:lang w:val="en-US"/>
        </w:rPr>
      </w:pPr>
      <w:r>
        <w:rPr>
          <w:rStyle w:val="FootnoteReference"/>
        </w:rPr>
        <w:footnoteRef/>
      </w:r>
      <w:r>
        <w:t xml:space="preserve"> </w:t>
      </w:r>
      <w:r w:rsidRPr="002A44C2">
        <w:rPr>
          <w:sz w:val="16"/>
        </w:rPr>
        <w:t xml:space="preserve">Australian Commission on Safety and Quality in Health Care. </w:t>
      </w:r>
      <w:r w:rsidRPr="002A44C2">
        <w:rPr>
          <w:i/>
          <w:sz w:val="16"/>
        </w:rPr>
        <w:t>National Safety and Quality Health Service Standards</w:t>
      </w:r>
      <w:r w:rsidRPr="002A44C2">
        <w:rPr>
          <w:sz w:val="16"/>
        </w:rPr>
        <w:t>. 2nd ed. Sydney: ACSQHC; 2017.</w:t>
      </w:r>
      <w:r>
        <w:rPr>
          <w:sz w:val="16"/>
        </w:rPr>
        <w:t xml:space="preserve"> Resources on the standards are available online at: </w:t>
      </w:r>
      <w:hyperlink r:id="rId14" w:history="1">
        <w:r w:rsidRPr="003E34A9">
          <w:rPr>
            <w:rStyle w:val="Hyperlink"/>
            <w:sz w:val="16"/>
          </w:rPr>
          <w:t>https://www.safetyandquality.gov.au/standards/national-safety-and-quality-health-service-nsqhs-standards/resources-nsqhs-standards</w:t>
        </w:r>
      </w:hyperlink>
      <w:r>
        <w:rPr>
          <w:sz w:val="16"/>
        </w:rPr>
        <w:t xml:space="preserve"> </w:t>
      </w:r>
      <w:bookmarkStart w:id="35" w:name="_Hlk51767761"/>
      <w:r>
        <w:rPr>
          <w:sz w:val="16"/>
        </w:rPr>
        <w:t xml:space="preserve">Accessed on 23 September 2020. Note that the Commission is also developing National Safety and Quality Primary Health Standards which will apply to podiatrists in private practice. It is anticipated that these Standards will be completed in 2021. Information on this work is available from </w:t>
      </w:r>
      <w:hyperlink r:id="rId15" w:history="1">
        <w:r w:rsidRPr="006B1C89">
          <w:rPr>
            <w:rStyle w:val="Hyperlink"/>
            <w:sz w:val="16"/>
          </w:rPr>
          <w:t>https://www.safetyandquality.gov.au/standards/national-safety-and-quality-primary-health-care-nsqphc-standards</w:t>
        </w:r>
      </w:hyperlink>
      <w:r>
        <w:rPr>
          <w:sz w:val="16"/>
        </w:rPr>
        <w:t xml:space="preserve"> (accessed on 23 September 2020).  </w:t>
      </w:r>
      <w:bookmarkEnd w:id="35"/>
    </w:p>
  </w:footnote>
  <w:footnote w:id="17">
    <w:p w14:paraId="5BB58B63" w14:textId="000514AA" w:rsidR="000C1817" w:rsidRPr="009B05C5" w:rsidRDefault="000C1817" w:rsidP="007757AD">
      <w:pPr>
        <w:pStyle w:val="FootnoteText"/>
        <w:spacing w:after="0"/>
        <w:rPr>
          <w:lang w:val="en-US"/>
        </w:rPr>
      </w:pPr>
      <w:r>
        <w:rPr>
          <w:rStyle w:val="FootnoteReference"/>
        </w:rPr>
        <w:footnoteRef/>
      </w:r>
      <w:r>
        <w:t xml:space="preserve"> </w:t>
      </w:r>
      <w:r>
        <w:rPr>
          <w:sz w:val="16"/>
          <w:szCs w:val="16"/>
        </w:rPr>
        <w:t xml:space="preserve">Adapted from </w:t>
      </w:r>
      <w:r w:rsidRPr="00B253B0">
        <w:rPr>
          <w:sz w:val="16"/>
          <w:szCs w:val="16"/>
        </w:rPr>
        <w:t xml:space="preserve">Social and Cultural Determinants of Indigenous Health. Implementation Plan Advisory Group Consultations 2017 Discussion Paper, see </w:t>
      </w:r>
      <w:hyperlink r:id="rId16" w:history="1">
        <w:r w:rsidRPr="00B253B0">
          <w:rPr>
            <w:rStyle w:val="Hyperlink"/>
            <w:sz w:val="16"/>
            <w:szCs w:val="16"/>
          </w:rPr>
          <w:t>www.consultations.health.gov.au/indigenous-health/determinants/</w:t>
        </w:r>
      </w:hyperlink>
      <w:r w:rsidRPr="00B253B0">
        <w:rPr>
          <w:sz w:val="16"/>
          <w:szCs w:val="16"/>
        </w:rPr>
        <w:t>. Accessed 1</w:t>
      </w:r>
      <w:r>
        <w:rPr>
          <w:sz w:val="16"/>
          <w:szCs w:val="16"/>
        </w:rPr>
        <w:t>5 January</w:t>
      </w:r>
      <w:r w:rsidRPr="00B253B0">
        <w:rPr>
          <w:sz w:val="16"/>
          <w:szCs w:val="16"/>
        </w:rPr>
        <w:t xml:space="preserve"> 20</w:t>
      </w:r>
      <w:r>
        <w:rPr>
          <w:sz w:val="16"/>
          <w:szCs w:val="16"/>
        </w:rPr>
        <w:t>20</w:t>
      </w:r>
      <w:r w:rsidRPr="00B253B0">
        <w:rPr>
          <w:sz w:val="16"/>
          <w:szCs w:val="16"/>
        </w:rPr>
        <w:t>.</w:t>
      </w:r>
    </w:p>
  </w:footnote>
  <w:footnote w:id="18">
    <w:p w14:paraId="784FBA12" w14:textId="77777777" w:rsidR="000C1817" w:rsidRDefault="000C1817" w:rsidP="007757AD">
      <w:pPr>
        <w:pStyle w:val="FootnoteText"/>
        <w:spacing w:after="0"/>
        <w:rPr>
          <w:lang w:val="en-US"/>
        </w:rPr>
      </w:pPr>
      <w:r>
        <w:rPr>
          <w:rStyle w:val="FootnoteReference"/>
        </w:rPr>
        <w:footnoteRef/>
      </w:r>
      <w:r>
        <w:t xml:space="preserve"> </w:t>
      </w:r>
      <w:r>
        <w:rPr>
          <w:sz w:val="16"/>
        </w:rPr>
        <w:t xml:space="preserve">These clinical presentations represent the minimum requirements in the Podiatry Board of Australia’s </w:t>
      </w:r>
      <w:r>
        <w:rPr>
          <w:i/>
          <w:sz w:val="16"/>
        </w:rPr>
        <w:t>Guidelines: Endorsement for Scheduled Medicines</w:t>
      </w:r>
      <w:r>
        <w:rPr>
          <w:sz w:val="16"/>
        </w:rPr>
        <w:t xml:space="preserve">, p12. Available from </w:t>
      </w:r>
      <w:hyperlink r:id="rId17" w:history="1">
        <w:r>
          <w:rPr>
            <w:rStyle w:val="Hyperlink"/>
            <w:sz w:val="16"/>
          </w:rPr>
          <w:t>https://www.podiatryboard.gov.au/Registration-Endorsement/Endorsement-Scheduled-Medicines.aspx</w:t>
        </w:r>
      </w:hyperlink>
      <w:r>
        <w:rPr>
          <w:sz w:val="16"/>
        </w:rPr>
        <w:t>. Accessed 6 October 2020.</w:t>
      </w:r>
      <w:r>
        <w:t xml:space="preserve"> </w:t>
      </w:r>
    </w:p>
  </w:footnote>
  <w:footnote w:id="19">
    <w:p w14:paraId="083BA4F0" w14:textId="0D8AED5E" w:rsidR="000C1817" w:rsidRPr="00E417D0" w:rsidRDefault="000C1817" w:rsidP="00541DF3">
      <w:pPr>
        <w:pStyle w:val="FootnoteText"/>
        <w:spacing w:after="0"/>
        <w:rPr>
          <w:rFonts w:cs="Arial"/>
          <w:sz w:val="16"/>
          <w:szCs w:val="16"/>
        </w:rPr>
      </w:pPr>
      <w:r w:rsidRPr="00E417D0">
        <w:rPr>
          <w:rStyle w:val="FootnoteReference"/>
          <w:rFonts w:cs="Arial"/>
          <w:sz w:val="16"/>
          <w:szCs w:val="16"/>
        </w:rPr>
        <w:footnoteRef/>
      </w:r>
      <w:r w:rsidRPr="00E417D0">
        <w:rPr>
          <w:rFonts w:cs="Arial"/>
          <w:sz w:val="16"/>
          <w:szCs w:val="16"/>
        </w:rPr>
        <w:t xml:space="preserve"> Please contact </w:t>
      </w:r>
      <w:r>
        <w:rPr>
          <w:rFonts w:cs="Arial"/>
          <w:sz w:val="16"/>
          <w:szCs w:val="16"/>
        </w:rPr>
        <w:t>Ahpra</w:t>
      </w:r>
      <w:r w:rsidRPr="00906F7B">
        <w:rPr>
          <w:rFonts w:cs="Arial"/>
          <w:sz w:val="16"/>
          <w:szCs w:val="16"/>
        </w:rPr>
        <w:t xml:space="preserve">’s Program Accreditation Team at </w:t>
      </w:r>
      <w:hyperlink r:id="rId18" w:history="1">
        <w:r w:rsidRPr="004F6C74">
          <w:rPr>
            <w:rStyle w:val="Hyperlink"/>
            <w:rFonts w:cs="Arial"/>
            <w:sz w:val="16"/>
            <w:szCs w:val="16"/>
          </w:rPr>
          <w:t>program.accreditation@ahpra.gov.au</w:t>
        </w:r>
      </w:hyperlink>
      <w:r>
        <w:rPr>
          <w:rFonts w:cs="Arial"/>
          <w:sz w:val="16"/>
          <w:szCs w:val="16"/>
        </w:rPr>
        <w:t xml:space="preserve"> </w:t>
      </w:r>
      <w:r w:rsidRPr="00906F7B">
        <w:rPr>
          <w:rFonts w:cs="Arial"/>
          <w:sz w:val="16"/>
          <w:szCs w:val="16"/>
        </w:rPr>
        <w:t>to obtain the most up-to-date version of the staffing profil</w:t>
      </w:r>
      <w:r w:rsidRPr="00E35A21">
        <w:rPr>
          <w:rFonts w:cs="Arial"/>
          <w:sz w:val="16"/>
          <w:szCs w:val="16"/>
        </w:rPr>
        <w:t>e.</w:t>
      </w:r>
    </w:p>
  </w:footnote>
  <w:footnote w:id="20">
    <w:p w14:paraId="35E71FC6" w14:textId="77777777" w:rsidR="000C1817" w:rsidRPr="00E417D0" w:rsidRDefault="000C1817" w:rsidP="00AD585A">
      <w:pPr>
        <w:rPr>
          <w:rFonts w:ascii="Arial" w:hAnsi="Arial" w:cs="Arial"/>
        </w:rPr>
      </w:pPr>
      <w:r w:rsidRPr="00E417D0">
        <w:rPr>
          <w:rStyle w:val="FootnoteReference"/>
          <w:rFonts w:cs="Arial"/>
          <w:sz w:val="16"/>
          <w:szCs w:val="16"/>
        </w:rPr>
        <w:footnoteRef/>
      </w:r>
      <w:r w:rsidRPr="00E417D0">
        <w:rPr>
          <w:rFonts w:ascii="Arial" w:hAnsi="Arial" w:cs="Arial"/>
          <w:sz w:val="16"/>
          <w:szCs w:val="16"/>
        </w:rPr>
        <w:t xml:space="preserve"> </w:t>
      </w:r>
      <w:r w:rsidRPr="00A9382C">
        <w:rPr>
          <w:rFonts w:ascii="Arial" w:hAnsi="Arial" w:cs="Arial"/>
          <w:sz w:val="16"/>
          <w:szCs w:val="16"/>
        </w:rPr>
        <w:t xml:space="preserve">Podiatry Board of Australia </w:t>
      </w:r>
      <w:r w:rsidRPr="00A9382C">
        <w:rPr>
          <w:rFonts w:ascii="Arial" w:hAnsi="Arial" w:cs="Arial"/>
          <w:i/>
          <w:sz w:val="16"/>
          <w:szCs w:val="16"/>
        </w:rPr>
        <w:t>Registration Standards,</w:t>
      </w:r>
      <w:r w:rsidRPr="00A9382C">
        <w:rPr>
          <w:rFonts w:ascii="Arial" w:hAnsi="Arial" w:cs="Arial"/>
          <w:sz w:val="16"/>
          <w:szCs w:val="16"/>
        </w:rPr>
        <w:t xml:space="preserve"> see </w:t>
      </w:r>
      <w:hyperlink r:id="rId19" w:history="1">
        <w:r w:rsidRPr="00A9382C">
          <w:rPr>
            <w:rStyle w:val="Hyperlink"/>
            <w:rFonts w:ascii="Arial" w:eastAsia="Cambria" w:hAnsi="Arial" w:cs="Arial"/>
            <w:sz w:val="16"/>
            <w:szCs w:val="16"/>
          </w:rPr>
          <w:t>www.podiatryboard.gov.au/Registration-Standards</w:t>
        </w:r>
      </w:hyperlink>
      <w:r w:rsidRPr="00A9382C">
        <w:rPr>
          <w:rStyle w:val="Hyperlink"/>
          <w:rFonts w:ascii="Arial" w:eastAsia="Cambria" w:hAnsi="Arial" w:cs="Arial"/>
          <w:color w:val="auto"/>
          <w:sz w:val="16"/>
          <w:szCs w:val="16"/>
          <w:u w:val="none"/>
        </w:rPr>
        <w:t>.</w:t>
      </w:r>
      <w:r w:rsidRPr="00F473A3">
        <w:rPr>
          <w:rStyle w:val="Hyperlink"/>
          <w:rFonts w:ascii="Arial" w:eastAsia="Cambria" w:hAnsi="Arial" w:cs="Arial"/>
          <w:color w:val="auto"/>
          <w:sz w:val="16"/>
          <w:szCs w:val="16"/>
          <w:u w:val="none"/>
        </w:rPr>
        <w:t xml:space="preserve"> Accessed </w:t>
      </w:r>
      <w:r>
        <w:rPr>
          <w:rStyle w:val="Hyperlink"/>
          <w:rFonts w:ascii="Arial" w:eastAsia="Cambria" w:hAnsi="Arial" w:cs="Arial"/>
          <w:color w:val="auto"/>
          <w:sz w:val="16"/>
          <w:szCs w:val="16"/>
          <w:u w:val="none"/>
        </w:rPr>
        <w:t>24 February</w:t>
      </w:r>
      <w:r w:rsidRPr="00F473A3">
        <w:rPr>
          <w:rStyle w:val="Hyperlink"/>
          <w:rFonts w:ascii="Arial" w:eastAsia="Cambria" w:hAnsi="Arial" w:cs="Arial"/>
          <w:color w:val="auto"/>
          <w:sz w:val="16"/>
          <w:szCs w:val="16"/>
          <w:u w:val="none"/>
        </w:rPr>
        <w:t xml:space="preserve"> 20</w:t>
      </w:r>
      <w:r>
        <w:rPr>
          <w:rStyle w:val="Hyperlink"/>
          <w:rFonts w:ascii="Arial" w:eastAsia="Cambria" w:hAnsi="Arial" w:cs="Arial"/>
          <w:color w:val="auto"/>
          <w:sz w:val="16"/>
          <w:szCs w:val="16"/>
          <w:u w:val="none"/>
        </w:rPr>
        <w:t>20</w:t>
      </w:r>
      <w:r w:rsidRPr="00F473A3">
        <w:rPr>
          <w:rStyle w:val="Hyperlink"/>
          <w:rFonts w:ascii="Arial" w:eastAsia="Cambria" w:hAnsi="Arial" w:cs="Arial"/>
          <w:color w:val="auto"/>
          <w:sz w:val="16"/>
          <w:szCs w:val="16"/>
          <w:u w:val="none"/>
        </w:rPr>
        <w:t>.</w:t>
      </w:r>
      <w:r>
        <w:rPr>
          <w:rStyle w:val="Hyperlink"/>
          <w:rFonts w:ascii="Arial" w:eastAsia="Cambria" w:hAnsi="Arial" w:cs="Arial"/>
          <w:color w:val="auto"/>
          <w:sz w:val="16"/>
          <w:szCs w:val="16"/>
          <w:u w:val="none"/>
        </w:rPr>
        <w:t xml:space="preserve"> More detailed information on the registration standards is contained in the Board’s </w:t>
      </w:r>
      <w:r w:rsidRPr="00050FA5">
        <w:rPr>
          <w:rStyle w:val="Hyperlink"/>
          <w:rFonts w:ascii="Arial" w:eastAsia="Cambria" w:hAnsi="Arial" w:cs="Arial"/>
          <w:color w:val="auto"/>
          <w:sz w:val="16"/>
          <w:szCs w:val="16"/>
          <w:u w:val="none"/>
        </w:rPr>
        <w:t>Policies, Codes and Guidelines</w:t>
      </w:r>
      <w:r>
        <w:rPr>
          <w:rStyle w:val="Hyperlink"/>
          <w:rFonts w:ascii="Arial" w:eastAsia="Cambria" w:hAnsi="Arial" w:cs="Arial"/>
          <w:color w:val="auto"/>
          <w:sz w:val="16"/>
          <w:szCs w:val="16"/>
          <w:u w:val="none"/>
        </w:rPr>
        <w:t xml:space="preserve"> available from </w:t>
      </w:r>
      <w:hyperlink r:id="rId20" w:history="1">
        <w:r w:rsidRPr="00BE34CF">
          <w:rPr>
            <w:rStyle w:val="Hyperlink"/>
            <w:rFonts w:ascii="Arial" w:eastAsia="Cambria" w:hAnsi="Arial" w:cs="Arial"/>
            <w:sz w:val="16"/>
            <w:szCs w:val="16"/>
          </w:rPr>
          <w:t>https://www.podiatryboard.gov.au/Policies-Codes-Guidelines.aspx</w:t>
        </w:r>
      </w:hyperlink>
      <w:r>
        <w:rPr>
          <w:rStyle w:val="Hyperlink"/>
          <w:rFonts w:ascii="Arial" w:eastAsia="Cambria" w:hAnsi="Arial" w:cs="Arial"/>
          <w:color w:val="auto"/>
          <w:sz w:val="16"/>
          <w:szCs w:val="16"/>
          <w:u w:val="none"/>
        </w:rPr>
        <w:t xml:space="preserve">. Accessed on 24 February 2020. </w:t>
      </w:r>
    </w:p>
  </w:footnote>
  <w:footnote w:id="21">
    <w:p w14:paraId="0D804A44" w14:textId="77777777" w:rsidR="000C1817" w:rsidRDefault="000C1817" w:rsidP="00AD585A">
      <w:pPr>
        <w:pStyle w:val="FootnoteText"/>
        <w:spacing w:after="0"/>
        <w:rPr>
          <w:lang w:val="en-US"/>
        </w:rPr>
      </w:pPr>
      <w:r>
        <w:rPr>
          <w:rStyle w:val="FootnoteReference"/>
        </w:rPr>
        <w:footnoteRef/>
      </w:r>
      <w:r>
        <w:t xml:space="preserve"> </w:t>
      </w:r>
      <w:r>
        <w:rPr>
          <w:sz w:val="16"/>
        </w:rPr>
        <w:t xml:space="preserve">Domain (Sections 1.1) of the HES Framework available from </w:t>
      </w:r>
      <w:hyperlink r:id="rId21" w:history="1">
        <w:r>
          <w:rPr>
            <w:rStyle w:val="Hyperlink"/>
            <w:sz w:val="16"/>
          </w:rPr>
          <w:t>https://www.teqsa.gov.au/hesf-domain-1</w:t>
        </w:r>
      </w:hyperlink>
      <w:r>
        <w:rPr>
          <w:sz w:val="16"/>
        </w:rPr>
        <w:t>. Accessed on 6 October 2020.</w:t>
      </w:r>
    </w:p>
  </w:footnote>
  <w:footnote w:id="22">
    <w:p w14:paraId="64ABCC78" w14:textId="77777777" w:rsidR="000C1817" w:rsidRPr="00E417D0" w:rsidRDefault="000C1817" w:rsidP="000A2BBD">
      <w:pPr>
        <w:pStyle w:val="FootnoteText"/>
        <w:spacing w:after="0"/>
        <w:rPr>
          <w:rFonts w:cs="Arial"/>
          <w:sz w:val="16"/>
          <w:szCs w:val="16"/>
        </w:rPr>
      </w:pPr>
      <w:r w:rsidRPr="00E417D0">
        <w:rPr>
          <w:rStyle w:val="FootnoteReference"/>
          <w:rFonts w:cs="Arial"/>
          <w:sz w:val="16"/>
          <w:szCs w:val="16"/>
        </w:rPr>
        <w:footnoteRef/>
      </w:r>
      <w:r w:rsidRPr="00E417D0">
        <w:rPr>
          <w:rFonts w:cs="Arial"/>
          <w:sz w:val="16"/>
          <w:szCs w:val="16"/>
        </w:rPr>
        <w:t xml:space="preserve"> Please contact </w:t>
      </w:r>
      <w:r>
        <w:rPr>
          <w:rFonts w:cs="Arial"/>
          <w:sz w:val="16"/>
          <w:szCs w:val="16"/>
        </w:rPr>
        <w:t>Ahpra</w:t>
      </w:r>
      <w:r w:rsidRPr="00906F7B">
        <w:rPr>
          <w:rFonts w:cs="Arial"/>
          <w:sz w:val="16"/>
          <w:szCs w:val="16"/>
        </w:rPr>
        <w:t xml:space="preserve">’s Program Accreditation Team at </w:t>
      </w:r>
      <w:hyperlink r:id="rId22" w:history="1">
        <w:r w:rsidRPr="004F6C74">
          <w:rPr>
            <w:rStyle w:val="Hyperlink"/>
            <w:rFonts w:cs="Arial"/>
            <w:sz w:val="16"/>
            <w:szCs w:val="16"/>
          </w:rPr>
          <w:t>program.accreditation@ahpra.gov.au</w:t>
        </w:r>
      </w:hyperlink>
      <w:r>
        <w:rPr>
          <w:rFonts w:cs="Arial"/>
          <w:sz w:val="16"/>
          <w:szCs w:val="16"/>
        </w:rPr>
        <w:t xml:space="preserve"> </w:t>
      </w:r>
      <w:r w:rsidRPr="00906F7B">
        <w:rPr>
          <w:rFonts w:cs="Arial"/>
          <w:sz w:val="16"/>
          <w:szCs w:val="16"/>
        </w:rPr>
        <w:t>to obtain the most up-to-date version of the staffing profil</w:t>
      </w:r>
      <w:r w:rsidRPr="00E35A21">
        <w:rPr>
          <w:rFonts w:cs="Arial"/>
          <w:sz w:val="16"/>
          <w:szCs w:val="16"/>
        </w:rPr>
        <w:t>e.</w:t>
      </w:r>
    </w:p>
  </w:footnote>
  <w:footnote w:id="23">
    <w:p w14:paraId="21459B76" w14:textId="2F55CF0E" w:rsidR="000C1817" w:rsidRPr="00E417D0" w:rsidRDefault="000C1817" w:rsidP="004653E7">
      <w:pPr>
        <w:pStyle w:val="NormalWeb"/>
        <w:spacing w:beforeLines="0" w:afterLines="0"/>
        <w:rPr>
          <w:rFonts w:ascii="Arial" w:eastAsiaTheme="minorHAnsi" w:hAnsi="Arial" w:cs="Arial"/>
          <w:sz w:val="16"/>
          <w:szCs w:val="16"/>
          <w:lang w:eastAsia="en-US"/>
        </w:rPr>
      </w:pPr>
      <w:r w:rsidRPr="00E417D0">
        <w:rPr>
          <w:rStyle w:val="FootnoteReference"/>
          <w:rFonts w:cs="Arial"/>
          <w:sz w:val="16"/>
          <w:szCs w:val="16"/>
        </w:rPr>
        <w:footnoteRef/>
      </w:r>
      <w:r w:rsidRPr="00E417D0">
        <w:rPr>
          <w:rFonts w:ascii="Arial" w:hAnsi="Arial" w:cs="Arial"/>
          <w:sz w:val="16"/>
          <w:szCs w:val="16"/>
        </w:rPr>
        <w:t xml:space="preserve"> </w:t>
      </w:r>
      <w:bookmarkStart w:id="50" w:name="_Hlk1398361"/>
      <w:r w:rsidRPr="0049239C">
        <w:rPr>
          <w:rFonts w:ascii="Arial" w:eastAsia="Calibri" w:hAnsi="Arial" w:cs="Arial"/>
          <w:sz w:val="16"/>
          <w:szCs w:val="16"/>
          <w:lang w:val="en-US" w:eastAsia="en-US"/>
        </w:rPr>
        <w:t>Medical Deans Australia and NZ (HWA project)</w:t>
      </w:r>
      <w:r w:rsidRPr="0049239C">
        <w:rPr>
          <w:rFonts w:ascii="Arial" w:eastAsia="Calibri" w:hAnsi="Arial" w:cs="Arial"/>
          <w:i/>
          <w:sz w:val="16"/>
          <w:szCs w:val="16"/>
          <w:lang w:val="en-US" w:eastAsia="en-US"/>
        </w:rPr>
        <w:t xml:space="preserve">, Developing a </w:t>
      </w:r>
      <w:r>
        <w:rPr>
          <w:rFonts w:ascii="Arial" w:eastAsia="Calibri" w:hAnsi="Arial" w:cs="Arial"/>
          <w:i/>
          <w:sz w:val="16"/>
          <w:szCs w:val="16"/>
          <w:lang w:val="en-US" w:eastAsia="en-US"/>
        </w:rPr>
        <w:t>national assessment blueprint for clinical c</w:t>
      </w:r>
      <w:r w:rsidRPr="0049239C">
        <w:rPr>
          <w:rFonts w:ascii="Arial" w:eastAsia="Calibri" w:hAnsi="Arial" w:cs="Arial"/>
          <w:i/>
          <w:sz w:val="16"/>
          <w:szCs w:val="16"/>
          <w:lang w:val="en-US" w:eastAsia="en-US"/>
        </w:rPr>
        <w:t>ompetencies for the medical graduate</w:t>
      </w:r>
      <w:r>
        <w:rPr>
          <w:rFonts w:ascii="Arial" w:eastAsia="Calibri" w:hAnsi="Arial" w:cs="Arial"/>
          <w:i/>
          <w:sz w:val="16"/>
          <w:szCs w:val="16"/>
          <w:lang w:val="en-US" w:eastAsia="en-US"/>
        </w:rPr>
        <w:t xml:space="preserve"> (competencies project stage 3) final repor</w:t>
      </w:r>
      <w:r w:rsidRPr="0049239C">
        <w:rPr>
          <w:rFonts w:ascii="Arial" w:eastAsia="Calibri" w:hAnsi="Arial" w:cs="Arial"/>
          <w:i/>
          <w:sz w:val="16"/>
          <w:szCs w:val="16"/>
          <w:lang w:val="en-US" w:eastAsia="en-US"/>
        </w:rPr>
        <w:t>t</w:t>
      </w:r>
      <w:r w:rsidRPr="0049239C">
        <w:rPr>
          <w:rFonts w:ascii="Arial" w:eastAsia="Calibri" w:hAnsi="Arial" w:cs="Arial"/>
          <w:sz w:val="16"/>
          <w:szCs w:val="16"/>
          <w:lang w:val="en-US" w:eastAsia="en-US"/>
        </w:rPr>
        <w:t xml:space="preserve">, </w:t>
      </w:r>
      <w:r>
        <w:rPr>
          <w:rFonts w:ascii="Arial" w:eastAsia="Calibri" w:hAnsi="Arial" w:cs="Arial"/>
          <w:sz w:val="16"/>
          <w:szCs w:val="16"/>
          <w:lang w:val="en-US" w:eastAsia="en-US"/>
        </w:rPr>
        <w:t xml:space="preserve">see </w:t>
      </w:r>
      <w:hyperlink r:id="rId23" w:history="1">
        <w:r>
          <w:rPr>
            <w:rStyle w:val="Hyperlink"/>
            <w:rFonts w:ascii="Arial" w:eastAsia="Calibri" w:hAnsi="Arial" w:cs="Arial"/>
            <w:sz w:val="16"/>
            <w:szCs w:val="16"/>
            <w:lang w:val="en-US" w:eastAsia="en-US"/>
          </w:rPr>
          <w:t>www.medicaldeans.org.au/resources/reports/</w:t>
        </w:r>
      </w:hyperlink>
      <w:r w:rsidRPr="00B14321">
        <w:rPr>
          <w:rFonts w:ascii="Arial" w:eastAsia="Calibri" w:hAnsi="Arial" w:cs="Arial"/>
          <w:sz w:val="16"/>
          <w:szCs w:val="16"/>
          <w:lang w:eastAsia="en-US"/>
        </w:rPr>
        <w:t>.</w:t>
      </w:r>
      <w:r w:rsidRPr="0049239C">
        <w:rPr>
          <w:rFonts w:ascii="Arial" w:eastAsia="Calibri" w:hAnsi="Arial" w:cs="Arial"/>
          <w:sz w:val="16"/>
          <w:szCs w:val="16"/>
          <w:lang w:eastAsia="en-US"/>
        </w:rPr>
        <w:t xml:space="preserve"> </w:t>
      </w:r>
      <w:r w:rsidRPr="0049239C">
        <w:rPr>
          <w:rFonts w:ascii="Arial" w:hAnsi="Arial" w:cs="Arial"/>
          <w:sz w:val="16"/>
          <w:szCs w:val="16"/>
        </w:rPr>
        <w:t xml:space="preserve">Accessed 15 </w:t>
      </w:r>
      <w:r>
        <w:rPr>
          <w:rFonts w:ascii="Arial" w:hAnsi="Arial" w:cs="Arial"/>
          <w:sz w:val="16"/>
          <w:szCs w:val="16"/>
        </w:rPr>
        <w:t>January</w:t>
      </w:r>
      <w:r w:rsidRPr="0049239C">
        <w:rPr>
          <w:rFonts w:ascii="Arial" w:hAnsi="Arial" w:cs="Arial"/>
          <w:sz w:val="16"/>
          <w:szCs w:val="16"/>
        </w:rPr>
        <w:t xml:space="preserve"> 20</w:t>
      </w:r>
      <w:r>
        <w:rPr>
          <w:rFonts w:ascii="Arial" w:hAnsi="Arial" w:cs="Arial"/>
          <w:sz w:val="16"/>
          <w:szCs w:val="16"/>
        </w:rPr>
        <w:t>20</w:t>
      </w:r>
      <w:r w:rsidRPr="0049239C">
        <w:rPr>
          <w:rFonts w:ascii="Arial" w:hAnsi="Arial" w:cs="Arial"/>
          <w:sz w:val="16"/>
          <w:szCs w:val="16"/>
        </w:rPr>
        <w:t>.</w:t>
      </w:r>
      <w:bookmarkEnd w:id="50"/>
    </w:p>
  </w:footnote>
  <w:footnote w:id="24">
    <w:p w14:paraId="03265A40" w14:textId="4BCE0C52" w:rsidR="000C1817" w:rsidRPr="00E417D0" w:rsidRDefault="000C1817" w:rsidP="00866076">
      <w:pPr>
        <w:pStyle w:val="FootnoteText"/>
        <w:spacing w:after="0"/>
        <w:rPr>
          <w:rFonts w:cs="Arial"/>
          <w:sz w:val="16"/>
          <w:szCs w:val="16"/>
        </w:rPr>
      </w:pPr>
      <w:r w:rsidRPr="00E417D0">
        <w:rPr>
          <w:rStyle w:val="FootnoteReference"/>
          <w:rFonts w:cs="Arial"/>
          <w:sz w:val="16"/>
          <w:szCs w:val="16"/>
        </w:rPr>
        <w:footnoteRef/>
      </w:r>
      <w:r w:rsidRPr="00E417D0">
        <w:rPr>
          <w:rFonts w:cs="Arial"/>
          <w:sz w:val="16"/>
          <w:szCs w:val="16"/>
        </w:rPr>
        <w:t xml:space="preserve"> </w:t>
      </w:r>
      <w:bookmarkStart w:id="51" w:name="_Hlk863545"/>
      <w:r w:rsidRPr="00E417D0">
        <w:rPr>
          <w:rFonts w:cs="Arial"/>
          <w:sz w:val="16"/>
          <w:szCs w:val="16"/>
        </w:rPr>
        <w:t xml:space="preserve">Cross T, Bazron B, Dennis K, </w:t>
      </w:r>
      <w:r>
        <w:rPr>
          <w:rFonts w:cs="Arial"/>
          <w:sz w:val="16"/>
          <w:szCs w:val="16"/>
        </w:rPr>
        <w:t>and</w:t>
      </w:r>
      <w:r w:rsidRPr="00E417D0">
        <w:rPr>
          <w:rFonts w:cs="Arial"/>
          <w:sz w:val="16"/>
          <w:szCs w:val="16"/>
        </w:rPr>
        <w:t xml:space="preserve"> Isaacs M (1989) </w:t>
      </w:r>
      <w:r w:rsidRPr="00E417D0">
        <w:rPr>
          <w:rFonts w:cs="Arial"/>
          <w:i/>
          <w:sz w:val="16"/>
          <w:szCs w:val="16"/>
        </w:rPr>
        <w:t xml:space="preserve">Towards a </w:t>
      </w:r>
      <w:r>
        <w:rPr>
          <w:rFonts w:cs="Arial"/>
          <w:i/>
          <w:sz w:val="16"/>
          <w:szCs w:val="16"/>
        </w:rPr>
        <w:t>c</w:t>
      </w:r>
      <w:r w:rsidRPr="00E417D0">
        <w:rPr>
          <w:rFonts w:cs="Arial"/>
          <w:i/>
          <w:sz w:val="16"/>
          <w:szCs w:val="16"/>
        </w:rPr>
        <w:t xml:space="preserve">ulturally </w:t>
      </w:r>
      <w:r>
        <w:rPr>
          <w:rFonts w:cs="Arial"/>
          <w:i/>
          <w:sz w:val="16"/>
          <w:szCs w:val="16"/>
        </w:rPr>
        <w:t>c</w:t>
      </w:r>
      <w:r w:rsidRPr="00E417D0">
        <w:rPr>
          <w:rFonts w:cs="Arial"/>
          <w:i/>
          <w:sz w:val="16"/>
          <w:szCs w:val="16"/>
        </w:rPr>
        <w:t xml:space="preserve">ompetent </w:t>
      </w:r>
      <w:r>
        <w:rPr>
          <w:rFonts w:cs="Arial"/>
          <w:i/>
          <w:sz w:val="16"/>
          <w:szCs w:val="16"/>
        </w:rPr>
        <w:t>s</w:t>
      </w:r>
      <w:r w:rsidRPr="00E417D0">
        <w:rPr>
          <w:rFonts w:cs="Arial"/>
          <w:i/>
          <w:sz w:val="16"/>
          <w:szCs w:val="16"/>
        </w:rPr>
        <w:t xml:space="preserve">ystem of </w:t>
      </w:r>
      <w:r>
        <w:rPr>
          <w:rFonts w:cs="Arial"/>
          <w:i/>
          <w:sz w:val="16"/>
          <w:szCs w:val="16"/>
        </w:rPr>
        <w:t>c</w:t>
      </w:r>
      <w:r w:rsidRPr="00E417D0">
        <w:rPr>
          <w:rFonts w:cs="Arial"/>
          <w:i/>
          <w:sz w:val="16"/>
          <w:szCs w:val="16"/>
        </w:rPr>
        <w:t>are</w:t>
      </w:r>
      <w:r w:rsidRPr="00E417D0">
        <w:rPr>
          <w:rFonts w:cs="Arial"/>
          <w:sz w:val="16"/>
          <w:szCs w:val="16"/>
        </w:rPr>
        <w:t>. Washington, DC: Georgetown University Child Development Center, CASSP Technical Assistance Center.</w:t>
      </w:r>
      <w:bookmarkEnd w:id="51"/>
      <w:r w:rsidRPr="00E417D0">
        <w:rPr>
          <w:rFonts w:cs="Arial"/>
          <w:sz w:val="16"/>
          <w:szCs w:val="16"/>
        </w:rPr>
        <w:t xml:space="preserve">  </w:t>
      </w:r>
    </w:p>
  </w:footnote>
  <w:footnote w:id="25">
    <w:p w14:paraId="51460348" w14:textId="157A2A65" w:rsidR="000C1817" w:rsidRPr="00E417D0" w:rsidRDefault="000C1817">
      <w:pPr>
        <w:pStyle w:val="FootnoteText"/>
        <w:spacing w:after="0"/>
        <w:rPr>
          <w:rFonts w:cs="Arial"/>
          <w:sz w:val="16"/>
          <w:szCs w:val="16"/>
        </w:rPr>
      </w:pPr>
      <w:r w:rsidRPr="00E417D0">
        <w:rPr>
          <w:rStyle w:val="FootnoteReference"/>
          <w:rFonts w:cs="Arial"/>
          <w:sz w:val="16"/>
          <w:szCs w:val="16"/>
        </w:rPr>
        <w:footnoteRef/>
      </w:r>
      <w:r w:rsidRPr="00E417D0">
        <w:rPr>
          <w:rFonts w:cs="Arial"/>
          <w:sz w:val="16"/>
          <w:szCs w:val="16"/>
        </w:rPr>
        <w:t xml:space="preserve"> </w:t>
      </w:r>
      <w:r>
        <w:rPr>
          <w:rFonts w:cs="Arial"/>
          <w:sz w:val="16"/>
          <w:szCs w:val="16"/>
        </w:rPr>
        <w:t>‘</w:t>
      </w:r>
      <w:r w:rsidRPr="00E417D0">
        <w:rPr>
          <w:rFonts w:cs="Arial"/>
          <w:sz w:val="16"/>
          <w:szCs w:val="16"/>
        </w:rPr>
        <w:t>TEQSA Guidance Note: Scholarship</w:t>
      </w:r>
      <w:r>
        <w:rPr>
          <w:rFonts w:cs="Arial"/>
          <w:sz w:val="16"/>
          <w:szCs w:val="16"/>
        </w:rPr>
        <w:t>’</w:t>
      </w:r>
      <w:r w:rsidRPr="00E417D0">
        <w:rPr>
          <w:rFonts w:cs="Arial"/>
          <w:sz w:val="16"/>
          <w:szCs w:val="16"/>
        </w:rPr>
        <w:t>, s</w:t>
      </w:r>
      <w:r>
        <w:rPr>
          <w:rFonts w:cs="Arial"/>
          <w:sz w:val="16"/>
          <w:szCs w:val="16"/>
        </w:rPr>
        <w:t>ee</w:t>
      </w:r>
      <w:r w:rsidRPr="00E417D0">
        <w:rPr>
          <w:rFonts w:cs="Arial"/>
          <w:sz w:val="16"/>
          <w:szCs w:val="16"/>
        </w:rPr>
        <w:t xml:space="preserve"> </w:t>
      </w:r>
      <w:hyperlink r:id="rId24" w:history="1">
        <w:r w:rsidRPr="00E417D0">
          <w:rPr>
            <w:rStyle w:val="Hyperlink"/>
            <w:rFonts w:cs="Arial"/>
            <w:sz w:val="16"/>
            <w:szCs w:val="16"/>
          </w:rPr>
          <w:t>www.teqsa.gov.au/latest-news/publications/guidance-note-scholarship</w:t>
        </w:r>
      </w:hyperlink>
      <w:r w:rsidRPr="00C46ACC">
        <w:rPr>
          <w:rStyle w:val="Hyperlink"/>
          <w:rFonts w:cs="Arial"/>
          <w:color w:val="auto"/>
          <w:sz w:val="16"/>
          <w:szCs w:val="16"/>
          <w:u w:val="none"/>
        </w:rPr>
        <w:t>.</w:t>
      </w:r>
      <w:r w:rsidRPr="00E417D0">
        <w:rPr>
          <w:rFonts w:cs="Arial"/>
          <w:sz w:val="16"/>
          <w:szCs w:val="16"/>
        </w:rPr>
        <w:t xml:space="preserve"> </w:t>
      </w:r>
      <w:r w:rsidRPr="00E417D0">
        <w:rPr>
          <w:sz w:val="16"/>
          <w:szCs w:val="16"/>
        </w:rPr>
        <w:t xml:space="preserve">Accessed 15 </w:t>
      </w:r>
      <w:r>
        <w:rPr>
          <w:sz w:val="16"/>
          <w:szCs w:val="16"/>
        </w:rPr>
        <w:t>January 2020</w:t>
      </w:r>
      <w:r w:rsidRPr="00E417D0">
        <w:rPr>
          <w:sz w:val="16"/>
          <w:szCs w:val="16"/>
        </w:rPr>
        <w:t>.</w:t>
      </w:r>
    </w:p>
  </w:footnote>
  <w:footnote w:id="26">
    <w:p w14:paraId="6C12A924" w14:textId="77777777" w:rsidR="000C1817" w:rsidRDefault="000C1817" w:rsidP="00282E36">
      <w:pPr>
        <w:pStyle w:val="FootnoteText"/>
        <w:spacing w:after="0"/>
      </w:pPr>
      <w:r>
        <w:rPr>
          <w:rStyle w:val="FootnoteReference"/>
        </w:rPr>
        <w:footnoteRef/>
      </w:r>
      <w:r>
        <w:t xml:space="preserve"> </w:t>
      </w:r>
      <w:r>
        <w:rPr>
          <w:sz w:val="16"/>
          <w:szCs w:val="16"/>
        </w:rPr>
        <w:t xml:space="preserve">Disability Employment Australia ‘Inherent requirements’, see </w:t>
      </w:r>
      <w:hyperlink r:id="rId25" w:history="1">
        <w:r>
          <w:rPr>
            <w:rStyle w:val="Hyperlink"/>
            <w:sz w:val="16"/>
            <w:szCs w:val="16"/>
          </w:rPr>
          <w:t>www.guide.disabilityemployment.org.au/proposing/inherent_requirements. Accessed 21 June 2019</w:t>
        </w:r>
      </w:hyperlink>
      <w:r>
        <w:rPr>
          <w:sz w:val="16"/>
          <w:szCs w:val="16"/>
        </w:rPr>
        <w:t xml:space="preserve">. </w:t>
      </w:r>
    </w:p>
  </w:footnote>
  <w:footnote w:id="27">
    <w:p w14:paraId="22EFB77A" w14:textId="77777777" w:rsidR="000C1817" w:rsidRDefault="000C1817" w:rsidP="00282E36">
      <w:pPr>
        <w:pStyle w:val="FootnoteText"/>
        <w:rPr>
          <w:lang w:val="en-US"/>
        </w:rPr>
      </w:pPr>
      <w:r>
        <w:rPr>
          <w:rStyle w:val="FootnoteReference"/>
        </w:rPr>
        <w:footnoteRef/>
      </w:r>
      <w:r>
        <w:t xml:space="preserve"> </w:t>
      </w:r>
      <w:r>
        <w:rPr>
          <w:sz w:val="16"/>
        </w:rPr>
        <w:t xml:space="preserve">Domain (Sections 1.1) of the HES Framework available from </w:t>
      </w:r>
      <w:hyperlink r:id="rId26" w:history="1">
        <w:r>
          <w:rPr>
            <w:rStyle w:val="Hyperlink"/>
            <w:sz w:val="16"/>
          </w:rPr>
          <w:t>https://www.teqsa.gov.au/hesf-domain-1</w:t>
        </w:r>
      </w:hyperlink>
      <w:r>
        <w:rPr>
          <w:sz w:val="16"/>
        </w:rPr>
        <w:t>. Accessed on 6 October 2020.</w:t>
      </w:r>
    </w:p>
  </w:footnote>
  <w:footnote w:id="28">
    <w:p w14:paraId="05F8CD82" w14:textId="77777777" w:rsidR="000C1817" w:rsidRPr="00E417D0" w:rsidRDefault="000C1817" w:rsidP="00866076">
      <w:pPr>
        <w:pStyle w:val="FootnoteText"/>
        <w:spacing w:after="0"/>
        <w:rPr>
          <w:rFonts w:cs="Arial"/>
          <w:sz w:val="16"/>
          <w:szCs w:val="16"/>
        </w:rPr>
      </w:pPr>
      <w:r w:rsidRPr="00E417D0">
        <w:rPr>
          <w:rStyle w:val="FootnoteReference"/>
          <w:rFonts w:cs="Arial"/>
          <w:sz w:val="16"/>
          <w:szCs w:val="16"/>
        </w:rPr>
        <w:footnoteRef/>
      </w:r>
      <w:r w:rsidRPr="00E417D0">
        <w:rPr>
          <w:rFonts w:cs="Arial"/>
          <w:sz w:val="16"/>
          <w:szCs w:val="16"/>
        </w:rPr>
        <w:t xml:space="preserve"> Health Professions Network Nursing and Midwifery Office within the Department of Human</w:t>
      </w:r>
    </w:p>
    <w:p w14:paraId="34F09A5E" w14:textId="3EA05880" w:rsidR="000C1817" w:rsidRPr="00E417D0" w:rsidRDefault="000C1817">
      <w:pPr>
        <w:pStyle w:val="FootnoteText"/>
        <w:spacing w:after="0"/>
        <w:rPr>
          <w:rFonts w:cs="Arial"/>
          <w:sz w:val="16"/>
          <w:szCs w:val="16"/>
        </w:rPr>
      </w:pPr>
      <w:r w:rsidRPr="00E417D0">
        <w:rPr>
          <w:rFonts w:cs="Arial"/>
          <w:sz w:val="16"/>
          <w:szCs w:val="16"/>
        </w:rPr>
        <w:t>Resources for Health</w:t>
      </w:r>
      <w:r>
        <w:rPr>
          <w:rFonts w:cs="Arial"/>
          <w:sz w:val="16"/>
          <w:szCs w:val="16"/>
        </w:rPr>
        <w:t xml:space="preserve"> </w:t>
      </w:r>
      <w:r w:rsidRPr="00E417D0">
        <w:rPr>
          <w:rFonts w:cs="Arial"/>
          <w:sz w:val="16"/>
          <w:szCs w:val="16"/>
        </w:rPr>
        <w:t xml:space="preserve">(2010). </w:t>
      </w:r>
      <w:r>
        <w:rPr>
          <w:rFonts w:cs="Arial"/>
          <w:i/>
          <w:sz w:val="16"/>
          <w:szCs w:val="16"/>
        </w:rPr>
        <w:t>Framework for action on interprofessional education &amp; collaborative p</w:t>
      </w:r>
      <w:r w:rsidRPr="00E417D0">
        <w:rPr>
          <w:rFonts w:cs="Arial"/>
          <w:i/>
          <w:sz w:val="16"/>
          <w:szCs w:val="16"/>
        </w:rPr>
        <w:t>ractice</w:t>
      </w:r>
      <w:r w:rsidRPr="00E417D0">
        <w:rPr>
          <w:rFonts w:cs="Arial"/>
          <w:sz w:val="16"/>
          <w:szCs w:val="16"/>
        </w:rPr>
        <w:t xml:space="preserve">. </w:t>
      </w:r>
      <w:r w:rsidRPr="00E417D0">
        <w:rPr>
          <w:rFonts w:cs="Arial"/>
          <w:sz w:val="16"/>
          <w:szCs w:val="16"/>
          <w:lang w:val="en-US"/>
        </w:rPr>
        <w:t>Geneva, World Health Organization</w:t>
      </w:r>
      <w:r>
        <w:rPr>
          <w:rFonts w:cs="Arial"/>
          <w:sz w:val="16"/>
          <w:szCs w:val="16"/>
          <w:lang w:val="en-US"/>
        </w:rPr>
        <w:t xml:space="preserve"> </w:t>
      </w:r>
      <w:r>
        <w:rPr>
          <w:rFonts w:cs="Arial"/>
          <w:sz w:val="16"/>
          <w:szCs w:val="16"/>
        </w:rPr>
        <w:t>(WHO), see</w:t>
      </w:r>
      <w:r w:rsidRPr="00E417D0">
        <w:rPr>
          <w:rFonts w:cs="Arial"/>
          <w:sz w:val="16"/>
          <w:szCs w:val="16"/>
        </w:rPr>
        <w:t xml:space="preserve"> </w:t>
      </w:r>
      <w:hyperlink r:id="rId27" w:history="1">
        <w:r w:rsidRPr="00E417D0">
          <w:rPr>
            <w:rStyle w:val="Hyperlink"/>
            <w:rFonts w:cs="Arial"/>
            <w:sz w:val="16"/>
            <w:szCs w:val="16"/>
          </w:rPr>
          <w:t>www.who.int/hrh/resources/framework_action/en/</w:t>
        </w:r>
      </w:hyperlink>
      <w:r w:rsidRPr="00E417D0">
        <w:rPr>
          <w:rFonts w:cs="Arial"/>
          <w:sz w:val="16"/>
          <w:szCs w:val="16"/>
        </w:rPr>
        <w:t xml:space="preserve">. </w:t>
      </w:r>
      <w:r w:rsidRPr="00E417D0">
        <w:rPr>
          <w:sz w:val="16"/>
          <w:szCs w:val="16"/>
        </w:rPr>
        <w:t xml:space="preserve">Accessed 15 </w:t>
      </w:r>
      <w:r>
        <w:rPr>
          <w:sz w:val="16"/>
          <w:szCs w:val="16"/>
        </w:rPr>
        <w:t>January</w:t>
      </w:r>
      <w:r w:rsidRPr="00E417D0">
        <w:rPr>
          <w:sz w:val="16"/>
          <w:szCs w:val="16"/>
        </w:rPr>
        <w:t xml:space="preserve"> 20</w:t>
      </w:r>
      <w:r>
        <w:rPr>
          <w:sz w:val="16"/>
          <w:szCs w:val="16"/>
        </w:rPr>
        <w:t>20</w:t>
      </w:r>
      <w:r w:rsidRPr="00E417D0">
        <w:rPr>
          <w:sz w:val="16"/>
          <w:szCs w:val="16"/>
        </w:rPr>
        <w:t>.</w:t>
      </w:r>
    </w:p>
  </w:footnote>
  <w:footnote w:id="29">
    <w:p w14:paraId="0D5ECD16" w14:textId="7EC891A2" w:rsidR="000C1817" w:rsidRPr="00E417D0" w:rsidRDefault="000C1817" w:rsidP="004653E7">
      <w:pPr>
        <w:pStyle w:val="FootnoteText"/>
        <w:spacing w:after="0"/>
        <w:rPr>
          <w:rFonts w:cs="Arial"/>
          <w:sz w:val="16"/>
          <w:szCs w:val="16"/>
        </w:rPr>
      </w:pPr>
      <w:r w:rsidRPr="00E417D0">
        <w:rPr>
          <w:rStyle w:val="FootnoteReference"/>
          <w:rFonts w:cs="Arial"/>
          <w:sz w:val="16"/>
          <w:szCs w:val="16"/>
        </w:rPr>
        <w:footnoteRef/>
      </w:r>
      <w:r w:rsidRPr="00E417D0">
        <w:rPr>
          <w:rFonts w:cs="Arial"/>
          <w:sz w:val="16"/>
          <w:szCs w:val="16"/>
        </w:rPr>
        <w:t xml:space="preserve"> Adapted from Australian Qualifications Framework, Second Edition January 2013, see </w:t>
      </w:r>
      <w:hyperlink r:id="rId28" w:history="1">
        <w:r w:rsidRPr="00E417D0">
          <w:rPr>
            <w:rStyle w:val="Hyperlink"/>
            <w:rFonts w:cs="Arial"/>
            <w:sz w:val="16"/>
            <w:szCs w:val="16"/>
          </w:rPr>
          <w:t>www.aqf.edu.au/</w:t>
        </w:r>
      </w:hyperlink>
      <w:r w:rsidRPr="00E417D0">
        <w:rPr>
          <w:sz w:val="16"/>
          <w:szCs w:val="16"/>
        </w:rPr>
        <w:t>.</w:t>
      </w:r>
      <w:r>
        <w:rPr>
          <w:sz w:val="16"/>
          <w:szCs w:val="16"/>
        </w:rPr>
        <w:t xml:space="preserve"> Accessed 15 January 2020</w:t>
      </w:r>
    </w:p>
  </w:footnote>
  <w:footnote w:id="30">
    <w:p w14:paraId="08EE7CAB" w14:textId="77777777" w:rsidR="000C1817" w:rsidRPr="00E417D0" w:rsidRDefault="000C1817">
      <w:pPr>
        <w:pStyle w:val="FootnoteText"/>
        <w:spacing w:after="0"/>
        <w:rPr>
          <w:rFonts w:eastAsia="Times New Roman" w:cs="Arial"/>
          <w:sz w:val="16"/>
          <w:szCs w:val="16"/>
        </w:rPr>
      </w:pPr>
      <w:r w:rsidRPr="00E417D0">
        <w:rPr>
          <w:rFonts w:eastAsia="Times New Roman" w:cs="Arial"/>
          <w:sz w:val="16"/>
          <w:szCs w:val="16"/>
          <w:vertAlign w:val="superscript"/>
        </w:rPr>
        <w:footnoteRef/>
      </w:r>
      <w:r w:rsidRPr="00E417D0">
        <w:rPr>
          <w:rFonts w:eastAsia="Times New Roman" w:cs="Arial"/>
          <w:sz w:val="16"/>
          <w:szCs w:val="16"/>
        </w:rPr>
        <w:t xml:space="preserve"> Section 143(1) of the National Law.</w:t>
      </w:r>
    </w:p>
  </w:footnote>
  <w:footnote w:id="31">
    <w:p w14:paraId="40315E06" w14:textId="77777777" w:rsidR="000C1817" w:rsidRPr="00E417D0" w:rsidRDefault="000C1817">
      <w:pPr>
        <w:pStyle w:val="FootnoteText"/>
        <w:spacing w:after="0"/>
        <w:rPr>
          <w:rFonts w:cs="Arial"/>
          <w:sz w:val="16"/>
          <w:szCs w:val="16"/>
        </w:rPr>
      </w:pPr>
      <w:r w:rsidRPr="00E417D0">
        <w:rPr>
          <w:rStyle w:val="FootnoteReference"/>
          <w:rFonts w:cs="Arial"/>
          <w:sz w:val="16"/>
          <w:szCs w:val="16"/>
        </w:rPr>
        <w:footnoteRef/>
      </w:r>
      <w:r w:rsidRPr="00E417D0">
        <w:rPr>
          <w:rFonts w:cs="Arial"/>
          <w:sz w:val="16"/>
          <w:szCs w:val="16"/>
        </w:rPr>
        <w:t xml:space="preserve"> Section 144(2) of the National Law.</w:t>
      </w:r>
    </w:p>
  </w:footnote>
  <w:footnote w:id="32">
    <w:p w14:paraId="40F0E4F8" w14:textId="77777777" w:rsidR="000C1817" w:rsidRPr="00E417D0" w:rsidRDefault="000C1817">
      <w:pPr>
        <w:pStyle w:val="FootnoteText"/>
        <w:spacing w:after="0"/>
        <w:rPr>
          <w:rFonts w:cs="Arial"/>
          <w:sz w:val="16"/>
          <w:szCs w:val="16"/>
        </w:rPr>
      </w:pPr>
      <w:r w:rsidRPr="00E417D0">
        <w:rPr>
          <w:rStyle w:val="FootnoteReference"/>
          <w:rFonts w:cs="Arial"/>
          <w:sz w:val="16"/>
          <w:szCs w:val="16"/>
        </w:rPr>
        <w:footnoteRef/>
      </w:r>
      <w:r w:rsidRPr="00E417D0">
        <w:rPr>
          <w:rFonts w:cs="Arial"/>
          <w:sz w:val="16"/>
          <w:szCs w:val="16"/>
        </w:rPr>
        <w:t xml:space="preserve"> Section 5 of the National Law</w:t>
      </w:r>
    </w:p>
  </w:footnote>
  <w:footnote w:id="33">
    <w:p w14:paraId="730E721E" w14:textId="77777777" w:rsidR="000C1817" w:rsidRPr="00C05B1C" w:rsidRDefault="000C1817" w:rsidP="00CE285C">
      <w:pPr>
        <w:pStyle w:val="FootnoteText"/>
        <w:rPr>
          <w:lang w:val="en-US"/>
        </w:rPr>
      </w:pPr>
      <w:r>
        <w:rPr>
          <w:rStyle w:val="FootnoteReference"/>
        </w:rPr>
        <w:footnoteRef/>
      </w:r>
      <w:r>
        <w:t xml:space="preserve"> </w:t>
      </w:r>
      <w:r w:rsidRPr="00C05B1C">
        <w:rPr>
          <w:sz w:val="16"/>
          <w:lang w:val="en-US"/>
        </w:rPr>
        <w:t xml:space="preserve">Definition adapted from National Prescribing Service </w:t>
      </w:r>
      <w:r w:rsidRPr="00C05B1C">
        <w:rPr>
          <w:i/>
          <w:sz w:val="16"/>
          <w:lang w:val="en-US"/>
        </w:rPr>
        <w:t>Better Choices: Better Health. Competencies required to prescribe medicines: putting quality use of medicines into practice</w:t>
      </w:r>
      <w:r w:rsidRPr="00C05B1C">
        <w:rPr>
          <w:sz w:val="16"/>
          <w:lang w:val="en-US"/>
        </w:rPr>
        <w:t>. Sydney, National Prescribing Service Limited. 2012</w:t>
      </w:r>
    </w:p>
  </w:footnote>
  <w:footnote w:id="34">
    <w:p w14:paraId="462E74FF" w14:textId="77777777" w:rsidR="000C1817" w:rsidRPr="00F46652" w:rsidRDefault="000C1817" w:rsidP="00977CBC">
      <w:pPr>
        <w:pStyle w:val="FootnoteText"/>
        <w:spacing w:after="0"/>
        <w:rPr>
          <w:lang w:val="en-US"/>
        </w:rPr>
      </w:pPr>
      <w:r>
        <w:rPr>
          <w:rStyle w:val="FootnoteReference"/>
        </w:rPr>
        <w:footnoteRef/>
      </w:r>
      <w:r>
        <w:t xml:space="preserve"> </w:t>
      </w:r>
      <w:r w:rsidRPr="00977CBC">
        <w:rPr>
          <w:sz w:val="16"/>
          <w:szCs w:val="16"/>
        </w:rPr>
        <w:t xml:space="preserve">Podiatry Board of Australia, Registration standard: Endorsement for scheduled medicines, available from  </w:t>
      </w:r>
      <w:hyperlink r:id="rId29" w:history="1">
        <w:r w:rsidRPr="00977CBC">
          <w:rPr>
            <w:color w:val="0000FF"/>
            <w:sz w:val="16"/>
            <w:szCs w:val="16"/>
            <w:u w:val="single"/>
          </w:rPr>
          <w:t>https://www.podiatryboard.gov.au/Registration-Standards.aspx</w:t>
        </w:r>
      </w:hyperlink>
      <w:r w:rsidRPr="00977CBC">
        <w:rPr>
          <w:sz w:val="16"/>
          <w:szCs w:val="16"/>
        </w:rPr>
        <w:t xml:space="preserve"> . Accessed 26 January 2020.</w:t>
      </w:r>
    </w:p>
  </w:footnote>
  <w:footnote w:id="35">
    <w:p w14:paraId="027091EE" w14:textId="77777777" w:rsidR="000C1817" w:rsidRDefault="000C1817" w:rsidP="00977CBC">
      <w:pPr>
        <w:pStyle w:val="FootnoteText"/>
        <w:spacing w:after="0"/>
        <w:rPr>
          <w:lang w:val="en-US"/>
        </w:rPr>
      </w:pPr>
      <w:r>
        <w:rPr>
          <w:rStyle w:val="FootnoteReference"/>
        </w:rPr>
        <w:footnoteRef/>
      </w:r>
      <w:r>
        <w:t xml:space="preserve"> </w:t>
      </w:r>
      <w:r>
        <w:rPr>
          <w:sz w:val="16"/>
          <w:lang w:val="en-US"/>
        </w:rPr>
        <w:t xml:space="preserve">Definition adapted from National Prescribing Service </w:t>
      </w:r>
      <w:r>
        <w:rPr>
          <w:i/>
          <w:sz w:val="16"/>
          <w:lang w:val="en-US"/>
        </w:rPr>
        <w:t>Better Choices: Better Health. Competencies required to prescribe medicines: putting quality use of medicines into practice</w:t>
      </w:r>
      <w:r>
        <w:rPr>
          <w:sz w:val="16"/>
          <w:lang w:val="en-US"/>
        </w:rPr>
        <w:t>. Sydney, National Prescribing Service Limited. 2012</w:t>
      </w:r>
    </w:p>
  </w:footnote>
  <w:footnote w:id="36">
    <w:p w14:paraId="31B8C634" w14:textId="269E1EE5" w:rsidR="000C1817" w:rsidRDefault="000C1817" w:rsidP="00D0306C">
      <w:pPr>
        <w:pStyle w:val="FootnoteText"/>
        <w:spacing w:after="0"/>
      </w:pPr>
      <w:r>
        <w:rPr>
          <w:rStyle w:val="FootnoteReference"/>
        </w:rPr>
        <w:footnoteRef/>
      </w:r>
      <w:r>
        <w:t xml:space="preserve"> </w:t>
      </w:r>
      <w:r>
        <w:rPr>
          <w:sz w:val="16"/>
          <w:szCs w:val="16"/>
        </w:rPr>
        <w:t xml:space="preserve">Australian Human Rights Commission ‘quick guide on reasonable adjustments’, see </w:t>
      </w:r>
      <w:hyperlink r:id="rId30" w:history="1">
        <w:r>
          <w:rPr>
            <w:rStyle w:val="Hyperlink"/>
            <w:sz w:val="16"/>
            <w:szCs w:val="16"/>
          </w:rPr>
          <w:t>www.humanrights.gov.au/quick-guide/12084</w:t>
        </w:r>
      </w:hyperlink>
      <w:r>
        <w:rPr>
          <w:sz w:val="16"/>
          <w:szCs w:val="16"/>
        </w:rPr>
        <w:t>. Accessed 15 January 2020.</w:t>
      </w:r>
    </w:p>
  </w:footnote>
  <w:footnote w:id="37">
    <w:p w14:paraId="748CE14C" w14:textId="5B23B051" w:rsidR="000C1817" w:rsidRPr="00E417D0" w:rsidRDefault="000C1817">
      <w:pPr>
        <w:rPr>
          <w:rFonts w:ascii="Arial" w:hAnsi="Arial" w:cs="Arial"/>
          <w:sz w:val="16"/>
          <w:szCs w:val="16"/>
        </w:rPr>
      </w:pPr>
      <w:r w:rsidRPr="00E417D0">
        <w:rPr>
          <w:rStyle w:val="FootnoteReference"/>
          <w:rFonts w:eastAsia="Batang" w:cs="Arial"/>
          <w:sz w:val="16"/>
          <w:szCs w:val="16"/>
        </w:rPr>
        <w:footnoteRef/>
      </w:r>
      <w:r w:rsidRPr="00E417D0">
        <w:rPr>
          <w:rFonts w:ascii="Arial" w:hAnsi="Arial" w:cs="Arial"/>
          <w:sz w:val="16"/>
          <w:szCs w:val="16"/>
        </w:rPr>
        <w:t xml:space="preserve"> </w:t>
      </w:r>
      <w:bookmarkStart w:id="52" w:name="_Hlk3367668"/>
      <w:r w:rsidRPr="00314007">
        <w:rPr>
          <w:rFonts w:ascii="Arial" w:hAnsi="Arial" w:cs="Arial"/>
          <w:sz w:val="16"/>
          <w:szCs w:val="16"/>
        </w:rPr>
        <w:t>‘</w:t>
      </w:r>
      <w:r w:rsidRPr="00F473A3">
        <w:rPr>
          <w:rFonts w:ascii="Arial" w:hAnsi="Arial" w:cs="Arial"/>
          <w:sz w:val="16"/>
          <w:szCs w:val="16"/>
        </w:rPr>
        <w:t>Principles of Assessment – Part 1 (Reliability)</w:t>
      </w:r>
      <w:r w:rsidRPr="00314007">
        <w:rPr>
          <w:rFonts w:ascii="Arial" w:hAnsi="Arial" w:cs="Arial"/>
          <w:sz w:val="16"/>
          <w:szCs w:val="16"/>
        </w:rPr>
        <w:t xml:space="preserve">, </w:t>
      </w:r>
      <w:r w:rsidRPr="00F473A3">
        <w:rPr>
          <w:rFonts w:ascii="Arial" w:hAnsi="Arial" w:cs="Arial"/>
          <w:sz w:val="16"/>
          <w:szCs w:val="16"/>
        </w:rPr>
        <w:t xml:space="preserve">see </w:t>
      </w:r>
      <w:hyperlink r:id="rId31" w:history="1">
        <w:r w:rsidRPr="00F473A3">
          <w:rPr>
            <w:rStyle w:val="Hyperlink"/>
            <w:rFonts w:ascii="Arial" w:eastAsia="Cambria" w:hAnsi="Arial" w:cs="Arial"/>
            <w:sz w:val="16"/>
            <w:szCs w:val="16"/>
          </w:rPr>
          <w:t>www.ittacademy.net.au/principles-assessment-part-1/</w:t>
        </w:r>
      </w:hyperlink>
      <w:r>
        <w:rPr>
          <w:rFonts w:ascii="Arial" w:hAnsi="Arial" w:cs="Arial"/>
          <w:sz w:val="16"/>
          <w:szCs w:val="16"/>
        </w:rPr>
        <w:t>. Accessed</w:t>
      </w:r>
      <w:r w:rsidRPr="00314007">
        <w:rPr>
          <w:rFonts w:ascii="Arial" w:hAnsi="Arial" w:cs="Arial"/>
          <w:sz w:val="16"/>
          <w:szCs w:val="16"/>
        </w:rPr>
        <w:t xml:space="preserve"> 15 </w:t>
      </w:r>
      <w:r>
        <w:rPr>
          <w:rFonts w:ascii="Arial" w:hAnsi="Arial" w:cs="Arial"/>
          <w:sz w:val="16"/>
          <w:szCs w:val="16"/>
        </w:rPr>
        <w:t>January</w:t>
      </w:r>
      <w:r w:rsidRPr="00314007">
        <w:rPr>
          <w:rFonts w:ascii="Arial" w:hAnsi="Arial" w:cs="Arial"/>
          <w:sz w:val="16"/>
          <w:szCs w:val="16"/>
        </w:rPr>
        <w:t xml:space="preserve"> 20</w:t>
      </w:r>
      <w:r>
        <w:rPr>
          <w:rFonts w:ascii="Arial" w:hAnsi="Arial" w:cs="Arial"/>
          <w:sz w:val="16"/>
          <w:szCs w:val="16"/>
        </w:rPr>
        <w:t>20</w:t>
      </w:r>
      <w:r w:rsidRPr="00314007">
        <w:rPr>
          <w:rFonts w:ascii="Arial" w:hAnsi="Arial" w:cs="Arial"/>
          <w:sz w:val="16"/>
          <w:szCs w:val="16"/>
        </w:rPr>
        <w:t>.</w:t>
      </w:r>
      <w:bookmarkEnd w:id="52"/>
    </w:p>
  </w:footnote>
  <w:footnote w:id="38">
    <w:p w14:paraId="57C03A12" w14:textId="30A7D344" w:rsidR="000C1817" w:rsidRPr="00EB58CB" w:rsidRDefault="000C1817">
      <w:pPr>
        <w:rPr>
          <w:rFonts w:ascii="Arial" w:hAnsi="Arial" w:cs="Arial"/>
          <w:sz w:val="16"/>
          <w:szCs w:val="16"/>
        </w:rPr>
      </w:pPr>
      <w:r w:rsidRPr="00EB58CB">
        <w:rPr>
          <w:rStyle w:val="FootnoteReference"/>
          <w:rFonts w:cs="Arial"/>
          <w:sz w:val="16"/>
          <w:szCs w:val="16"/>
        </w:rPr>
        <w:footnoteRef/>
      </w:r>
      <w:r w:rsidRPr="00EB58CB">
        <w:rPr>
          <w:rFonts w:ascii="Arial" w:hAnsi="Arial" w:cs="Arial"/>
          <w:sz w:val="16"/>
          <w:szCs w:val="16"/>
        </w:rPr>
        <w:t xml:space="preserve"> Patrick, C-j., Peach, D., Pocknee, C., Webb, F., Fletcher, M., Pretto, G. (2008), ‘</w:t>
      </w:r>
      <w:r w:rsidRPr="00EB58CB">
        <w:rPr>
          <w:rFonts w:ascii="Arial" w:hAnsi="Arial" w:cs="Arial"/>
          <w:i/>
          <w:sz w:val="16"/>
          <w:szCs w:val="16"/>
        </w:rPr>
        <w:t>The Work Integrated Learning report: A national scoping study [Australian Learning and Teaching Council (ALTC) Final report]</w:t>
      </w:r>
      <w:r w:rsidRPr="00EB58CB">
        <w:rPr>
          <w:rFonts w:ascii="Arial" w:hAnsi="Arial" w:cs="Arial"/>
          <w:sz w:val="16"/>
          <w:szCs w:val="16"/>
        </w:rPr>
        <w:t xml:space="preserve">,’ Brisbane: Queensland University of Technology, see </w:t>
      </w:r>
      <w:hyperlink r:id="rId32" w:history="1">
        <w:r w:rsidRPr="00EB58CB">
          <w:rPr>
            <w:rStyle w:val="Hyperlink"/>
            <w:rFonts w:ascii="Arial" w:hAnsi="Arial" w:cs="Arial"/>
            <w:sz w:val="16"/>
            <w:szCs w:val="16"/>
          </w:rPr>
          <w:t>https://eprints.qut.edu.au/44065/1/WIL-Report-grants-project-jan09.pdf</w:t>
        </w:r>
      </w:hyperlink>
      <w:r w:rsidRPr="00EB58CB">
        <w:rPr>
          <w:rFonts w:ascii="Arial" w:hAnsi="Arial" w:cs="Arial"/>
          <w:sz w:val="16"/>
          <w:szCs w:val="16"/>
        </w:rPr>
        <w:t xml:space="preserve">. Accessed </w:t>
      </w:r>
      <w:r>
        <w:rPr>
          <w:rFonts w:ascii="Arial" w:hAnsi="Arial" w:cs="Arial"/>
          <w:sz w:val="16"/>
          <w:szCs w:val="16"/>
        </w:rPr>
        <w:t>15 January</w:t>
      </w:r>
      <w:r w:rsidRPr="00EB58CB">
        <w:rPr>
          <w:rFonts w:ascii="Arial" w:hAnsi="Arial" w:cs="Arial"/>
          <w:sz w:val="16"/>
          <w:szCs w:val="16"/>
        </w:rPr>
        <w:t xml:space="preserve"> 20</w:t>
      </w:r>
      <w:r>
        <w:rPr>
          <w:rFonts w:ascii="Arial" w:hAnsi="Arial" w:cs="Arial"/>
          <w:sz w:val="16"/>
          <w:szCs w:val="16"/>
        </w:rPr>
        <w:t>20</w:t>
      </w:r>
      <w:r w:rsidRPr="00EB58CB">
        <w:rPr>
          <w:rFonts w:ascii="Arial" w:hAnsi="Arial" w:cs="Arial"/>
          <w:sz w:val="16"/>
          <w:szCs w:val="16"/>
        </w:rPr>
        <w:t>.</w:t>
      </w:r>
    </w:p>
    <w:p w14:paraId="637680BF" w14:textId="0FE2FF37" w:rsidR="000C1817" w:rsidRDefault="000C181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A7EEC" w14:textId="24EB4B43" w:rsidR="000C1817" w:rsidRDefault="000C1817" w:rsidP="002838B3">
    <w:pPr>
      <w:pStyle w:val="AHPRAAUtablebulletlevel1"/>
    </w:pPr>
    <w:bookmarkStart w:id="55" w:name="_Hlk55215623"/>
    <w:r>
      <w:t xml:space="preserve">Attachment </w:t>
    </w:r>
    <w:bookmarkEnd w:id="55"/>
    <w:r>
      <w:t xml:space="preserve">B3 </w:t>
    </w:r>
  </w:p>
  <w:p w14:paraId="0023F26A" w14:textId="77777777" w:rsidR="000C1817" w:rsidRDefault="000C1817" w:rsidP="002838B3">
    <w:pPr>
      <w:jc w:val="right"/>
    </w:pPr>
    <w:r>
      <w:rPr>
        <w:noProof/>
      </w:rPr>
      <w:drawing>
        <wp:inline distT="0" distB="0" distL="0" distR="0" wp14:anchorId="7E177557" wp14:editId="64FD8A95">
          <wp:extent cx="3262334" cy="126410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7378" cy="1285432"/>
                  </a:xfrm>
                  <a:prstGeom prst="rect">
                    <a:avLst/>
                  </a:prstGeom>
                  <a:noFill/>
                  <a:ln>
                    <a:noFill/>
                  </a:ln>
                </pic:spPr>
              </pic:pic>
            </a:graphicData>
          </a:graphic>
        </wp:inline>
      </w:drawing>
    </w:r>
  </w:p>
  <w:p w14:paraId="119E8018" w14:textId="4AF0CABC" w:rsidR="000C1817" w:rsidRDefault="000C1817" w:rsidP="002838B3">
    <w:pPr>
      <w:pStyle w:val="Header"/>
      <w:tabs>
        <w:tab w:val="clear" w:pos="4513"/>
        <w:tab w:val="clear" w:pos="9026"/>
        <w:tab w:val="left" w:pos="1632"/>
        <w:tab w:val="left" w:pos="5143"/>
      </w:tabs>
    </w:pPr>
    <w:r>
      <w:rPr>
        <w:color w:val="FF0000"/>
        <w:sz w:val="20"/>
        <w:szCs w:val="20"/>
      </w:rPr>
      <w:tab/>
    </w:r>
    <w:r>
      <w:rPr>
        <w:color w:val="FF0000"/>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2436"/>
    <w:multiLevelType w:val="hybridMultilevel"/>
    <w:tmpl w:val="DD9080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B42B23"/>
    <w:multiLevelType w:val="hybridMultilevel"/>
    <w:tmpl w:val="980ECF98"/>
    <w:lvl w:ilvl="0" w:tplc="816696CA">
      <w:start w:val="1"/>
      <w:numFmt w:val="decimal"/>
      <w:pStyle w:val="AHPRAbodyContextparanumbered"/>
      <w:lvlText w:val="%1."/>
      <w:lvlJc w:val="left"/>
      <w:pPr>
        <w:ind w:left="360" w:hanging="360"/>
      </w:pPr>
      <w:rPr>
        <w:rFonts w:ascii="Arial" w:hAnsi="Arial" w:hint="default"/>
        <w:b w:val="0"/>
        <w:i w:val="0"/>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7744C5"/>
    <w:multiLevelType w:val="hybridMultilevel"/>
    <w:tmpl w:val="313C1D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7265B6B"/>
    <w:multiLevelType w:val="hybridMultilevel"/>
    <w:tmpl w:val="B95C8A7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4"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5" w15:restartNumberingAfterBreak="0">
    <w:nsid w:val="0C037DB3"/>
    <w:multiLevelType w:val="multilevel"/>
    <w:tmpl w:val="BE20683A"/>
    <w:numStyleLink w:val="AHPRANumberedheadinglist"/>
  </w:abstractNum>
  <w:abstractNum w:abstractNumId="6" w15:restartNumberingAfterBreak="0">
    <w:nsid w:val="0C0F4699"/>
    <w:multiLevelType w:val="hybridMultilevel"/>
    <w:tmpl w:val="9D02E5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8" w15:restartNumberingAfterBreak="0">
    <w:nsid w:val="10611336"/>
    <w:multiLevelType w:val="hybridMultilevel"/>
    <w:tmpl w:val="C51EC6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14817C0"/>
    <w:multiLevelType w:val="multilevel"/>
    <w:tmpl w:val="D1F2A6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5A16804"/>
    <w:multiLevelType w:val="hybridMultilevel"/>
    <w:tmpl w:val="3928291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9AB7390"/>
    <w:multiLevelType w:val="hybridMultilevel"/>
    <w:tmpl w:val="4C6659E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B5D76A8"/>
    <w:multiLevelType w:val="hybridMultilevel"/>
    <w:tmpl w:val="57D86B40"/>
    <w:lvl w:ilvl="0" w:tplc="04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1BA96AF6"/>
    <w:multiLevelType w:val="hybridMultilevel"/>
    <w:tmpl w:val="CFA8116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E0F4D18"/>
    <w:multiLevelType w:val="hybridMultilevel"/>
    <w:tmpl w:val="A24CCD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EE02CEF"/>
    <w:multiLevelType w:val="hybridMultilevel"/>
    <w:tmpl w:val="8728A1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257327"/>
    <w:multiLevelType w:val="hybridMultilevel"/>
    <w:tmpl w:val="D9261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13940DF"/>
    <w:multiLevelType w:val="hybridMultilevel"/>
    <w:tmpl w:val="AA700BA6"/>
    <w:lvl w:ilvl="0" w:tplc="300A4E22">
      <w:start w:val="1"/>
      <w:numFmt w:val="bullet"/>
      <w:pStyle w:val="Tabletextwithnumberinglevel1"/>
      <w:lvlText w:val=""/>
      <w:lvlJc w:val="left"/>
      <w:pPr>
        <w:ind w:left="360" w:hanging="360"/>
      </w:pPr>
      <w:rPr>
        <w:rFonts w:ascii="Symbol" w:hAnsi="Symbol" w:hint="default"/>
        <w:sz w:val="20"/>
        <w:szCs w:val="20"/>
      </w:rPr>
    </w:lvl>
    <w:lvl w:ilvl="1" w:tplc="6B924F9E">
      <w:numFmt w:val="bullet"/>
      <w:lvlText w:val="-"/>
      <w:lvlJc w:val="left"/>
      <w:pPr>
        <w:ind w:left="1440" w:hanging="360"/>
      </w:pPr>
      <w:rPr>
        <w:rFonts w:ascii="Arial" w:eastAsia="Cambria"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6767C5"/>
    <w:multiLevelType w:val="hybridMultilevel"/>
    <w:tmpl w:val="9AFC32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695684C"/>
    <w:multiLevelType w:val="hybridMultilevel"/>
    <w:tmpl w:val="E78A5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C3422D"/>
    <w:multiLevelType w:val="hybridMultilevel"/>
    <w:tmpl w:val="B0CE6E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75D5900"/>
    <w:multiLevelType w:val="hybridMultilevel"/>
    <w:tmpl w:val="4352FB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2" w15:restartNumberingAfterBreak="0">
    <w:nsid w:val="2A4007D4"/>
    <w:multiLevelType w:val="hybridMultilevel"/>
    <w:tmpl w:val="832A6AAC"/>
    <w:lvl w:ilvl="0" w:tplc="0C090001">
      <w:start w:val="1"/>
      <w:numFmt w:val="bullet"/>
      <w:lvlText w:val=""/>
      <w:lvlJc w:val="left"/>
      <w:pPr>
        <w:ind w:left="360" w:hanging="360"/>
      </w:pPr>
      <w:rPr>
        <w:rFonts w:ascii="Symbol" w:hAnsi="Symbol" w:hint="default"/>
      </w:rPr>
    </w:lvl>
    <w:lvl w:ilvl="1" w:tplc="2D14BE4E">
      <w:start w:val="1"/>
      <w:numFmt w:val="bullet"/>
      <w:lvlText w:val="-"/>
      <w:lvlJc w:val="left"/>
      <w:pPr>
        <w:ind w:left="1080" w:hanging="360"/>
      </w:pPr>
      <w:rPr>
        <w:rFonts w:ascii="Arial" w:eastAsia="Times New Roman"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4833F60"/>
    <w:multiLevelType w:val="hybridMultilevel"/>
    <w:tmpl w:val="E94CCC3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6580C5D"/>
    <w:multiLevelType w:val="hybridMultilevel"/>
    <w:tmpl w:val="1882AC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734082D"/>
    <w:multiLevelType w:val="hybridMultilevel"/>
    <w:tmpl w:val="D384F504"/>
    <w:lvl w:ilvl="0" w:tplc="A31A89CC">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6" w15:restartNumberingAfterBreak="0">
    <w:nsid w:val="40EE3A1A"/>
    <w:multiLevelType w:val="hybridMultilevel"/>
    <w:tmpl w:val="A008B908"/>
    <w:lvl w:ilvl="0" w:tplc="F70870BC">
      <w:start w:val="1"/>
      <w:numFmt w:val="decimal"/>
      <w:pStyle w:val="ALHeading2"/>
      <w:lvlText w:val="5.3.%1"/>
      <w:lvlJc w:val="left"/>
      <w:pPr>
        <w:ind w:left="36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2BB3A43"/>
    <w:multiLevelType w:val="hybridMultilevel"/>
    <w:tmpl w:val="A5B8036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8" w15:restartNumberingAfterBreak="0">
    <w:nsid w:val="45576330"/>
    <w:multiLevelType w:val="hybridMultilevel"/>
    <w:tmpl w:val="28246F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7C76C60"/>
    <w:multiLevelType w:val="hybridMultilevel"/>
    <w:tmpl w:val="F120216A"/>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30" w15:restartNumberingAfterBreak="0">
    <w:nsid w:val="48192FC6"/>
    <w:multiLevelType w:val="hybridMultilevel"/>
    <w:tmpl w:val="4B4609AE"/>
    <w:lvl w:ilvl="0" w:tplc="D9FAF7CC">
      <w:start w:val="1"/>
      <w:numFmt w:val="bullet"/>
      <w:pStyle w:val="AHPRABulletlevel1"/>
      <w:lvlText w:val=""/>
      <w:lvlJc w:val="left"/>
      <w:pPr>
        <w:ind w:left="378" w:hanging="360"/>
      </w:pPr>
      <w:rPr>
        <w:rFonts w:ascii="Symbol" w:hAnsi="Symbol" w:hint="default"/>
      </w:rPr>
    </w:lvl>
    <w:lvl w:ilvl="1" w:tplc="04090019" w:tentative="1">
      <w:start w:val="1"/>
      <w:numFmt w:val="bullet"/>
      <w:lvlText w:val="o"/>
      <w:lvlJc w:val="left"/>
      <w:pPr>
        <w:ind w:left="1098" w:hanging="360"/>
      </w:pPr>
      <w:rPr>
        <w:rFonts w:ascii="Courier New" w:hAnsi="Courier New" w:cs="Courier New" w:hint="default"/>
      </w:rPr>
    </w:lvl>
    <w:lvl w:ilvl="2" w:tplc="0409001B" w:tentative="1">
      <w:start w:val="1"/>
      <w:numFmt w:val="bullet"/>
      <w:lvlText w:val=""/>
      <w:lvlJc w:val="left"/>
      <w:pPr>
        <w:ind w:left="1818" w:hanging="360"/>
      </w:pPr>
      <w:rPr>
        <w:rFonts w:ascii="Wingdings" w:hAnsi="Wingdings" w:hint="default"/>
      </w:rPr>
    </w:lvl>
    <w:lvl w:ilvl="3" w:tplc="0409000F" w:tentative="1">
      <w:start w:val="1"/>
      <w:numFmt w:val="bullet"/>
      <w:lvlText w:val=""/>
      <w:lvlJc w:val="left"/>
      <w:pPr>
        <w:ind w:left="2538" w:hanging="360"/>
      </w:pPr>
      <w:rPr>
        <w:rFonts w:ascii="Symbol" w:hAnsi="Symbol" w:hint="default"/>
      </w:rPr>
    </w:lvl>
    <w:lvl w:ilvl="4" w:tplc="04090019" w:tentative="1">
      <w:start w:val="1"/>
      <w:numFmt w:val="bullet"/>
      <w:lvlText w:val="o"/>
      <w:lvlJc w:val="left"/>
      <w:pPr>
        <w:ind w:left="3258" w:hanging="360"/>
      </w:pPr>
      <w:rPr>
        <w:rFonts w:ascii="Courier New" w:hAnsi="Courier New" w:cs="Courier New" w:hint="default"/>
      </w:rPr>
    </w:lvl>
    <w:lvl w:ilvl="5" w:tplc="0409001B" w:tentative="1">
      <w:start w:val="1"/>
      <w:numFmt w:val="bullet"/>
      <w:lvlText w:val=""/>
      <w:lvlJc w:val="left"/>
      <w:pPr>
        <w:ind w:left="3978" w:hanging="360"/>
      </w:pPr>
      <w:rPr>
        <w:rFonts w:ascii="Wingdings" w:hAnsi="Wingdings" w:hint="default"/>
      </w:rPr>
    </w:lvl>
    <w:lvl w:ilvl="6" w:tplc="0409000F" w:tentative="1">
      <w:start w:val="1"/>
      <w:numFmt w:val="bullet"/>
      <w:lvlText w:val=""/>
      <w:lvlJc w:val="left"/>
      <w:pPr>
        <w:ind w:left="4698" w:hanging="360"/>
      </w:pPr>
      <w:rPr>
        <w:rFonts w:ascii="Symbol" w:hAnsi="Symbol" w:hint="default"/>
      </w:rPr>
    </w:lvl>
    <w:lvl w:ilvl="7" w:tplc="04090019" w:tentative="1">
      <w:start w:val="1"/>
      <w:numFmt w:val="bullet"/>
      <w:lvlText w:val="o"/>
      <w:lvlJc w:val="left"/>
      <w:pPr>
        <w:ind w:left="5418" w:hanging="360"/>
      </w:pPr>
      <w:rPr>
        <w:rFonts w:ascii="Courier New" w:hAnsi="Courier New" w:cs="Courier New" w:hint="default"/>
      </w:rPr>
    </w:lvl>
    <w:lvl w:ilvl="8" w:tplc="0409001B" w:tentative="1">
      <w:start w:val="1"/>
      <w:numFmt w:val="bullet"/>
      <w:lvlText w:val=""/>
      <w:lvlJc w:val="left"/>
      <w:pPr>
        <w:ind w:left="6138" w:hanging="360"/>
      </w:pPr>
      <w:rPr>
        <w:rFonts w:ascii="Wingdings" w:hAnsi="Wingdings" w:hint="default"/>
      </w:rPr>
    </w:lvl>
  </w:abstractNum>
  <w:abstractNum w:abstractNumId="31" w15:restartNumberingAfterBreak="0">
    <w:nsid w:val="498407AC"/>
    <w:multiLevelType w:val="hybridMultilevel"/>
    <w:tmpl w:val="4C6659E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D724E8F"/>
    <w:multiLevelType w:val="hybridMultilevel"/>
    <w:tmpl w:val="1450B9E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6512CFF"/>
    <w:multiLevelType w:val="hybridMultilevel"/>
    <w:tmpl w:val="A61E39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7691FF5"/>
    <w:multiLevelType w:val="hybridMultilevel"/>
    <w:tmpl w:val="447C9A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B050BE0"/>
    <w:multiLevelType w:val="hybridMultilevel"/>
    <w:tmpl w:val="7E48FCC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6" w15:restartNumberingAfterBreak="0">
    <w:nsid w:val="5F1C77DC"/>
    <w:multiLevelType w:val="hybridMultilevel"/>
    <w:tmpl w:val="13B43C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616F2CAF"/>
    <w:multiLevelType w:val="hybridMultilevel"/>
    <w:tmpl w:val="FD04282A"/>
    <w:lvl w:ilvl="0" w:tplc="2D14BE4E">
      <w:start w:val="1"/>
      <w:numFmt w:val="bullet"/>
      <w:lvlText w:val="-"/>
      <w:lvlJc w:val="left"/>
      <w:pPr>
        <w:ind w:left="1080" w:hanging="360"/>
      </w:pPr>
      <w:rPr>
        <w:rFonts w:ascii="Arial" w:eastAsia="Times New Roman" w:hAnsi="Arial" w:cs="Arial" w:hint="default"/>
      </w:rPr>
    </w:lvl>
    <w:lvl w:ilvl="1" w:tplc="2D14BE4E">
      <w:start w:val="1"/>
      <w:numFmt w:val="bullet"/>
      <w:lvlText w:val="-"/>
      <w:lvlJc w:val="left"/>
      <w:pPr>
        <w:ind w:left="1800" w:hanging="360"/>
      </w:pPr>
      <w:rPr>
        <w:rFonts w:ascii="Arial" w:eastAsia="Times New Roman" w:hAnsi="Arial"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651D4D64"/>
    <w:multiLevelType w:val="hybridMultilevel"/>
    <w:tmpl w:val="F1AE2DF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692486B"/>
    <w:multiLevelType w:val="hybridMultilevel"/>
    <w:tmpl w:val="915633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A9F2ACF"/>
    <w:multiLevelType w:val="multilevel"/>
    <w:tmpl w:val="4FF4CCA8"/>
    <w:styleLink w:val="AHPRAlist"/>
    <w:lvl w:ilvl="0">
      <w:start w:val="1"/>
      <w:numFmt w:val="decimal"/>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41" w15:restartNumberingAfterBreak="0">
    <w:nsid w:val="6ACC55E0"/>
    <w:multiLevelType w:val="hybridMultilevel"/>
    <w:tmpl w:val="C96835DA"/>
    <w:lvl w:ilvl="0" w:tplc="0C090001">
      <w:start w:val="1"/>
      <w:numFmt w:val="bullet"/>
      <w:pStyle w:val="AHPRABulletlevel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2" w15:restartNumberingAfterBreak="0">
    <w:nsid w:val="6AE9423B"/>
    <w:multiLevelType w:val="hybridMultilevel"/>
    <w:tmpl w:val="73723C64"/>
    <w:lvl w:ilvl="0" w:tplc="FFFFFFFF">
      <w:start w:val="1"/>
      <w:numFmt w:val="lowerLetter"/>
      <w:lvlText w:val="(%1)"/>
      <w:lvlJc w:val="left"/>
      <w:pPr>
        <w:tabs>
          <w:tab w:val="num" w:pos="720"/>
        </w:tabs>
        <w:ind w:left="1276" w:hanging="556"/>
      </w:pPr>
      <w:rPr>
        <w:rFonts w:hint="default"/>
      </w:rPr>
    </w:lvl>
    <w:lvl w:ilvl="1" w:tplc="FFFFFFFF">
      <w:start w:val="1"/>
      <w:numFmt w:val="lowerRoman"/>
      <w:pStyle w:val="AHPRANumbered"/>
      <w:lvlText w:val="(%2)"/>
      <w:lvlJc w:val="left"/>
      <w:pPr>
        <w:ind w:left="1431" w:hanging="360"/>
      </w:pPr>
      <w:rPr>
        <w:rFonts w:hint="default"/>
      </w:rPr>
    </w:lvl>
    <w:lvl w:ilvl="2" w:tplc="FFFFFFFF">
      <w:start w:val="1"/>
      <w:numFmt w:val="lowerRoman"/>
      <w:lvlText w:val="%3."/>
      <w:lvlJc w:val="right"/>
      <w:pPr>
        <w:ind w:left="2151" w:hanging="180"/>
      </w:pPr>
    </w:lvl>
    <w:lvl w:ilvl="3" w:tplc="FFFFFFFF" w:tentative="1">
      <w:start w:val="1"/>
      <w:numFmt w:val="decimal"/>
      <w:lvlText w:val="%4."/>
      <w:lvlJc w:val="left"/>
      <w:pPr>
        <w:ind w:left="2871" w:hanging="360"/>
      </w:pPr>
    </w:lvl>
    <w:lvl w:ilvl="4" w:tplc="FFFFFFFF" w:tentative="1">
      <w:start w:val="1"/>
      <w:numFmt w:val="lowerLetter"/>
      <w:lvlText w:val="%5."/>
      <w:lvlJc w:val="left"/>
      <w:pPr>
        <w:ind w:left="3591" w:hanging="360"/>
      </w:pPr>
    </w:lvl>
    <w:lvl w:ilvl="5" w:tplc="FFFFFFFF" w:tentative="1">
      <w:start w:val="1"/>
      <w:numFmt w:val="lowerRoman"/>
      <w:lvlText w:val="%6."/>
      <w:lvlJc w:val="right"/>
      <w:pPr>
        <w:ind w:left="4311" w:hanging="180"/>
      </w:pPr>
    </w:lvl>
    <w:lvl w:ilvl="6" w:tplc="FFFFFFFF" w:tentative="1">
      <w:start w:val="1"/>
      <w:numFmt w:val="decimal"/>
      <w:lvlText w:val="%7."/>
      <w:lvlJc w:val="left"/>
      <w:pPr>
        <w:ind w:left="5031" w:hanging="360"/>
      </w:pPr>
    </w:lvl>
    <w:lvl w:ilvl="7" w:tplc="FFFFFFFF" w:tentative="1">
      <w:start w:val="1"/>
      <w:numFmt w:val="lowerLetter"/>
      <w:lvlText w:val="%8."/>
      <w:lvlJc w:val="left"/>
      <w:pPr>
        <w:ind w:left="5751" w:hanging="360"/>
      </w:pPr>
    </w:lvl>
    <w:lvl w:ilvl="8" w:tplc="FFFFFFFF" w:tentative="1">
      <w:start w:val="1"/>
      <w:numFmt w:val="lowerRoman"/>
      <w:lvlText w:val="%9."/>
      <w:lvlJc w:val="right"/>
      <w:pPr>
        <w:ind w:left="6471" w:hanging="180"/>
      </w:pPr>
    </w:lvl>
  </w:abstractNum>
  <w:abstractNum w:abstractNumId="43" w15:restartNumberingAfterBreak="0">
    <w:nsid w:val="6C751525"/>
    <w:multiLevelType w:val="hybridMultilevel"/>
    <w:tmpl w:val="BE30E9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6C890C1D"/>
    <w:multiLevelType w:val="hybridMultilevel"/>
    <w:tmpl w:val="F2E00324"/>
    <w:lvl w:ilvl="0" w:tplc="2D14BE4E">
      <w:start w:val="1"/>
      <w:numFmt w:val="bullet"/>
      <w:lvlText w:val="-"/>
      <w:lvlJc w:val="left"/>
      <w:pPr>
        <w:ind w:left="1080" w:hanging="360"/>
      </w:pPr>
      <w:rPr>
        <w:rFonts w:ascii="Arial" w:eastAsia="Times New Roman" w:hAnsi="Arial" w:cs="Aria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5" w15:restartNumberingAfterBreak="0">
    <w:nsid w:val="6CEA20AE"/>
    <w:multiLevelType w:val="hybridMultilevel"/>
    <w:tmpl w:val="FF029DE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15:restartNumberingAfterBreak="0">
    <w:nsid w:val="6D9841FA"/>
    <w:multiLevelType w:val="hybridMultilevel"/>
    <w:tmpl w:val="AFFC0B0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6E6E31EC"/>
    <w:multiLevelType w:val="hybridMultilevel"/>
    <w:tmpl w:val="8926ECB8"/>
    <w:lvl w:ilvl="0" w:tplc="04965946">
      <w:start w:val="1"/>
      <w:numFmt w:val="lowerRoman"/>
      <w:lvlText w:val="%1."/>
      <w:lvlJc w:val="right"/>
      <w:pPr>
        <w:ind w:left="780" w:hanging="360"/>
      </w:pPr>
      <w:rPr>
        <w:rFonts w:ascii="Arial" w:eastAsia="Cambria" w:hAnsi="Arial" w:cs="Arial"/>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48" w15:restartNumberingAfterBreak="0">
    <w:nsid w:val="6F137D0F"/>
    <w:multiLevelType w:val="hybridMultilevel"/>
    <w:tmpl w:val="872895B2"/>
    <w:lvl w:ilvl="0" w:tplc="0C090001">
      <w:start w:val="1"/>
      <w:numFmt w:val="bullet"/>
      <w:lvlText w:val=""/>
      <w:lvlJc w:val="left"/>
      <w:pPr>
        <w:ind w:left="360" w:hanging="360"/>
      </w:pPr>
      <w:rPr>
        <w:rFonts w:ascii="Symbol" w:hAnsi="Symbol" w:hint="default"/>
      </w:rPr>
    </w:lvl>
    <w:lvl w:ilvl="1" w:tplc="2D14BE4E">
      <w:start w:val="1"/>
      <w:numFmt w:val="bullet"/>
      <w:lvlText w:val="-"/>
      <w:lvlJc w:val="left"/>
      <w:pPr>
        <w:ind w:left="1080" w:hanging="360"/>
      </w:pPr>
      <w:rPr>
        <w:rFonts w:ascii="Arial" w:eastAsia="Times New Roman"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70762287"/>
    <w:multiLevelType w:val="hybridMultilevel"/>
    <w:tmpl w:val="B94654D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71FA5DC3"/>
    <w:multiLevelType w:val="hybridMultilevel"/>
    <w:tmpl w:val="264474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732E7EE8"/>
    <w:multiLevelType w:val="hybridMultilevel"/>
    <w:tmpl w:val="A6BA9984"/>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52" w15:restartNumberingAfterBreak="0">
    <w:nsid w:val="7AB376EE"/>
    <w:multiLevelType w:val="multilevel"/>
    <w:tmpl w:val="F61C5726"/>
    <w:lvl w:ilvl="0">
      <w:start w:val="1"/>
      <w:numFmt w:val="decimal"/>
      <w:pStyle w:val="AHPRANumberedlistlevel1withspace"/>
      <w:lvlText w:val="Field %1:"/>
      <w:lvlJc w:val="left"/>
      <w:pPr>
        <w:ind w:left="369" w:hanging="369"/>
      </w:pPr>
      <w:rPr>
        <w:rFonts w:ascii="Arial" w:hAnsi="Arial" w:cs="Times New Roman" w:hint="default"/>
        <w:b/>
        <w:bCs/>
        <w:i w:val="0"/>
        <w:iCs w:val="0"/>
        <w:color w:val="007DC3"/>
        <w:w w:val="100"/>
        <w:sz w:val="24"/>
        <w:szCs w:val="24"/>
      </w:rPr>
    </w:lvl>
    <w:lvl w:ilvl="1">
      <w:start w:val="1"/>
      <w:numFmt w:val="decimal"/>
      <w:pStyle w:val="AHPRANumberedsubheadinglevel2"/>
      <w:lvlText w:val="Standard %1.%2"/>
      <w:lvlJc w:val="left"/>
      <w:pPr>
        <w:ind w:left="4623" w:hanging="369"/>
      </w:pPr>
      <w:rPr>
        <w:rFonts w:ascii="Arial" w:hAnsi="Arial" w:cs="Times New Roman" w:hint="default"/>
        <w:b/>
        <w:bCs/>
        <w:i w:val="0"/>
        <w:iCs w:val="0"/>
        <w:color w:val="auto"/>
        <w:sz w:val="20"/>
        <w:szCs w:val="22"/>
      </w:rPr>
    </w:lvl>
    <w:lvl w:ilvl="2">
      <w:start w:val="1"/>
      <w:numFmt w:val="decimal"/>
      <w:pStyle w:val="AHPRANumberedlistlevel3"/>
      <w:lvlText w:val="%1.%2.%3"/>
      <w:lvlJc w:val="left"/>
      <w:pPr>
        <w:tabs>
          <w:tab w:val="num" w:pos="369"/>
        </w:tabs>
        <w:ind w:left="369" w:hanging="369"/>
      </w:pPr>
      <w:rPr>
        <w:rFonts w:ascii="Arial" w:hAnsi="Arial" w:cs="Times New Roman" w:hint="default"/>
        <w:i w:val="0"/>
        <w:iCs w:val="0"/>
        <w:color w:val="4F81BD" w:themeColor="accent1"/>
        <w:sz w:val="20"/>
        <w:szCs w:val="20"/>
      </w:rPr>
    </w:lvl>
    <w:lvl w:ilvl="3">
      <w:start w:val="1"/>
      <w:numFmt w:val="lowerLetter"/>
      <w:lvlText w:val="(%4)"/>
      <w:lvlJc w:val="left"/>
      <w:pPr>
        <w:ind w:left="369" w:hanging="369"/>
      </w:pPr>
      <w:rPr>
        <w:rFonts w:hint="default"/>
        <w:b w:val="0"/>
        <w:i w:val="0"/>
        <w:color w:val="auto"/>
        <w:sz w:val="20"/>
      </w:rPr>
    </w:lvl>
    <w:lvl w:ilvl="4">
      <w:start w:val="1"/>
      <w:numFmt w:val="lowerLetter"/>
      <w:lvlText w:val="(%5)"/>
      <w:lvlJc w:val="left"/>
      <w:pPr>
        <w:ind w:left="369" w:hanging="369"/>
      </w:pPr>
      <w:rPr>
        <w:rFonts w:hint="default"/>
        <w:b w:val="0"/>
        <w:i w:val="0"/>
        <w:color w:val="007DC3"/>
        <w:sz w:val="20"/>
      </w:rPr>
    </w:lvl>
    <w:lvl w:ilvl="5">
      <w:start w:val="1"/>
      <w:numFmt w:val="none"/>
      <w:lvlText w:val=""/>
      <w:lvlJc w:val="left"/>
      <w:pPr>
        <w:ind w:left="369" w:hanging="369"/>
      </w:pPr>
      <w:rPr>
        <w:rFonts w:cs="Times New Roman" w:hint="default"/>
        <w:color w:val="auto"/>
      </w:rPr>
    </w:lvl>
    <w:lvl w:ilvl="6">
      <w:start w:val="1"/>
      <w:numFmt w:val="none"/>
      <w:lvlText w:val=""/>
      <w:lvlJc w:val="left"/>
      <w:pPr>
        <w:ind w:left="369" w:hanging="369"/>
      </w:pPr>
      <w:rPr>
        <w:rFonts w:ascii="Arial" w:hAnsi="Arial" w:cs="Times New Roman" w:hint="default"/>
        <w:b w:val="0"/>
        <w:i w:val="0"/>
        <w:sz w:val="20"/>
      </w:rPr>
    </w:lvl>
    <w:lvl w:ilvl="7">
      <w:start w:val="1"/>
      <w:numFmt w:val="none"/>
      <w:lvlText w:val=""/>
      <w:lvlJc w:val="left"/>
      <w:pPr>
        <w:ind w:left="4600" w:hanging="360"/>
      </w:pPr>
      <w:rPr>
        <w:rFonts w:cs="Times New Roman" w:hint="default"/>
      </w:rPr>
    </w:lvl>
    <w:lvl w:ilvl="8">
      <w:start w:val="1"/>
      <w:numFmt w:val="none"/>
      <w:lvlText w:val=""/>
      <w:lvlJc w:val="left"/>
      <w:pPr>
        <w:ind w:left="4960" w:hanging="360"/>
      </w:pPr>
      <w:rPr>
        <w:rFonts w:cs="Times New Roman" w:hint="default"/>
      </w:rPr>
    </w:lvl>
  </w:abstractNum>
  <w:abstractNum w:abstractNumId="53" w15:restartNumberingAfterBreak="0">
    <w:nsid w:val="7C2610BB"/>
    <w:multiLevelType w:val="hybridMultilevel"/>
    <w:tmpl w:val="FF68D3AC"/>
    <w:lvl w:ilvl="0" w:tplc="04090019">
      <w:start w:val="1"/>
      <w:numFmt w:val="bullet"/>
      <w:pStyle w:val="AHPRABulletlevel2"/>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4" w15:restartNumberingAfterBreak="0">
    <w:nsid w:val="7C731660"/>
    <w:multiLevelType w:val="multilevel"/>
    <w:tmpl w:val="C4183F12"/>
    <w:numStyleLink w:val="AHPRANumberedlist"/>
  </w:abstractNum>
  <w:abstractNum w:abstractNumId="55" w15:restartNumberingAfterBreak="0">
    <w:nsid w:val="7F95531A"/>
    <w:multiLevelType w:val="hybridMultilevel"/>
    <w:tmpl w:val="B2F6062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30"/>
  </w:num>
  <w:num w:numId="2">
    <w:abstractNumId w:val="53"/>
  </w:num>
  <w:num w:numId="3">
    <w:abstractNumId w:val="41"/>
  </w:num>
  <w:num w:numId="4">
    <w:abstractNumId w:val="40"/>
  </w:num>
  <w:num w:numId="5">
    <w:abstractNumId w:val="42"/>
  </w:num>
  <w:num w:numId="6">
    <w:abstractNumId w:val="7"/>
  </w:num>
  <w:num w:numId="7">
    <w:abstractNumId w:val="4"/>
  </w:num>
  <w:num w:numId="8">
    <w:abstractNumId w:val="54"/>
  </w:num>
  <w:num w:numId="9">
    <w:abstractNumId w:val="5"/>
  </w:num>
  <w:num w:numId="10">
    <w:abstractNumId w:val="52"/>
  </w:num>
  <w:num w:numId="11">
    <w:abstractNumId w:val="17"/>
  </w:num>
  <w:num w:numId="12">
    <w:abstractNumId w:val="22"/>
  </w:num>
  <w:num w:numId="13">
    <w:abstractNumId w:val="33"/>
  </w:num>
  <w:num w:numId="14">
    <w:abstractNumId w:val="2"/>
  </w:num>
  <w:num w:numId="15">
    <w:abstractNumId w:val="26"/>
  </w:num>
  <w:num w:numId="16">
    <w:abstractNumId w:val="49"/>
  </w:num>
  <w:num w:numId="17">
    <w:abstractNumId w:val="15"/>
  </w:num>
  <w:num w:numId="18">
    <w:abstractNumId w:val="48"/>
  </w:num>
  <w:num w:numId="19">
    <w:abstractNumId w:val="14"/>
  </w:num>
  <w:num w:numId="20">
    <w:abstractNumId w:val="20"/>
  </w:num>
  <w:num w:numId="21">
    <w:abstractNumId w:val="43"/>
  </w:num>
  <w:num w:numId="22">
    <w:abstractNumId w:val="10"/>
  </w:num>
  <w:num w:numId="23">
    <w:abstractNumId w:val="28"/>
  </w:num>
  <w:num w:numId="24">
    <w:abstractNumId w:val="8"/>
  </w:num>
  <w:num w:numId="25">
    <w:abstractNumId w:val="34"/>
  </w:num>
  <w:num w:numId="26">
    <w:abstractNumId w:val="0"/>
  </w:num>
  <w:num w:numId="27">
    <w:abstractNumId w:val="21"/>
  </w:num>
  <w:num w:numId="28">
    <w:abstractNumId w:val="39"/>
  </w:num>
  <w:num w:numId="29">
    <w:abstractNumId w:val="44"/>
  </w:num>
  <w:num w:numId="30">
    <w:abstractNumId w:val="6"/>
  </w:num>
  <w:num w:numId="31">
    <w:abstractNumId w:val="23"/>
  </w:num>
  <w:num w:numId="32">
    <w:abstractNumId w:val="11"/>
  </w:num>
  <w:num w:numId="33">
    <w:abstractNumId w:val="24"/>
  </w:num>
  <w:num w:numId="34">
    <w:abstractNumId w:val="50"/>
  </w:num>
  <w:num w:numId="35">
    <w:abstractNumId w:val="18"/>
  </w:num>
  <w:num w:numId="36">
    <w:abstractNumId w:val="32"/>
  </w:num>
  <w:num w:numId="37">
    <w:abstractNumId w:val="37"/>
  </w:num>
  <w:num w:numId="38">
    <w:abstractNumId w:val="46"/>
  </w:num>
  <w:num w:numId="39">
    <w:abstractNumId w:val="47"/>
  </w:num>
  <w:num w:numId="40">
    <w:abstractNumId w:val="45"/>
  </w:num>
  <w:num w:numId="41">
    <w:abstractNumId w:val="35"/>
  </w:num>
  <w:num w:numId="42">
    <w:abstractNumId w:val="51"/>
  </w:num>
  <w:num w:numId="43">
    <w:abstractNumId w:val="3"/>
  </w:num>
  <w:num w:numId="44">
    <w:abstractNumId w:val="13"/>
  </w:num>
  <w:num w:numId="45">
    <w:abstractNumId w:val="38"/>
  </w:num>
  <w:num w:numId="46">
    <w:abstractNumId w:val="19"/>
  </w:num>
  <w:num w:numId="47">
    <w:abstractNumId w:val="1"/>
  </w:num>
  <w:num w:numId="48">
    <w:abstractNumId w:val="27"/>
  </w:num>
  <w:num w:numId="49">
    <w:abstractNumId w:val="16"/>
  </w:num>
  <w:num w:numId="50">
    <w:abstractNumId w:val="12"/>
  </w:num>
  <w:num w:numId="51">
    <w:abstractNumId w:val="31"/>
  </w:num>
  <w:num w:numId="52">
    <w:abstractNumId w:val="55"/>
  </w:num>
  <w:num w:numId="53">
    <w:abstractNumId w:val="55"/>
  </w:num>
  <w:num w:numId="54">
    <w:abstractNumId w:val="29"/>
  </w:num>
  <w:num w:numId="55">
    <w:abstractNumId w:val="36"/>
  </w:num>
  <w:num w:numId="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
  </w:num>
  <w:num w:numId="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5"/>
  </w:num>
  <w:num w:numId="71">
    <w:abstractNumId w:val="2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4E3"/>
    <w:rsid w:val="00000CB4"/>
    <w:rsid w:val="0000148F"/>
    <w:rsid w:val="00001E78"/>
    <w:rsid w:val="00003821"/>
    <w:rsid w:val="000046EA"/>
    <w:rsid w:val="00004DB9"/>
    <w:rsid w:val="0000589D"/>
    <w:rsid w:val="0001108B"/>
    <w:rsid w:val="00013634"/>
    <w:rsid w:val="000136C4"/>
    <w:rsid w:val="0001396F"/>
    <w:rsid w:val="00015504"/>
    <w:rsid w:val="00017CE3"/>
    <w:rsid w:val="00023A90"/>
    <w:rsid w:val="0002747C"/>
    <w:rsid w:val="0003147D"/>
    <w:rsid w:val="0003149B"/>
    <w:rsid w:val="000334D1"/>
    <w:rsid w:val="000341EF"/>
    <w:rsid w:val="000349C1"/>
    <w:rsid w:val="0003555B"/>
    <w:rsid w:val="0003619D"/>
    <w:rsid w:val="00037C9B"/>
    <w:rsid w:val="00041535"/>
    <w:rsid w:val="00041EAB"/>
    <w:rsid w:val="00042396"/>
    <w:rsid w:val="0004331D"/>
    <w:rsid w:val="00043DBE"/>
    <w:rsid w:val="000443A4"/>
    <w:rsid w:val="00044419"/>
    <w:rsid w:val="00044604"/>
    <w:rsid w:val="00044AE6"/>
    <w:rsid w:val="00050FA5"/>
    <w:rsid w:val="00051E54"/>
    <w:rsid w:val="0005283D"/>
    <w:rsid w:val="000529C5"/>
    <w:rsid w:val="00053338"/>
    <w:rsid w:val="00053FEC"/>
    <w:rsid w:val="00055CAE"/>
    <w:rsid w:val="000602FF"/>
    <w:rsid w:val="000605BC"/>
    <w:rsid w:val="00067C47"/>
    <w:rsid w:val="0007079E"/>
    <w:rsid w:val="000733B5"/>
    <w:rsid w:val="000738D3"/>
    <w:rsid w:val="00076772"/>
    <w:rsid w:val="00077115"/>
    <w:rsid w:val="0007786D"/>
    <w:rsid w:val="0008214C"/>
    <w:rsid w:val="00082E1D"/>
    <w:rsid w:val="0008404B"/>
    <w:rsid w:val="00084785"/>
    <w:rsid w:val="00086348"/>
    <w:rsid w:val="00086FCD"/>
    <w:rsid w:val="00090ED1"/>
    <w:rsid w:val="00093019"/>
    <w:rsid w:val="000932E6"/>
    <w:rsid w:val="000948B2"/>
    <w:rsid w:val="00095918"/>
    <w:rsid w:val="000A1482"/>
    <w:rsid w:val="000A1751"/>
    <w:rsid w:val="000A1B07"/>
    <w:rsid w:val="000A2124"/>
    <w:rsid w:val="000A21BE"/>
    <w:rsid w:val="000A2BBD"/>
    <w:rsid w:val="000A4DC1"/>
    <w:rsid w:val="000A6165"/>
    <w:rsid w:val="000A6D51"/>
    <w:rsid w:val="000A7053"/>
    <w:rsid w:val="000A75BA"/>
    <w:rsid w:val="000B0402"/>
    <w:rsid w:val="000B1A03"/>
    <w:rsid w:val="000B6AB2"/>
    <w:rsid w:val="000C03D5"/>
    <w:rsid w:val="000C14D3"/>
    <w:rsid w:val="000C1817"/>
    <w:rsid w:val="000C3F51"/>
    <w:rsid w:val="000C4086"/>
    <w:rsid w:val="000C6D23"/>
    <w:rsid w:val="000C7458"/>
    <w:rsid w:val="000C7B89"/>
    <w:rsid w:val="000C7C07"/>
    <w:rsid w:val="000D0181"/>
    <w:rsid w:val="000D1491"/>
    <w:rsid w:val="000D1A18"/>
    <w:rsid w:val="000D1AE4"/>
    <w:rsid w:val="000D1D8D"/>
    <w:rsid w:val="000D3553"/>
    <w:rsid w:val="000D52F9"/>
    <w:rsid w:val="000D5B2B"/>
    <w:rsid w:val="000D74F0"/>
    <w:rsid w:val="000D7E6C"/>
    <w:rsid w:val="000E1520"/>
    <w:rsid w:val="000E235F"/>
    <w:rsid w:val="000E2819"/>
    <w:rsid w:val="000E2E6E"/>
    <w:rsid w:val="000E6D64"/>
    <w:rsid w:val="000E751F"/>
    <w:rsid w:val="000E75CE"/>
    <w:rsid w:val="000F0DA7"/>
    <w:rsid w:val="000F23FF"/>
    <w:rsid w:val="000F3133"/>
    <w:rsid w:val="000F3C3E"/>
    <w:rsid w:val="000F421F"/>
    <w:rsid w:val="000F5EE4"/>
    <w:rsid w:val="000F61CD"/>
    <w:rsid w:val="000F66B8"/>
    <w:rsid w:val="00103958"/>
    <w:rsid w:val="00103B86"/>
    <w:rsid w:val="00103F1E"/>
    <w:rsid w:val="001044A3"/>
    <w:rsid w:val="00104BBF"/>
    <w:rsid w:val="0010687F"/>
    <w:rsid w:val="001074EB"/>
    <w:rsid w:val="00112700"/>
    <w:rsid w:val="001151A0"/>
    <w:rsid w:val="00117A4E"/>
    <w:rsid w:val="00122EC0"/>
    <w:rsid w:val="00123DD2"/>
    <w:rsid w:val="00125788"/>
    <w:rsid w:val="001300CE"/>
    <w:rsid w:val="00133348"/>
    <w:rsid w:val="0013345A"/>
    <w:rsid w:val="00134D3B"/>
    <w:rsid w:val="00135327"/>
    <w:rsid w:val="00135ACC"/>
    <w:rsid w:val="00135F0D"/>
    <w:rsid w:val="0013637B"/>
    <w:rsid w:val="00142FBF"/>
    <w:rsid w:val="00144095"/>
    <w:rsid w:val="00144112"/>
    <w:rsid w:val="001457C2"/>
    <w:rsid w:val="00145FD5"/>
    <w:rsid w:val="00150AA7"/>
    <w:rsid w:val="00152D70"/>
    <w:rsid w:val="00153A09"/>
    <w:rsid w:val="00161BE0"/>
    <w:rsid w:val="001623D2"/>
    <w:rsid w:val="00164F94"/>
    <w:rsid w:val="0016665C"/>
    <w:rsid w:val="00172B2C"/>
    <w:rsid w:val="00173207"/>
    <w:rsid w:val="00177CC3"/>
    <w:rsid w:val="00180689"/>
    <w:rsid w:val="0018155F"/>
    <w:rsid w:val="00181607"/>
    <w:rsid w:val="001829FD"/>
    <w:rsid w:val="001833F6"/>
    <w:rsid w:val="0018419C"/>
    <w:rsid w:val="001854AC"/>
    <w:rsid w:val="00186E2B"/>
    <w:rsid w:val="00187ABA"/>
    <w:rsid w:val="00192BCB"/>
    <w:rsid w:val="00193A21"/>
    <w:rsid w:val="001945BE"/>
    <w:rsid w:val="00195433"/>
    <w:rsid w:val="00195D36"/>
    <w:rsid w:val="00195F83"/>
    <w:rsid w:val="00196688"/>
    <w:rsid w:val="001A01E3"/>
    <w:rsid w:val="001A0FF6"/>
    <w:rsid w:val="001A5E01"/>
    <w:rsid w:val="001A663C"/>
    <w:rsid w:val="001A7366"/>
    <w:rsid w:val="001B00BC"/>
    <w:rsid w:val="001B1FA6"/>
    <w:rsid w:val="001B49B8"/>
    <w:rsid w:val="001B4E3E"/>
    <w:rsid w:val="001B6531"/>
    <w:rsid w:val="001B743F"/>
    <w:rsid w:val="001B7A9C"/>
    <w:rsid w:val="001C0941"/>
    <w:rsid w:val="001C12FD"/>
    <w:rsid w:val="001C1619"/>
    <w:rsid w:val="001C450F"/>
    <w:rsid w:val="001C5087"/>
    <w:rsid w:val="001C538F"/>
    <w:rsid w:val="001D0E71"/>
    <w:rsid w:val="001D617F"/>
    <w:rsid w:val="001D682A"/>
    <w:rsid w:val="001E13B8"/>
    <w:rsid w:val="001E4EFC"/>
    <w:rsid w:val="001E5B4B"/>
    <w:rsid w:val="001F337A"/>
    <w:rsid w:val="001F4195"/>
    <w:rsid w:val="001F60D6"/>
    <w:rsid w:val="002030B2"/>
    <w:rsid w:val="00203D02"/>
    <w:rsid w:val="002046B7"/>
    <w:rsid w:val="00204B8E"/>
    <w:rsid w:val="002075A1"/>
    <w:rsid w:val="00214DB6"/>
    <w:rsid w:val="002163EC"/>
    <w:rsid w:val="00223122"/>
    <w:rsid w:val="00223C10"/>
    <w:rsid w:val="002242F4"/>
    <w:rsid w:val="00224B76"/>
    <w:rsid w:val="00226123"/>
    <w:rsid w:val="00226280"/>
    <w:rsid w:val="00231E50"/>
    <w:rsid w:val="0023209E"/>
    <w:rsid w:val="002321AC"/>
    <w:rsid w:val="00233DE1"/>
    <w:rsid w:val="00235875"/>
    <w:rsid w:val="00235E61"/>
    <w:rsid w:val="0023646E"/>
    <w:rsid w:val="00236936"/>
    <w:rsid w:val="00236D19"/>
    <w:rsid w:val="00242401"/>
    <w:rsid w:val="002434F6"/>
    <w:rsid w:val="0024573C"/>
    <w:rsid w:val="0024684B"/>
    <w:rsid w:val="002477E9"/>
    <w:rsid w:val="00250A62"/>
    <w:rsid w:val="00253CB0"/>
    <w:rsid w:val="00257C51"/>
    <w:rsid w:val="0026024F"/>
    <w:rsid w:val="00260B47"/>
    <w:rsid w:val="00261001"/>
    <w:rsid w:val="002654BB"/>
    <w:rsid w:val="00266D3C"/>
    <w:rsid w:val="00270547"/>
    <w:rsid w:val="00272A7D"/>
    <w:rsid w:val="00277009"/>
    <w:rsid w:val="00280C97"/>
    <w:rsid w:val="002825CB"/>
    <w:rsid w:val="00282E36"/>
    <w:rsid w:val="002838B3"/>
    <w:rsid w:val="00285D83"/>
    <w:rsid w:val="00287F91"/>
    <w:rsid w:val="0029029E"/>
    <w:rsid w:val="0029303B"/>
    <w:rsid w:val="002936DE"/>
    <w:rsid w:val="0029385C"/>
    <w:rsid w:val="00296784"/>
    <w:rsid w:val="002970DB"/>
    <w:rsid w:val="002A00A0"/>
    <w:rsid w:val="002A0294"/>
    <w:rsid w:val="002A24E3"/>
    <w:rsid w:val="002A2BA5"/>
    <w:rsid w:val="002A2E18"/>
    <w:rsid w:val="002A305D"/>
    <w:rsid w:val="002A3DC0"/>
    <w:rsid w:val="002A44C2"/>
    <w:rsid w:val="002A5A14"/>
    <w:rsid w:val="002A5C17"/>
    <w:rsid w:val="002A65F8"/>
    <w:rsid w:val="002A7457"/>
    <w:rsid w:val="002B1B93"/>
    <w:rsid w:val="002B1F6B"/>
    <w:rsid w:val="002B2235"/>
    <w:rsid w:val="002B502B"/>
    <w:rsid w:val="002B73C3"/>
    <w:rsid w:val="002C20F0"/>
    <w:rsid w:val="002C68D0"/>
    <w:rsid w:val="002C7CE8"/>
    <w:rsid w:val="002D5CD2"/>
    <w:rsid w:val="002D626B"/>
    <w:rsid w:val="002D741F"/>
    <w:rsid w:val="002E33AC"/>
    <w:rsid w:val="002E399E"/>
    <w:rsid w:val="002E5606"/>
    <w:rsid w:val="002E5C28"/>
    <w:rsid w:val="002E6F1A"/>
    <w:rsid w:val="002E7FF8"/>
    <w:rsid w:val="002F050B"/>
    <w:rsid w:val="002F1860"/>
    <w:rsid w:val="002F1AD4"/>
    <w:rsid w:val="002F2F18"/>
    <w:rsid w:val="002F43A7"/>
    <w:rsid w:val="002F5245"/>
    <w:rsid w:val="002F5EB9"/>
    <w:rsid w:val="002F618D"/>
    <w:rsid w:val="002F6DB7"/>
    <w:rsid w:val="002F6FC5"/>
    <w:rsid w:val="002F7B17"/>
    <w:rsid w:val="002F7D41"/>
    <w:rsid w:val="00301022"/>
    <w:rsid w:val="003010E8"/>
    <w:rsid w:val="00303306"/>
    <w:rsid w:val="00303CA8"/>
    <w:rsid w:val="00304F9C"/>
    <w:rsid w:val="003069F8"/>
    <w:rsid w:val="00311670"/>
    <w:rsid w:val="003127A9"/>
    <w:rsid w:val="00312D20"/>
    <w:rsid w:val="00316469"/>
    <w:rsid w:val="00316A0A"/>
    <w:rsid w:val="00321606"/>
    <w:rsid w:val="00322A34"/>
    <w:rsid w:val="0032308F"/>
    <w:rsid w:val="00324B15"/>
    <w:rsid w:val="0033086C"/>
    <w:rsid w:val="003324F7"/>
    <w:rsid w:val="00334C39"/>
    <w:rsid w:val="00335C80"/>
    <w:rsid w:val="0034135D"/>
    <w:rsid w:val="00341D6D"/>
    <w:rsid w:val="0034246E"/>
    <w:rsid w:val="00343478"/>
    <w:rsid w:val="00343F14"/>
    <w:rsid w:val="0034483A"/>
    <w:rsid w:val="00345EF8"/>
    <w:rsid w:val="003501D1"/>
    <w:rsid w:val="00350A92"/>
    <w:rsid w:val="0035242B"/>
    <w:rsid w:val="00353A5F"/>
    <w:rsid w:val="003541DE"/>
    <w:rsid w:val="003562AB"/>
    <w:rsid w:val="00356A9E"/>
    <w:rsid w:val="00361E09"/>
    <w:rsid w:val="0036539A"/>
    <w:rsid w:val="00365EC0"/>
    <w:rsid w:val="00367D97"/>
    <w:rsid w:val="00371415"/>
    <w:rsid w:val="003768C6"/>
    <w:rsid w:val="00381ED1"/>
    <w:rsid w:val="00383C84"/>
    <w:rsid w:val="00383FC9"/>
    <w:rsid w:val="0038522A"/>
    <w:rsid w:val="00385D26"/>
    <w:rsid w:val="00386F4E"/>
    <w:rsid w:val="00387F66"/>
    <w:rsid w:val="00392152"/>
    <w:rsid w:val="003942A3"/>
    <w:rsid w:val="00395E0B"/>
    <w:rsid w:val="0039619A"/>
    <w:rsid w:val="00396FDE"/>
    <w:rsid w:val="003A4EE9"/>
    <w:rsid w:val="003A4EF6"/>
    <w:rsid w:val="003A560E"/>
    <w:rsid w:val="003A6AE0"/>
    <w:rsid w:val="003A7F8C"/>
    <w:rsid w:val="003B1FE6"/>
    <w:rsid w:val="003B3AC6"/>
    <w:rsid w:val="003C0EF6"/>
    <w:rsid w:val="003C1893"/>
    <w:rsid w:val="003C4C90"/>
    <w:rsid w:val="003C5550"/>
    <w:rsid w:val="003C5807"/>
    <w:rsid w:val="003D0243"/>
    <w:rsid w:val="003D066B"/>
    <w:rsid w:val="003D086B"/>
    <w:rsid w:val="003D328F"/>
    <w:rsid w:val="003D58C7"/>
    <w:rsid w:val="003D6373"/>
    <w:rsid w:val="003D6916"/>
    <w:rsid w:val="003E249F"/>
    <w:rsid w:val="003E48FA"/>
    <w:rsid w:val="003E6F13"/>
    <w:rsid w:val="003E7AB3"/>
    <w:rsid w:val="003F0317"/>
    <w:rsid w:val="003F04E1"/>
    <w:rsid w:val="003F1B90"/>
    <w:rsid w:val="003F1BE7"/>
    <w:rsid w:val="003F2644"/>
    <w:rsid w:val="003F3D2D"/>
    <w:rsid w:val="003F43A7"/>
    <w:rsid w:val="003F462D"/>
    <w:rsid w:val="003F5544"/>
    <w:rsid w:val="003F73B3"/>
    <w:rsid w:val="00405882"/>
    <w:rsid w:val="00406775"/>
    <w:rsid w:val="00411057"/>
    <w:rsid w:val="00411B9E"/>
    <w:rsid w:val="00413524"/>
    <w:rsid w:val="00414F37"/>
    <w:rsid w:val="004152C3"/>
    <w:rsid w:val="00415DED"/>
    <w:rsid w:val="00416B87"/>
    <w:rsid w:val="004233EB"/>
    <w:rsid w:val="00424BB5"/>
    <w:rsid w:val="00425460"/>
    <w:rsid w:val="00426096"/>
    <w:rsid w:val="00426534"/>
    <w:rsid w:val="004268EB"/>
    <w:rsid w:val="00427889"/>
    <w:rsid w:val="004331C8"/>
    <w:rsid w:val="00433788"/>
    <w:rsid w:val="0043465E"/>
    <w:rsid w:val="00435377"/>
    <w:rsid w:val="00435513"/>
    <w:rsid w:val="0044065A"/>
    <w:rsid w:val="00445644"/>
    <w:rsid w:val="00456240"/>
    <w:rsid w:val="00460916"/>
    <w:rsid w:val="00460B5F"/>
    <w:rsid w:val="004653E7"/>
    <w:rsid w:val="004654CB"/>
    <w:rsid w:val="00467066"/>
    <w:rsid w:val="00470BE0"/>
    <w:rsid w:val="004725EE"/>
    <w:rsid w:val="00472722"/>
    <w:rsid w:val="00472B56"/>
    <w:rsid w:val="00472B9B"/>
    <w:rsid w:val="00472BC4"/>
    <w:rsid w:val="00475851"/>
    <w:rsid w:val="00481011"/>
    <w:rsid w:val="004848F9"/>
    <w:rsid w:val="00484EAD"/>
    <w:rsid w:val="0049022D"/>
    <w:rsid w:val="00490B36"/>
    <w:rsid w:val="00491471"/>
    <w:rsid w:val="00492B11"/>
    <w:rsid w:val="00494E8A"/>
    <w:rsid w:val="00495668"/>
    <w:rsid w:val="00496971"/>
    <w:rsid w:val="004978DE"/>
    <w:rsid w:val="00497DD3"/>
    <w:rsid w:val="004A0A4D"/>
    <w:rsid w:val="004A152D"/>
    <w:rsid w:val="004A3F01"/>
    <w:rsid w:val="004A51AC"/>
    <w:rsid w:val="004B177B"/>
    <w:rsid w:val="004B2001"/>
    <w:rsid w:val="004B219C"/>
    <w:rsid w:val="004B41FC"/>
    <w:rsid w:val="004B79CC"/>
    <w:rsid w:val="004C001A"/>
    <w:rsid w:val="004C0677"/>
    <w:rsid w:val="004C07E4"/>
    <w:rsid w:val="004C2E71"/>
    <w:rsid w:val="004C6C37"/>
    <w:rsid w:val="004C7965"/>
    <w:rsid w:val="004C7F70"/>
    <w:rsid w:val="004D36F4"/>
    <w:rsid w:val="004D5575"/>
    <w:rsid w:val="004E449F"/>
    <w:rsid w:val="004E44C3"/>
    <w:rsid w:val="004E703B"/>
    <w:rsid w:val="004F09AA"/>
    <w:rsid w:val="004F0B11"/>
    <w:rsid w:val="004F379E"/>
    <w:rsid w:val="004F3BC5"/>
    <w:rsid w:val="004F4A84"/>
    <w:rsid w:val="004F712F"/>
    <w:rsid w:val="00501B33"/>
    <w:rsid w:val="00502882"/>
    <w:rsid w:val="00502D4D"/>
    <w:rsid w:val="00506295"/>
    <w:rsid w:val="00507B23"/>
    <w:rsid w:val="00510604"/>
    <w:rsid w:val="00510F3D"/>
    <w:rsid w:val="005143DD"/>
    <w:rsid w:val="00515CB4"/>
    <w:rsid w:val="00520234"/>
    <w:rsid w:val="005203D4"/>
    <w:rsid w:val="00523669"/>
    <w:rsid w:val="00524B89"/>
    <w:rsid w:val="005261FF"/>
    <w:rsid w:val="00527569"/>
    <w:rsid w:val="00527C07"/>
    <w:rsid w:val="005315B9"/>
    <w:rsid w:val="005367B5"/>
    <w:rsid w:val="0053740B"/>
    <w:rsid w:val="005375FE"/>
    <w:rsid w:val="00540B71"/>
    <w:rsid w:val="005411FC"/>
    <w:rsid w:val="005418B3"/>
    <w:rsid w:val="00541DF3"/>
    <w:rsid w:val="00542F95"/>
    <w:rsid w:val="0054393D"/>
    <w:rsid w:val="00543FE4"/>
    <w:rsid w:val="00545472"/>
    <w:rsid w:val="00545AEA"/>
    <w:rsid w:val="0055172D"/>
    <w:rsid w:val="00556249"/>
    <w:rsid w:val="005564A7"/>
    <w:rsid w:val="0055744B"/>
    <w:rsid w:val="005627D5"/>
    <w:rsid w:val="005628C8"/>
    <w:rsid w:val="00563576"/>
    <w:rsid w:val="005657BD"/>
    <w:rsid w:val="00565E51"/>
    <w:rsid w:val="00566F43"/>
    <w:rsid w:val="00570CA7"/>
    <w:rsid w:val="00570F98"/>
    <w:rsid w:val="0057254B"/>
    <w:rsid w:val="00572E70"/>
    <w:rsid w:val="00572FE7"/>
    <w:rsid w:val="0057337C"/>
    <w:rsid w:val="00573879"/>
    <w:rsid w:val="005750BE"/>
    <w:rsid w:val="00575703"/>
    <w:rsid w:val="00575E90"/>
    <w:rsid w:val="00576C38"/>
    <w:rsid w:val="005772F2"/>
    <w:rsid w:val="00577F54"/>
    <w:rsid w:val="0058084B"/>
    <w:rsid w:val="00581908"/>
    <w:rsid w:val="00581C28"/>
    <w:rsid w:val="00584474"/>
    <w:rsid w:val="00584D3E"/>
    <w:rsid w:val="00585EA4"/>
    <w:rsid w:val="00591F8A"/>
    <w:rsid w:val="00592BA3"/>
    <w:rsid w:val="005939A9"/>
    <w:rsid w:val="00597C5C"/>
    <w:rsid w:val="005A07A3"/>
    <w:rsid w:val="005A4271"/>
    <w:rsid w:val="005B0916"/>
    <w:rsid w:val="005B16B4"/>
    <w:rsid w:val="005C0EE2"/>
    <w:rsid w:val="005C179A"/>
    <w:rsid w:val="005C302D"/>
    <w:rsid w:val="005C31F1"/>
    <w:rsid w:val="005C3201"/>
    <w:rsid w:val="005C3A89"/>
    <w:rsid w:val="005C3C35"/>
    <w:rsid w:val="005C431A"/>
    <w:rsid w:val="005C4DDB"/>
    <w:rsid w:val="005C6D2D"/>
    <w:rsid w:val="005C77CE"/>
    <w:rsid w:val="005C78D4"/>
    <w:rsid w:val="005D0D36"/>
    <w:rsid w:val="005D0E2D"/>
    <w:rsid w:val="005D41A9"/>
    <w:rsid w:val="005D65C9"/>
    <w:rsid w:val="005D6C4A"/>
    <w:rsid w:val="005E0E4E"/>
    <w:rsid w:val="005E1932"/>
    <w:rsid w:val="005E46D8"/>
    <w:rsid w:val="005E566E"/>
    <w:rsid w:val="005E6756"/>
    <w:rsid w:val="005E706D"/>
    <w:rsid w:val="005F5523"/>
    <w:rsid w:val="005F640D"/>
    <w:rsid w:val="005F6EE2"/>
    <w:rsid w:val="00600D8E"/>
    <w:rsid w:val="00602A41"/>
    <w:rsid w:val="0060394A"/>
    <w:rsid w:val="00606385"/>
    <w:rsid w:val="0061137E"/>
    <w:rsid w:val="00611DF2"/>
    <w:rsid w:val="00615693"/>
    <w:rsid w:val="00620BCC"/>
    <w:rsid w:val="0062115D"/>
    <w:rsid w:val="0062175A"/>
    <w:rsid w:val="00622371"/>
    <w:rsid w:val="006228FE"/>
    <w:rsid w:val="00623B94"/>
    <w:rsid w:val="006240BB"/>
    <w:rsid w:val="0062419A"/>
    <w:rsid w:val="00624635"/>
    <w:rsid w:val="00624D5B"/>
    <w:rsid w:val="00624DC5"/>
    <w:rsid w:val="00626869"/>
    <w:rsid w:val="006277EC"/>
    <w:rsid w:val="00630965"/>
    <w:rsid w:val="00630ACD"/>
    <w:rsid w:val="006311BA"/>
    <w:rsid w:val="006318FA"/>
    <w:rsid w:val="00634109"/>
    <w:rsid w:val="006358CD"/>
    <w:rsid w:val="00641188"/>
    <w:rsid w:val="0064167C"/>
    <w:rsid w:val="006422BF"/>
    <w:rsid w:val="00642A90"/>
    <w:rsid w:val="00642F97"/>
    <w:rsid w:val="00646B46"/>
    <w:rsid w:val="0064746E"/>
    <w:rsid w:val="00650936"/>
    <w:rsid w:val="00650F78"/>
    <w:rsid w:val="00652200"/>
    <w:rsid w:val="006526D8"/>
    <w:rsid w:val="00652CB9"/>
    <w:rsid w:val="0065343E"/>
    <w:rsid w:val="00653A6C"/>
    <w:rsid w:val="00653EA9"/>
    <w:rsid w:val="00653FBF"/>
    <w:rsid w:val="0065657F"/>
    <w:rsid w:val="00662523"/>
    <w:rsid w:val="00662982"/>
    <w:rsid w:val="00663CB1"/>
    <w:rsid w:val="00663D5F"/>
    <w:rsid w:val="0066432A"/>
    <w:rsid w:val="006677AC"/>
    <w:rsid w:val="00670491"/>
    <w:rsid w:val="006709B3"/>
    <w:rsid w:val="0067231E"/>
    <w:rsid w:val="00673C1C"/>
    <w:rsid w:val="00673FA8"/>
    <w:rsid w:val="00676391"/>
    <w:rsid w:val="0067671D"/>
    <w:rsid w:val="00676841"/>
    <w:rsid w:val="00681DAA"/>
    <w:rsid w:val="0068204B"/>
    <w:rsid w:val="00683D52"/>
    <w:rsid w:val="00683DC7"/>
    <w:rsid w:val="00684A14"/>
    <w:rsid w:val="0069001D"/>
    <w:rsid w:val="006968FC"/>
    <w:rsid w:val="006A348B"/>
    <w:rsid w:val="006A4761"/>
    <w:rsid w:val="006A4865"/>
    <w:rsid w:val="006A48EB"/>
    <w:rsid w:val="006A6270"/>
    <w:rsid w:val="006A7377"/>
    <w:rsid w:val="006B20A8"/>
    <w:rsid w:val="006B223F"/>
    <w:rsid w:val="006B2787"/>
    <w:rsid w:val="006B4D3C"/>
    <w:rsid w:val="006B61BD"/>
    <w:rsid w:val="006B7143"/>
    <w:rsid w:val="006C04AE"/>
    <w:rsid w:val="006C0DB9"/>
    <w:rsid w:val="006C39A6"/>
    <w:rsid w:val="006C3AFC"/>
    <w:rsid w:val="006C5B3C"/>
    <w:rsid w:val="006D15D4"/>
    <w:rsid w:val="006D2185"/>
    <w:rsid w:val="006D350C"/>
    <w:rsid w:val="006D4542"/>
    <w:rsid w:val="006D67FA"/>
    <w:rsid w:val="006E0796"/>
    <w:rsid w:val="006E3E18"/>
    <w:rsid w:val="006E459B"/>
    <w:rsid w:val="006E479D"/>
    <w:rsid w:val="006E5A72"/>
    <w:rsid w:val="006F0181"/>
    <w:rsid w:val="006F17AF"/>
    <w:rsid w:val="006F2D2E"/>
    <w:rsid w:val="006F355D"/>
    <w:rsid w:val="006F3776"/>
    <w:rsid w:val="006F3A9B"/>
    <w:rsid w:val="006F4085"/>
    <w:rsid w:val="006F5754"/>
    <w:rsid w:val="00701C12"/>
    <w:rsid w:val="0070393A"/>
    <w:rsid w:val="0070450D"/>
    <w:rsid w:val="007106DE"/>
    <w:rsid w:val="00711380"/>
    <w:rsid w:val="00711CD0"/>
    <w:rsid w:val="00712E15"/>
    <w:rsid w:val="00715CCF"/>
    <w:rsid w:val="00716CA9"/>
    <w:rsid w:val="0071759D"/>
    <w:rsid w:val="00721F08"/>
    <w:rsid w:val="007246A0"/>
    <w:rsid w:val="00724F67"/>
    <w:rsid w:val="007255DF"/>
    <w:rsid w:val="00727487"/>
    <w:rsid w:val="00727FC3"/>
    <w:rsid w:val="00731855"/>
    <w:rsid w:val="00734354"/>
    <w:rsid w:val="00734611"/>
    <w:rsid w:val="00736599"/>
    <w:rsid w:val="00741B19"/>
    <w:rsid w:val="00742D3A"/>
    <w:rsid w:val="007433C5"/>
    <w:rsid w:val="007437C5"/>
    <w:rsid w:val="00745282"/>
    <w:rsid w:val="007474F6"/>
    <w:rsid w:val="00750367"/>
    <w:rsid w:val="00750614"/>
    <w:rsid w:val="00751581"/>
    <w:rsid w:val="00752850"/>
    <w:rsid w:val="00753DEF"/>
    <w:rsid w:val="0075739F"/>
    <w:rsid w:val="00761300"/>
    <w:rsid w:val="007665CE"/>
    <w:rsid w:val="00766A85"/>
    <w:rsid w:val="00766D50"/>
    <w:rsid w:val="00771DF4"/>
    <w:rsid w:val="00771FCA"/>
    <w:rsid w:val="00772BFF"/>
    <w:rsid w:val="007744DD"/>
    <w:rsid w:val="007757AD"/>
    <w:rsid w:val="00776BEB"/>
    <w:rsid w:val="007911BD"/>
    <w:rsid w:val="00791ADB"/>
    <w:rsid w:val="0079579D"/>
    <w:rsid w:val="007A0CEE"/>
    <w:rsid w:val="007A3968"/>
    <w:rsid w:val="007A4D17"/>
    <w:rsid w:val="007A66C1"/>
    <w:rsid w:val="007B1489"/>
    <w:rsid w:val="007B30A1"/>
    <w:rsid w:val="007B30C3"/>
    <w:rsid w:val="007B3140"/>
    <w:rsid w:val="007B4E92"/>
    <w:rsid w:val="007C0880"/>
    <w:rsid w:val="007C08E1"/>
    <w:rsid w:val="007C115B"/>
    <w:rsid w:val="007C145B"/>
    <w:rsid w:val="007C1625"/>
    <w:rsid w:val="007C18BF"/>
    <w:rsid w:val="007C2271"/>
    <w:rsid w:val="007C4B20"/>
    <w:rsid w:val="007C5F0E"/>
    <w:rsid w:val="007C663C"/>
    <w:rsid w:val="007C7359"/>
    <w:rsid w:val="007D0263"/>
    <w:rsid w:val="007D0F36"/>
    <w:rsid w:val="007D180E"/>
    <w:rsid w:val="007D1D19"/>
    <w:rsid w:val="007D3BEC"/>
    <w:rsid w:val="007D5093"/>
    <w:rsid w:val="007D5197"/>
    <w:rsid w:val="007D7803"/>
    <w:rsid w:val="007E1F93"/>
    <w:rsid w:val="007E279A"/>
    <w:rsid w:val="007E343A"/>
    <w:rsid w:val="007F1839"/>
    <w:rsid w:val="007F2C4C"/>
    <w:rsid w:val="007F40B7"/>
    <w:rsid w:val="007F6D87"/>
    <w:rsid w:val="0080397F"/>
    <w:rsid w:val="00803D22"/>
    <w:rsid w:val="00806202"/>
    <w:rsid w:val="008064DD"/>
    <w:rsid w:val="00806DD4"/>
    <w:rsid w:val="00810A97"/>
    <w:rsid w:val="00812B08"/>
    <w:rsid w:val="0081346D"/>
    <w:rsid w:val="00814105"/>
    <w:rsid w:val="00815C0B"/>
    <w:rsid w:val="00824CF0"/>
    <w:rsid w:val="00831EA7"/>
    <w:rsid w:val="00841123"/>
    <w:rsid w:val="00841C6F"/>
    <w:rsid w:val="0084260D"/>
    <w:rsid w:val="00843285"/>
    <w:rsid w:val="00851F73"/>
    <w:rsid w:val="00852C13"/>
    <w:rsid w:val="00853AE5"/>
    <w:rsid w:val="008551CF"/>
    <w:rsid w:val="00857C74"/>
    <w:rsid w:val="008615F5"/>
    <w:rsid w:val="00863470"/>
    <w:rsid w:val="008648AE"/>
    <w:rsid w:val="00864BBF"/>
    <w:rsid w:val="00864DFC"/>
    <w:rsid w:val="0086549A"/>
    <w:rsid w:val="00866076"/>
    <w:rsid w:val="00866A37"/>
    <w:rsid w:val="00872637"/>
    <w:rsid w:val="008739D1"/>
    <w:rsid w:val="00873D7D"/>
    <w:rsid w:val="0087441F"/>
    <w:rsid w:val="008767BB"/>
    <w:rsid w:val="0087710F"/>
    <w:rsid w:val="008807AD"/>
    <w:rsid w:val="0088185D"/>
    <w:rsid w:val="00883EC2"/>
    <w:rsid w:val="0088785C"/>
    <w:rsid w:val="00887DC7"/>
    <w:rsid w:val="008921C9"/>
    <w:rsid w:val="0089505D"/>
    <w:rsid w:val="008971CA"/>
    <w:rsid w:val="008A0114"/>
    <w:rsid w:val="008A1EBB"/>
    <w:rsid w:val="008A2573"/>
    <w:rsid w:val="008A31B9"/>
    <w:rsid w:val="008A3DCA"/>
    <w:rsid w:val="008A7416"/>
    <w:rsid w:val="008A7815"/>
    <w:rsid w:val="008B534F"/>
    <w:rsid w:val="008B54C1"/>
    <w:rsid w:val="008B5D34"/>
    <w:rsid w:val="008B657D"/>
    <w:rsid w:val="008B66E9"/>
    <w:rsid w:val="008C027A"/>
    <w:rsid w:val="008C132D"/>
    <w:rsid w:val="008C1B85"/>
    <w:rsid w:val="008C7824"/>
    <w:rsid w:val="008C7C51"/>
    <w:rsid w:val="008D0117"/>
    <w:rsid w:val="008D0EB1"/>
    <w:rsid w:val="008D2834"/>
    <w:rsid w:val="008D5B1F"/>
    <w:rsid w:val="008D67CA"/>
    <w:rsid w:val="008D756D"/>
    <w:rsid w:val="008E2EC2"/>
    <w:rsid w:val="008E6320"/>
    <w:rsid w:val="008E6933"/>
    <w:rsid w:val="008E6957"/>
    <w:rsid w:val="008E7010"/>
    <w:rsid w:val="008E7540"/>
    <w:rsid w:val="008E7F7A"/>
    <w:rsid w:val="008F0265"/>
    <w:rsid w:val="008F285E"/>
    <w:rsid w:val="008F4135"/>
    <w:rsid w:val="008F55CA"/>
    <w:rsid w:val="008F5C53"/>
    <w:rsid w:val="008F5D10"/>
    <w:rsid w:val="008F73CC"/>
    <w:rsid w:val="009004DA"/>
    <w:rsid w:val="009031A0"/>
    <w:rsid w:val="00904E14"/>
    <w:rsid w:val="00906F7B"/>
    <w:rsid w:val="00910674"/>
    <w:rsid w:val="00910A52"/>
    <w:rsid w:val="009158CC"/>
    <w:rsid w:val="0091631F"/>
    <w:rsid w:val="009165CB"/>
    <w:rsid w:val="00916AC8"/>
    <w:rsid w:val="00923F6D"/>
    <w:rsid w:val="009261EE"/>
    <w:rsid w:val="0093009E"/>
    <w:rsid w:val="00930345"/>
    <w:rsid w:val="0093097C"/>
    <w:rsid w:val="009311C6"/>
    <w:rsid w:val="0093151D"/>
    <w:rsid w:val="00931B14"/>
    <w:rsid w:val="00932E27"/>
    <w:rsid w:val="00932F5D"/>
    <w:rsid w:val="00936596"/>
    <w:rsid w:val="00941902"/>
    <w:rsid w:val="00941FE3"/>
    <w:rsid w:val="009445ED"/>
    <w:rsid w:val="009511AB"/>
    <w:rsid w:val="00951269"/>
    <w:rsid w:val="00954D20"/>
    <w:rsid w:val="00960400"/>
    <w:rsid w:val="00961001"/>
    <w:rsid w:val="00961C48"/>
    <w:rsid w:val="00962120"/>
    <w:rsid w:val="009707E3"/>
    <w:rsid w:val="00970E80"/>
    <w:rsid w:val="00970F8B"/>
    <w:rsid w:val="00972B5C"/>
    <w:rsid w:val="009731B9"/>
    <w:rsid w:val="00974EC0"/>
    <w:rsid w:val="00976536"/>
    <w:rsid w:val="0097769F"/>
    <w:rsid w:val="00977CBC"/>
    <w:rsid w:val="00981EEE"/>
    <w:rsid w:val="009858BC"/>
    <w:rsid w:val="00986823"/>
    <w:rsid w:val="009A6ED2"/>
    <w:rsid w:val="009A7E52"/>
    <w:rsid w:val="009B05C5"/>
    <w:rsid w:val="009B0FF6"/>
    <w:rsid w:val="009B205D"/>
    <w:rsid w:val="009B23A8"/>
    <w:rsid w:val="009B29CA"/>
    <w:rsid w:val="009B3496"/>
    <w:rsid w:val="009B5138"/>
    <w:rsid w:val="009C35B7"/>
    <w:rsid w:val="009C6F24"/>
    <w:rsid w:val="009C75BA"/>
    <w:rsid w:val="009D2A3D"/>
    <w:rsid w:val="009D3EF3"/>
    <w:rsid w:val="009E09FC"/>
    <w:rsid w:val="009E0E3D"/>
    <w:rsid w:val="009E4841"/>
    <w:rsid w:val="009E5A14"/>
    <w:rsid w:val="009E7929"/>
    <w:rsid w:val="009F11C1"/>
    <w:rsid w:val="009F1E03"/>
    <w:rsid w:val="009F5966"/>
    <w:rsid w:val="009F6DD2"/>
    <w:rsid w:val="00A03DFB"/>
    <w:rsid w:val="00A100E0"/>
    <w:rsid w:val="00A12D72"/>
    <w:rsid w:val="00A1336A"/>
    <w:rsid w:val="00A155DA"/>
    <w:rsid w:val="00A22D5A"/>
    <w:rsid w:val="00A247CE"/>
    <w:rsid w:val="00A260FB"/>
    <w:rsid w:val="00A2702D"/>
    <w:rsid w:val="00A2706F"/>
    <w:rsid w:val="00A27727"/>
    <w:rsid w:val="00A27974"/>
    <w:rsid w:val="00A300A4"/>
    <w:rsid w:val="00A31B05"/>
    <w:rsid w:val="00A33130"/>
    <w:rsid w:val="00A3339E"/>
    <w:rsid w:val="00A33ACA"/>
    <w:rsid w:val="00A346F4"/>
    <w:rsid w:val="00A3506E"/>
    <w:rsid w:val="00A355F0"/>
    <w:rsid w:val="00A35C6D"/>
    <w:rsid w:val="00A36CF3"/>
    <w:rsid w:val="00A37476"/>
    <w:rsid w:val="00A37A4C"/>
    <w:rsid w:val="00A40631"/>
    <w:rsid w:val="00A4077C"/>
    <w:rsid w:val="00A40A71"/>
    <w:rsid w:val="00A411DF"/>
    <w:rsid w:val="00A428D9"/>
    <w:rsid w:val="00A442B9"/>
    <w:rsid w:val="00A45969"/>
    <w:rsid w:val="00A50CC8"/>
    <w:rsid w:val="00A518D9"/>
    <w:rsid w:val="00A52434"/>
    <w:rsid w:val="00A52D19"/>
    <w:rsid w:val="00A532D6"/>
    <w:rsid w:val="00A5462C"/>
    <w:rsid w:val="00A55358"/>
    <w:rsid w:val="00A60ED4"/>
    <w:rsid w:val="00A6356C"/>
    <w:rsid w:val="00A6701E"/>
    <w:rsid w:val="00A675AF"/>
    <w:rsid w:val="00A678BD"/>
    <w:rsid w:val="00A706AF"/>
    <w:rsid w:val="00A724B9"/>
    <w:rsid w:val="00A747AB"/>
    <w:rsid w:val="00A76157"/>
    <w:rsid w:val="00A77346"/>
    <w:rsid w:val="00A817E2"/>
    <w:rsid w:val="00A84F68"/>
    <w:rsid w:val="00A852D1"/>
    <w:rsid w:val="00A9012D"/>
    <w:rsid w:val="00A9382C"/>
    <w:rsid w:val="00A93E62"/>
    <w:rsid w:val="00A95B3F"/>
    <w:rsid w:val="00A96F7A"/>
    <w:rsid w:val="00AA057F"/>
    <w:rsid w:val="00AA739B"/>
    <w:rsid w:val="00AB7443"/>
    <w:rsid w:val="00AB7C52"/>
    <w:rsid w:val="00AC38A2"/>
    <w:rsid w:val="00AC3BA9"/>
    <w:rsid w:val="00AC5E76"/>
    <w:rsid w:val="00AC76D0"/>
    <w:rsid w:val="00AD3956"/>
    <w:rsid w:val="00AD4828"/>
    <w:rsid w:val="00AD585A"/>
    <w:rsid w:val="00AE0CF6"/>
    <w:rsid w:val="00AE2120"/>
    <w:rsid w:val="00AE3D9C"/>
    <w:rsid w:val="00AE413B"/>
    <w:rsid w:val="00AE4972"/>
    <w:rsid w:val="00AE5EDC"/>
    <w:rsid w:val="00AE7428"/>
    <w:rsid w:val="00AF43D5"/>
    <w:rsid w:val="00AF5FFA"/>
    <w:rsid w:val="00AF63D9"/>
    <w:rsid w:val="00B00676"/>
    <w:rsid w:val="00B01400"/>
    <w:rsid w:val="00B02B33"/>
    <w:rsid w:val="00B03A5E"/>
    <w:rsid w:val="00B05BDF"/>
    <w:rsid w:val="00B05FE3"/>
    <w:rsid w:val="00B07DB5"/>
    <w:rsid w:val="00B1115D"/>
    <w:rsid w:val="00B11368"/>
    <w:rsid w:val="00B119C1"/>
    <w:rsid w:val="00B12C81"/>
    <w:rsid w:val="00B1425A"/>
    <w:rsid w:val="00B14DC3"/>
    <w:rsid w:val="00B14FB1"/>
    <w:rsid w:val="00B15F9C"/>
    <w:rsid w:val="00B17051"/>
    <w:rsid w:val="00B17E4B"/>
    <w:rsid w:val="00B233DE"/>
    <w:rsid w:val="00B23502"/>
    <w:rsid w:val="00B25D65"/>
    <w:rsid w:val="00B3417B"/>
    <w:rsid w:val="00B35663"/>
    <w:rsid w:val="00B40576"/>
    <w:rsid w:val="00B41F35"/>
    <w:rsid w:val="00B50A48"/>
    <w:rsid w:val="00B51D58"/>
    <w:rsid w:val="00B5403D"/>
    <w:rsid w:val="00B576F9"/>
    <w:rsid w:val="00B62102"/>
    <w:rsid w:val="00B62824"/>
    <w:rsid w:val="00B63F8B"/>
    <w:rsid w:val="00B6458A"/>
    <w:rsid w:val="00B64B85"/>
    <w:rsid w:val="00B661B2"/>
    <w:rsid w:val="00B66527"/>
    <w:rsid w:val="00B66CA7"/>
    <w:rsid w:val="00B674AD"/>
    <w:rsid w:val="00B67A7D"/>
    <w:rsid w:val="00B67EDF"/>
    <w:rsid w:val="00B7107F"/>
    <w:rsid w:val="00B722A8"/>
    <w:rsid w:val="00B72A32"/>
    <w:rsid w:val="00B73409"/>
    <w:rsid w:val="00B7511F"/>
    <w:rsid w:val="00B758B6"/>
    <w:rsid w:val="00B7598E"/>
    <w:rsid w:val="00B77CE4"/>
    <w:rsid w:val="00B77FF9"/>
    <w:rsid w:val="00B80537"/>
    <w:rsid w:val="00B809B0"/>
    <w:rsid w:val="00B8141E"/>
    <w:rsid w:val="00B85302"/>
    <w:rsid w:val="00B95533"/>
    <w:rsid w:val="00B9781B"/>
    <w:rsid w:val="00BA3715"/>
    <w:rsid w:val="00BA703D"/>
    <w:rsid w:val="00BB0EFE"/>
    <w:rsid w:val="00BB16CD"/>
    <w:rsid w:val="00BB1BFA"/>
    <w:rsid w:val="00BB2C04"/>
    <w:rsid w:val="00BB2DDC"/>
    <w:rsid w:val="00BB3149"/>
    <w:rsid w:val="00BB49FB"/>
    <w:rsid w:val="00BB56C3"/>
    <w:rsid w:val="00BB60B9"/>
    <w:rsid w:val="00BB6234"/>
    <w:rsid w:val="00BB71E2"/>
    <w:rsid w:val="00BB77E6"/>
    <w:rsid w:val="00BC0C29"/>
    <w:rsid w:val="00BC4BA3"/>
    <w:rsid w:val="00BC557B"/>
    <w:rsid w:val="00BC75E8"/>
    <w:rsid w:val="00BD0AD3"/>
    <w:rsid w:val="00BD1881"/>
    <w:rsid w:val="00BE3B94"/>
    <w:rsid w:val="00BE44A2"/>
    <w:rsid w:val="00BE784C"/>
    <w:rsid w:val="00BF06A6"/>
    <w:rsid w:val="00BF1E99"/>
    <w:rsid w:val="00BF47B0"/>
    <w:rsid w:val="00BF780C"/>
    <w:rsid w:val="00C03D84"/>
    <w:rsid w:val="00C05212"/>
    <w:rsid w:val="00C056EF"/>
    <w:rsid w:val="00C076B9"/>
    <w:rsid w:val="00C07784"/>
    <w:rsid w:val="00C11003"/>
    <w:rsid w:val="00C150B2"/>
    <w:rsid w:val="00C15458"/>
    <w:rsid w:val="00C155CD"/>
    <w:rsid w:val="00C230B4"/>
    <w:rsid w:val="00C273CB"/>
    <w:rsid w:val="00C27B58"/>
    <w:rsid w:val="00C3067F"/>
    <w:rsid w:val="00C3075B"/>
    <w:rsid w:val="00C32F38"/>
    <w:rsid w:val="00C37420"/>
    <w:rsid w:val="00C4127E"/>
    <w:rsid w:val="00C457B4"/>
    <w:rsid w:val="00C46ACC"/>
    <w:rsid w:val="00C46E55"/>
    <w:rsid w:val="00C52773"/>
    <w:rsid w:val="00C52D08"/>
    <w:rsid w:val="00C56B85"/>
    <w:rsid w:val="00C621B8"/>
    <w:rsid w:val="00C62E32"/>
    <w:rsid w:val="00C6300A"/>
    <w:rsid w:val="00C66815"/>
    <w:rsid w:val="00C67390"/>
    <w:rsid w:val="00C67BAD"/>
    <w:rsid w:val="00C722D6"/>
    <w:rsid w:val="00C72F57"/>
    <w:rsid w:val="00C739A0"/>
    <w:rsid w:val="00C740DC"/>
    <w:rsid w:val="00C744DD"/>
    <w:rsid w:val="00C74798"/>
    <w:rsid w:val="00C74CC5"/>
    <w:rsid w:val="00C77160"/>
    <w:rsid w:val="00C864CF"/>
    <w:rsid w:val="00C90105"/>
    <w:rsid w:val="00C90659"/>
    <w:rsid w:val="00C94D70"/>
    <w:rsid w:val="00C955A6"/>
    <w:rsid w:val="00CA011F"/>
    <w:rsid w:val="00CA2401"/>
    <w:rsid w:val="00CA4573"/>
    <w:rsid w:val="00CA7E5C"/>
    <w:rsid w:val="00CB1C3E"/>
    <w:rsid w:val="00CC4B05"/>
    <w:rsid w:val="00CC5084"/>
    <w:rsid w:val="00CC571D"/>
    <w:rsid w:val="00CC5A3E"/>
    <w:rsid w:val="00CC7152"/>
    <w:rsid w:val="00CD1158"/>
    <w:rsid w:val="00CD34A6"/>
    <w:rsid w:val="00CD4D9E"/>
    <w:rsid w:val="00CD5822"/>
    <w:rsid w:val="00CD644E"/>
    <w:rsid w:val="00CD6BEA"/>
    <w:rsid w:val="00CD7531"/>
    <w:rsid w:val="00CE011E"/>
    <w:rsid w:val="00CE21E1"/>
    <w:rsid w:val="00CE285C"/>
    <w:rsid w:val="00CE2B7A"/>
    <w:rsid w:val="00CE5193"/>
    <w:rsid w:val="00CE56E4"/>
    <w:rsid w:val="00CE67D8"/>
    <w:rsid w:val="00CE7288"/>
    <w:rsid w:val="00CF0495"/>
    <w:rsid w:val="00CF3672"/>
    <w:rsid w:val="00CF4CD3"/>
    <w:rsid w:val="00CF50C4"/>
    <w:rsid w:val="00CF658F"/>
    <w:rsid w:val="00CF7390"/>
    <w:rsid w:val="00D0124B"/>
    <w:rsid w:val="00D02143"/>
    <w:rsid w:val="00D0306C"/>
    <w:rsid w:val="00D041A9"/>
    <w:rsid w:val="00D10125"/>
    <w:rsid w:val="00D119FA"/>
    <w:rsid w:val="00D11A0A"/>
    <w:rsid w:val="00D12D98"/>
    <w:rsid w:val="00D13BDB"/>
    <w:rsid w:val="00D149C3"/>
    <w:rsid w:val="00D1622A"/>
    <w:rsid w:val="00D17B66"/>
    <w:rsid w:val="00D21A65"/>
    <w:rsid w:val="00D233B7"/>
    <w:rsid w:val="00D2381A"/>
    <w:rsid w:val="00D24FF2"/>
    <w:rsid w:val="00D2757F"/>
    <w:rsid w:val="00D30165"/>
    <w:rsid w:val="00D34100"/>
    <w:rsid w:val="00D3497F"/>
    <w:rsid w:val="00D35DB1"/>
    <w:rsid w:val="00D379D4"/>
    <w:rsid w:val="00D4033D"/>
    <w:rsid w:val="00D42A4B"/>
    <w:rsid w:val="00D44198"/>
    <w:rsid w:val="00D45846"/>
    <w:rsid w:val="00D45A4D"/>
    <w:rsid w:val="00D51514"/>
    <w:rsid w:val="00D53FE7"/>
    <w:rsid w:val="00D5619D"/>
    <w:rsid w:val="00D56680"/>
    <w:rsid w:val="00D568D7"/>
    <w:rsid w:val="00D57483"/>
    <w:rsid w:val="00D61183"/>
    <w:rsid w:val="00D62976"/>
    <w:rsid w:val="00D63394"/>
    <w:rsid w:val="00D654CB"/>
    <w:rsid w:val="00D66990"/>
    <w:rsid w:val="00D67E77"/>
    <w:rsid w:val="00D70455"/>
    <w:rsid w:val="00D70549"/>
    <w:rsid w:val="00D71A89"/>
    <w:rsid w:val="00D76360"/>
    <w:rsid w:val="00D77026"/>
    <w:rsid w:val="00D8177E"/>
    <w:rsid w:val="00D81B0D"/>
    <w:rsid w:val="00D847A5"/>
    <w:rsid w:val="00D85E83"/>
    <w:rsid w:val="00D866D2"/>
    <w:rsid w:val="00D86F86"/>
    <w:rsid w:val="00D86FB6"/>
    <w:rsid w:val="00D876CE"/>
    <w:rsid w:val="00D954DC"/>
    <w:rsid w:val="00D95906"/>
    <w:rsid w:val="00DA0D7E"/>
    <w:rsid w:val="00DA3019"/>
    <w:rsid w:val="00DA3101"/>
    <w:rsid w:val="00DA33B4"/>
    <w:rsid w:val="00DA4042"/>
    <w:rsid w:val="00DA61B2"/>
    <w:rsid w:val="00DA6852"/>
    <w:rsid w:val="00DA6A4A"/>
    <w:rsid w:val="00DB3D51"/>
    <w:rsid w:val="00DC2F78"/>
    <w:rsid w:val="00DC4B05"/>
    <w:rsid w:val="00DC55CF"/>
    <w:rsid w:val="00DD165D"/>
    <w:rsid w:val="00DD1AD8"/>
    <w:rsid w:val="00DD1B0E"/>
    <w:rsid w:val="00DD446B"/>
    <w:rsid w:val="00DD4659"/>
    <w:rsid w:val="00DD6C2B"/>
    <w:rsid w:val="00DE3856"/>
    <w:rsid w:val="00DE4FD8"/>
    <w:rsid w:val="00DE6F78"/>
    <w:rsid w:val="00DE70A6"/>
    <w:rsid w:val="00DE7501"/>
    <w:rsid w:val="00DF1CDF"/>
    <w:rsid w:val="00DF3FB8"/>
    <w:rsid w:val="00DF3FC6"/>
    <w:rsid w:val="00DF552A"/>
    <w:rsid w:val="00DF69F4"/>
    <w:rsid w:val="00E00927"/>
    <w:rsid w:val="00E02D68"/>
    <w:rsid w:val="00E03DBA"/>
    <w:rsid w:val="00E0549F"/>
    <w:rsid w:val="00E06CED"/>
    <w:rsid w:val="00E12C15"/>
    <w:rsid w:val="00E20793"/>
    <w:rsid w:val="00E21A05"/>
    <w:rsid w:val="00E25C2E"/>
    <w:rsid w:val="00E30AA8"/>
    <w:rsid w:val="00E30D21"/>
    <w:rsid w:val="00E339E1"/>
    <w:rsid w:val="00E34B6E"/>
    <w:rsid w:val="00E35A21"/>
    <w:rsid w:val="00E35F40"/>
    <w:rsid w:val="00E417D0"/>
    <w:rsid w:val="00E420AA"/>
    <w:rsid w:val="00E42BB9"/>
    <w:rsid w:val="00E45359"/>
    <w:rsid w:val="00E455FB"/>
    <w:rsid w:val="00E4741E"/>
    <w:rsid w:val="00E5002C"/>
    <w:rsid w:val="00E507AB"/>
    <w:rsid w:val="00E50E85"/>
    <w:rsid w:val="00E525BB"/>
    <w:rsid w:val="00E57745"/>
    <w:rsid w:val="00E60B74"/>
    <w:rsid w:val="00E64957"/>
    <w:rsid w:val="00E64973"/>
    <w:rsid w:val="00E65DE6"/>
    <w:rsid w:val="00E664E5"/>
    <w:rsid w:val="00E73F4D"/>
    <w:rsid w:val="00E75A28"/>
    <w:rsid w:val="00E7792F"/>
    <w:rsid w:val="00E84B18"/>
    <w:rsid w:val="00E900E3"/>
    <w:rsid w:val="00E903FE"/>
    <w:rsid w:val="00E91547"/>
    <w:rsid w:val="00E917F1"/>
    <w:rsid w:val="00E91E9B"/>
    <w:rsid w:val="00E933A6"/>
    <w:rsid w:val="00E9457A"/>
    <w:rsid w:val="00EA082D"/>
    <w:rsid w:val="00EA395E"/>
    <w:rsid w:val="00EA3A76"/>
    <w:rsid w:val="00EA507F"/>
    <w:rsid w:val="00EA5746"/>
    <w:rsid w:val="00EA5CF8"/>
    <w:rsid w:val="00EB17E2"/>
    <w:rsid w:val="00EB4510"/>
    <w:rsid w:val="00EB5805"/>
    <w:rsid w:val="00EB58CB"/>
    <w:rsid w:val="00EB686E"/>
    <w:rsid w:val="00EB6A5A"/>
    <w:rsid w:val="00EB7BD5"/>
    <w:rsid w:val="00EC0E97"/>
    <w:rsid w:val="00EC1D5C"/>
    <w:rsid w:val="00EC2CC3"/>
    <w:rsid w:val="00EC3821"/>
    <w:rsid w:val="00EC6309"/>
    <w:rsid w:val="00EC63DE"/>
    <w:rsid w:val="00EC6CE3"/>
    <w:rsid w:val="00EC7EAD"/>
    <w:rsid w:val="00ED39A5"/>
    <w:rsid w:val="00ED5191"/>
    <w:rsid w:val="00ED5804"/>
    <w:rsid w:val="00ED6D2E"/>
    <w:rsid w:val="00ED6E0C"/>
    <w:rsid w:val="00ED7479"/>
    <w:rsid w:val="00EE49DF"/>
    <w:rsid w:val="00EE5C32"/>
    <w:rsid w:val="00EF2C23"/>
    <w:rsid w:val="00EF5000"/>
    <w:rsid w:val="00EF7247"/>
    <w:rsid w:val="00EF760B"/>
    <w:rsid w:val="00EF7B97"/>
    <w:rsid w:val="00EF7C93"/>
    <w:rsid w:val="00F0230F"/>
    <w:rsid w:val="00F052CA"/>
    <w:rsid w:val="00F1064B"/>
    <w:rsid w:val="00F11218"/>
    <w:rsid w:val="00F134D5"/>
    <w:rsid w:val="00F14AB7"/>
    <w:rsid w:val="00F1565A"/>
    <w:rsid w:val="00F16285"/>
    <w:rsid w:val="00F23E41"/>
    <w:rsid w:val="00F24C51"/>
    <w:rsid w:val="00F31D64"/>
    <w:rsid w:val="00F34660"/>
    <w:rsid w:val="00F3580E"/>
    <w:rsid w:val="00F35F50"/>
    <w:rsid w:val="00F37362"/>
    <w:rsid w:val="00F4035A"/>
    <w:rsid w:val="00F4140E"/>
    <w:rsid w:val="00F473A3"/>
    <w:rsid w:val="00F47968"/>
    <w:rsid w:val="00F47B64"/>
    <w:rsid w:val="00F53CB5"/>
    <w:rsid w:val="00F54378"/>
    <w:rsid w:val="00F56062"/>
    <w:rsid w:val="00F57C34"/>
    <w:rsid w:val="00F61445"/>
    <w:rsid w:val="00F64DF4"/>
    <w:rsid w:val="00F65CC4"/>
    <w:rsid w:val="00F70FC3"/>
    <w:rsid w:val="00F71F91"/>
    <w:rsid w:val="00F7391E"/>
    <w:rsid w:val="00F807FE"/>
    <w:rsid w:val="00F824C2"/>
    <w:rsid w:val="00F82BA7"/>
    <w:rsid w:val="00F90062"/>
    <w:rsid w:val="00F92780"/>
    <w:rsid w:val="00F937DF"/>
    <w:rsid w:val="00F93CE8"/>
    <w:rsid w:val="00F9566D"/>
    <w:rsid w:val="00F968A7"/>
    <w:rsid w:val="00F976F0"/>
    <w:rsid w:val="00FA311C"/>
    <w:rsid w:val="00FA40D1"/>
    <w:rsid w:val="00FA4ECC"/>
    <w:rsid w:val="00FA57DB"/>
    <w:rsid w:val="00FB2135"/>
    <w:rsid w:val="00FB2743"/>
    <w:rsid w:val="00FB4C9F"/>
    <w:rsid w:val="00FB5526"/>
    <w:rsid w:val="00FB6B5F"/>
    <w:rsid w:val="00FC17FE"/>
    <w:rsid w:val="00FC22C9"/>
    <w:rsid w:val="00FC35DE"/>
    <w:rsid w:val="00FC68EA"/>
    <w:rsid w:val="00FD0E5F"/>
    <w:rsid w:val="00FD2B92"/>
    <w:rsid w:val="00FD63BF"/>
    <w:rsid w:val="00FD6426"/>
    <w:rsid w:val="00FE11F1"/>
    <w:rsid w:val="00FE18A4"/>
    <w:rsid w:val="00FE225C"/>
    <w:rsid w:val="00FE3F01"/>
    <w:rsid w:val="00FF2307"/>
    <w:rsid w:val="00FF3B07"/>
    <w:rsid w:val="00FF3C92"/>
    <w:rsid w:val="00FF6A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A8F7E"/>
  <w15:docId w15:val="{DE4F08DD-E717-48CF-B1E5-18284A5FB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1" w:unhideWhenUsed="1"/>
    <w:lsdException w:name="Strong" w:uiPriority="22" w:qFormat="1"/>
    <w:lsdException w:name="Emphasis" w:uiPriority="20" w:qFormat="1"/>
    <w:lsdException w:name="Document Map" w:semiHidden="1" w:uiPriority="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78D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unhideWhenUsed/>
    <w:rsid w:val="002A24E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9"/>
    <w:unhideWhenUsed/>
    <w:qFormat/>
    <w:rsid w:val="002A24E3"/>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2A24E3"/>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A24E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339E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A24E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rsid w:val="002A24E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1"/>
    <w:semiHidden/>
    <w:rsid w:val="002A24E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A24E3"/>
    <w:rPr>
      <w:rFonts w:asciiTheme="majorHAnsi" w:eastAsiaTheme="majorEastAsia" w:hAnsiTheme="majorHAnsi" w:cstheme="majorBidi"/>
      <w:i/>
      <w:iCs/>
      <w:color w:val="365F91" w:themeColor="accent1" w:themeShade="BF"/>
      <w:sz w:val="24"/>
      <w:szCs w:val="24"/>
    </w:rPr>
  </w:style>
  <w:style w:type="paragraph" w:customStyle="1" w:styleId="AHPRASubheading">
    <w:name w:val="AHPRA Subheading"/>
    <w:basedOn w:val="Normal"/>
    <w:qFormat/>
    <w:rsid w:val="002A24E3"/>
    <w:pPr>
      <w:spacing w:before="200" w:after="200"/>
    </w:pPr>
    <w:rPr>
      <w:rFonts w:ascii="Arial" w:eastAsia="Cambria" w:hAnsi="Arial"/>
      <w:b/>
      <w:color w:val="007DC3"/>
      <w:sz w:val="20"/>
    </w:rPr>
  </w:style>
  <w:style w:type="paragraph" w:customStyle="1" w:styleId="AHPRASubheadinglevel2">
    <w:name w:val="AHPRA Subheading level 2"/>
    <w:basedOn w:val="AHPRASubheading"/>
    <w:next w:val="Normal"/>
    <w:qFormat/>
    <w:rsid w:val="002A24E3"/>
    <w:rPr>
      <w:color w:val="auto"/>
    </w:rPr>
  </w:style>
  <w:style w:type="paragraph" w:customStyle="1" w:styleId="AHPRAAUtableheaderaccreditation">
    <w:name w:val="AHPRA AU table header accreditation"/>
    <w:basedOn w:val="AHPRASubheadinglevel2"/>
    <w:qFormat/>
    <w:rsid w:val="002A24E3"/>
    <w:rPr>
      <w:rFonts w:ascii="Arial Narrow" w:hAnsi="Arial Narrow"/>
    </w:rPr>
  </w:style>
  <w:style w:type="paragraph" w:customStyle="1" w:styleId="AHPRAAUHistoricalrecordheading">
    <w:name w:val="AHPRA AU Historical record heading"/>
    <w:basedOn w:val="AHPRAAUtableheaderaccreditation"/>
    <w:qFormat/>
    <w:rsid w:val="002A24E3"/>
    <w:pPr>
      <w:pBdr>
        <w:top w:val="thickThinSmallGap" w:sz="18" w:space="1" w:color="auto"/>
      </w:pBdr>
      <w:spacing w:after="400"/>
    </w:pPr>
    <w:rPr>
      <w:caps/>
    </w:rPr>
  </w:style>
  <w:style w:type="paragraph" w:customStyle="1" w:styleId="AHPRAbody">
    <w:name w:val="AHPRA body"/>
    <w:basedOn w:val="Normal"/>
    <w:link w:val="AHPRAbodyChar"/>
    <w:qFormat/>
    <w:rsid w:val="002A24E3"/>
    <w:pPr>
      <w:spacing w:after="200"/>
    </w:pPr>
    <w:rPr>
      <w:rFonts w:ascii="Arial" w:eastAsia="Cambria" w:hAnsi="Arial" w:cs="Arial"/>
      <w:sz w:val="20"/>
    </w:rPr>
  </w:style>
  <w:style w:type="paragraph" w:customStyle="1" w:styleId="AHPRAtabletext">
    <w:name w:val="AHPRA table text"/>
    <w:basedOn w:val="AHPRAbody"/>
    <w:rsid w:val="002A24E3"/>
    <w:pPr>
      <w:spacing w:after="0"/>
    </w:pPr>
    <w:rPr>
      <w:sz w:val="18"/>
      <w:szCs w:val="20"/>
    </w:rPr>
  </w:style>
  <w:style w:type="paragraph" w:customStyle="1" w:styleId="AHPRAAUtabletext2">
    <w:name w:val="AHPRA AU table text 2"/>
    <w:basedOn w:val="AHPRAtabletext"/>
    <w:qFormat/>
    <w:rsid w:val="002A24E3"/>
    <w:pPr>
      <w:spacing w:before="120" w:after="120"/>
    </w:pPr>
    <w:rPr>
      <w:sz w:val="20"/>
    </w:rPr>
  </w:style>
  <w:style w:type="paragraph" w:customStyle="1" w:styleId="AHPRAAUtablebulletlevel1">
    <w:name w:val="AHPRA AU table bullet level 1"/>
    <w:basedOn w:val="AHPRAAUtabletext2"/>
    <w:qFormat/>
    <w:rsid w:val="002A24E3"/>
  </w:style>
  <w:style w:type="paragraph" w:customStyle="1" w:styleId="AHPRAtableheading">
    <w:name w:val="AHPRA table heading"/>
    <w:basedOn w:val="Normal"/>
    <w:rsid w:val="002A24E3"/>
    <w:pPr>
      <w:spacing w:before="120" w:after="120"/>
      <w:jc w:val="center"/>
    </w:pPr>
    <w:rPr>
      <w:rFonts w:ascii="Arial" w:eastAsia="Cambria" w:hAnsi="Arial"/>
      <w:b/>
      <w:sz w:val="20"/>
    </w:rPr>
  </w:style>
  <w:style w:type="paragraph" w:customStyle="1" w:styleId="AHPRAAUtableheading2">
    <w:name w:val="AHPRA AU table heading 2"/>
    <w:basedOn w:val="AHPRAtableheading"/>
    <w:qFormat/>
    <w:rsid w:val="002A24E3"/>
    <w:pPr>
      <w:jc w:val="left"/>
    </w:pPr>
    <w:rPr>
      <w:rFonts w:ascii="Arial Narrow" w:hAnsi="Arial Narrow"/>
    </w:rPr>
  </w:style>
  <w:style w:type="paragraph" w:customStyle="1" w:styleId="AHPRAAUtabletext1">
    <w:name w:val="AHPRA AU table text 1"/>
    <w:basedOn w:val="AHPRAtabletext"/>
    <w:qFormat/>
    <w:rsid w:val="002A24E3"/>
    <w:pPr>
      <w:spacing w:before="20" w:after="20"/>
    </w:pPr>
  </w:style>
  <w:style w:type="paragraph" w:customStyle="1" w:styleId="AHPRAbodyblue">
    <w:name w:val="AHPRA body blue"/>
    <w:basedOn w:val="AHPRAbody"/>
    <w:qFormat/>
    <w:rsid w:val="002A24E3"/>
    <w:rPr>
      <w:color w:val="548DD4" w:themeColor="text2" w:themeTint="99"/>
    </w:rPr>
  </w:style>
  <w:style w:type="paragraph" w:customStyle="1" w:styleId="AHPRAbodybluebold">
    <w:name w:val="AHPRA body blue bold"/>
    <w:basedOn w:val="AHPRASubheading"/>
    <w:uiPriority w:val="1"/>
    <w:rsid w:val="002A24E3"/>
  </w:style>
  <w:style w:type="paragraph" w:customStyle="1" w:styleId="AHPRAbodybold">
    <w:name w:val="AHPRA body bold"/>
    <w:basedOn w:val="AHPRAbody"/>
    <w:link w:val="AHPRAbodyboldChar"/>
    <w:qFormat/>
    <w:rsid w:val="002A24E3"/>
    <w:rPr>
      <w:b/>
    </w:rPr>
  </w:style>
  <w:style w:type="paragraph" w:customStyle="1" w:styleId="AHPRAbodyitalics">
    <w:name w:val="AHPRA body italics"/>
    <w:basedOn w:val="AHPRAbodybold"/>
    <w:qFormat/>
    <w:rsid w:val="002A24E3"/>
    <w:rPr>
      <w:b w:val="0"/>
      <w:i/>
    </w:rPr>
  </w:style>
  <w:style w:type="paragraph" w:customStyle="1" w:styleId="AHPRAbodyunderline">
    <w:name w:val="AHPRA body underline"/>
    <w:basedOn w:val="AHPRAbodyitalics"/>
    <w:rsid w:val="002A24E3"/>
    <w:rPr>
      <w:i w:val="0"/>
      <w:u w:val="single"/>
    </w:rPr>
  </w:style>
  <w:style w:type="paragraph" w:customStyle="1" w:styleId="AHPRABulletlevel1">
    <w:name w:val="AHPRA Bullet level 1"/>
    <w:basedOn w:val="Normal"/>
    <w:qFormat/>
    <w:rsid w:val="002A24E3"/>
    <w:pPr>
      <w:numPr>
        <w:numId w:val="1"/>
      </w:numPr>
    </w:pPr>
    <w:rPr>
      <w:rFonts w:ascii="Arial" w:eastAsia="Cambria" w:hAnsi="Arial"/>
      <w:sz w:val="20"/>
    </w:rPr>
  </w:style>
  <w:style w:type="paragraph" w:customStyle="1" w:styleId="AHPRABulletlevel1last">
    <w:name w:val="AHPRA Bullet level 1 last"/>
    <w:basedOn w:val="AHPRABulletlevel1"/>
    <w:next w:val="Normal"/>
    <w:rsid w:val="002A24E3"/>
    <w:pPr>
      <w:numPr>
        <w:numId w:val="0"/>
      </w:numPr>
      <w:spacing w:after="200"/>
    </w:pPr>
  </w:style>
  <w:style w:type="paragraph" w:customStyle="1" w:styleId="AHPRABulletlevel2">
    <w:name w:val="AHPRA Bullet level 2"/>
    <w:basedOn w:val="AHPRABulletlevel1"/>
    <w:uiPriority w:val="99"/>
    <w:rsid w:val="002A24E3"/>
    <w:pPr>
      <w:numPr>
        <w:numId w:val="2"/>
      </w:numPr>
      <w:spacing w:after="120"/>
    </w:pPr>
  </w:style>
  <w:style w:type="paragraph" w:customStyle="1" w:styleId="AHPRABulletlevel2last">
    <w:name w:val="AHPRA Bullet level 2 last"/>
    <w:basedOn w:val="AHPRABulletlevel2"/>
    <w:next w:val="AHPRAbody"/>
    <w:rsid w:val="002A24E3"/>
    <w:pPr>
      <w:numPr>
        <w:numId w:val="0"/>
      </w:numPr>
      <w:spacing w:after="200"/>
    </w:pPr>
  </w:style>
  <w:style w:type="paragraph" w:customStyle="1" w:styleId="AHPRABulletlevel3">
    <w:name w:val="AHPRA Bullet level 3"/>
    <w:basedOn w:val="AHPRABulletlevel2"/>
    <w:rsid w:val="002A24E3"/>
    <w:pPr>
      <w:numPr>
        <w:numId w:val="3"/>
      </w:numPr>
    </w:pPr>
  </w:style>
  <w:style w:type="paragraph" w:customStyle="1" w:styleId="AHPRABulletlevel3last">
    <w:name w:val="AHPRA Bullet level 3 last"/>
    <w:basedOn w:val="AHPRABulletlevel3"/>
    <w:next w:val="AHPRAbody"/>
    <w:rsid w:val="002A24E3"/>
    <w:pPr>
      <w:numPr>
        <w:numId w:val="0"/>
      </w:numPr>
      <w:spacing w:after="200"/>
    </w:pPr>
  </w:style>
  <w:style w:type="paragraph" w:customStyle="1" w:styleId="AHPRADocumentsubheading">
    <w:name w:val="AHPRA Document subheading"/>
    <w:basedOn w:val="Normal"/>
    <w:next w:val="Normal"/>
    <w:qFormat/>
    <w:rsid w:val="002838B3"/>
    <w:pPr>
      <w:spacing w:after="200"/>
      <w:outlineLvl w:val="0"/>
    </w:pPr>
    <w:rPr>
      <w:rFonts w:ascii="Arial" w:eastAsia="Cambria" w:hAnsi="Arial" w:cs="Arial"/>
      <w:color w:val="5F6062"/>
      <w:sz w:val="28"/>
      <w:szCs w:val="52"/>
    </w:rPr>
  </w:style>
  <w:style w:type="paragraph" w:customStyle="1" w:styleId="AHPRADocumenttitle">
    <w:name w:val="AHPRA Document title"/>
    <w:basedOn w:val="Normal"/>
    <w:rsid w:val="002A24E3"/>
    <w:pPr>
      <w:spacing w:before="200" w:after="200"/>
      <w:outlineLvl w:val="0"/>
    </w:pPr>
    <w:rPr>
      <w:rFonts w:ascii="Arial" w:eastAsia="Cambria" w:hAnsi="Arial" w:cs="Arial"/>
      <w:color w:val="00BCE4"/>
      <w:sz w:val="32"/>
      <w:szCs w:val="52"/>
    </w:rPr>
  </w:style>
  <w:style w:type="paragraph" w:styleId="FootnoteText">
    <w:name w:val="footnote text"/>
    <w:basedOn w:val="Normal"/>
    <w:link w:val="FootnoteTextChar"/>
    <w:uiPriority w:val="99"/>
    <w:unhideWhenUsed/>
    <w:rsid w:val="002A24E3"/>
    <w:pPr>
      <w:spacing w:after="200"/>
    </w:pPr>
    <w:rPr>
      <w:rFonts w:ascii="Arial" w:eastAsia="Cambria" w:hAnsi="Arial"/>
      <w:sz w:val="20"/>
      <w:szCs w:val="20"/>
    </w:rPr>
  </w:style>
  <w:style w:type="character" w:customStyle="1" w:styleId="FootnoteTextChar">
    <w:name w:val="Footnote Text Char"/>
    <w:basedOn w:val="DefaultParagraphFont"/>
    <w:link w:val="FootnoteText"/>
    <w:uiPriority w:val="99"/>
    <w:rsid w:val="002A24E3"/>
    <w:rPr>
      <w:rFonts w:ascii="Arial" w:eastAsia="Cambria" w:hAnsi="Arial" w:cs="Times New Roman"/>
      <w:sz w:val="20"/>
      <w:szCs w:val="20"/>
    </w:rPr>
  </w:style>
  <w:style w:type="paragraph" w:customStyle="1" w:styleId="AHPRAfooter">
    <w:name w:val="AHPRA footer"/>
    <w:basedOn w:val="FootnoteText"/>
    <w:rsid w:val="002A24E3"/>
    <w:pPr>
      <w:spacing w:after="0"/>
    </w:pPr>
    <w:rPr>
      <w:rFonts w:cs="Arial"/>
      <w:color w:val="5F6062"/>
      <w:sz w:val="18"/>
    </w:rPr>
  </w:style>
  <w:style w:type="paragraph" w:customStyle="1" w:styleId="AHPRAfirstpagefooter">
    <w:name w:val="AHPRA first page footer"/>
    <w:basedOn w:val="AHPRAfooter"/>
    <w:rsid w:val="002A24E3"/>
    <w:pPr>
      <w:jc w:val="center"/>
    </w:pPr>
    <w:rPr>
      <w:b/>
    </w:rPr>
  </w:style>
  <w:style w:type="paragraph" w:customStyle="1" w:styleId="AHPRAfootnote">
    <w:name w:val="AHPRA footnote"/>
    <w:basedOn w:val="AHPRASubheading"/>
    <w:rsid w:val="002A24E3"/>
    <w:pPr>
      <w:spacing w:before="0" w:after="120"/>
    </w:pPr>
    <w:rPr>
      <w:b w:val="0"/>
      <w:color w:val="auto"/>
      <w:sz w:val="18"/>
      <w:szCs w:val="18"/>
    </w:rPr>
  </w:style>
  <w:style w:type="numbering" w:customStyle="1" w:styleId="AHPRAlist">
    <w:name w:val="AHPRA list"/>
    <w:uiPriority w:val="99"/>
    <w:rsid w:val="002A24E3"/>
    <w:pPr>
      <w:numPr>
        <w:numId w:val="4"/>
      </w:numPr>
    </w:pPr>
  </w:style>
  <w:style w:type="paragraph" w:customStyle="1" w:styleId="AHPRANumberedlistlevel1">
    <w:name w:val="AHPRA Numbered list level 1"/>
    <w:basedOn w:val="AHPRABulletlevel1"/>
    <w:rsid w:val="002A24E3"/>
    <w:pPr>
      <w:numPr>
        <w:numId w:val="8"/>
      </w:numPr>
      <w:spacing w:after="120"/>
    </w:pPr>
  </w:style>
  <w:style w:type="paragraph" w:customStyle="1" w:styleId="AHPRANumberedlistlevel3">
    <w:name w:val="AHPRA Numbered list level 3"/>
    <w:basedOn w:val="AHPRANumberedlistlevel1"/>
    <w:rsid w:val="002A24E3"/>
    <w:pPr>
      <w:numPr>
        <w:ilvl w:val="2"/>
        <w:numId w:val="10"/>
      </w:numPr>
    </w:pPr>
  </w:style>
  <w:style w:type="paragraph" w:customStyle="1" w:styleId="AHPRANumberedlistlevel3withspace">
    <w:name w:val="AHPRA Numbered list level 3 with space"/>
    <w:basedOn w:val="AHPRANumberedlistlevel3"/>
    <w:next w:val="AHPRAbody"/>
    <w:rsid w:val="002A24E3"/>
    <w:pPr>
      <w:numPr>
        <w:ilvl w:val="0"/>
        <w:numId w:val="0"/>
      </w:numPr>
      <w:spacing w:after="200"/>
    </w:pPr>
  </w:style>
  <w:style w:type="paragraph" w:customStyle="1" w:styleId="AHPRANumbered">
    <w:name w:val="AHPRA Numbered"/>
    <w:basedOn w:val="AHPRANumberedlistlevel3withspace"/>
    <w:qFormat/>
    <w:rsid w:val="002A24E3"/>
    <w:pPr>
      <w:numPr>
        <w:ilvl w:val="1"/>
        <w:numId w:val="5"/>
      </w:numPr>
      <w:tabs>
        <w:tab w:val="left" w:pos="1701"/>
      </w:tabs>
      <w:spacing w:after="120"/>
    </w:pPr>
    <w:rPr>
      <w:rFonts w:cs="Arial"/>
    </w:rPr>
  </w:style>
  <w:style w:type="paragraph" w:customStyle="1" w:styleId="AHPRAnumberedsubheadinglevel10">
    <w:name w:val="AHPRA numbered subheading level 1"/>
    <w:basedOn w:val="AHPRASubheading"/>
    <w:next w:val="Normal"/>
    <w:rsid w:val="002A24E3"/>
    <w:rPr>
      <w:color w:val="008EC4"/>
    </w:rPr>
  </w:style>
  <w:style w:type="paragraph" w:customStyle="1" w:styleId="AHPRAnumberedbulletpoint">
    <w:name w:val="AHPRA numbered bullet point"/>
    <w:basedOn w:val="AHPRAnumberedsubheadinglevel10"/>
    <w:rsid w:val="002A24E3"/>
    <w:pPr>
      <w:numPr>
        <w:ilvl w:val="1"/>
        <w:numId w:val="4"/>
      </w:numPr>
    </w:pPr>
    <w:rPr>
      <w:b w:val="0"/>
      <w:color w:val="auto"/>
    </w:rPr>
  </w:style>
  <w:style w:type="numbering" w:customStyle="1" w:styleId="AHPRANumberedheadinglist">
    <w:name w:val="AHPRA Numbered heading list"/>
    <w:uiPriority w:val="99"/>
    <w:rsid w:val="002A24E3"/>
    <w:pPr>
      <w:numPr>
        <w:numId w:val="6"/>
      </w:numPr>
    </w:pPr>
  </w:style>
  <w:style w:type="numbering" w:customStyle="1" w:styleId="AHPRANumberedlist">
    <w:name w:val="AHPRA Numbered list"/>
    <w:uiPriority w:val="99"/>
    <w:rsid w:val="002A24E3"/>
    <w:pPr>
      <w:numPr>
        <w:numId w:val="7"/>
      </w:numPr>
    </w:pPr>
  </w:style>
  <w:style w:type="paragraph" w:customStyle="1" w:styleId="AHPRANumberedlistlevel1withspace">
    <w:name w:val="AHPRA Numbered list level 1 with space"/>
    <w:basedOn w:val="AHPRANumberedlistlevel1"/>
    <w:next w:val="AHPRAbody"/>
    <w:rsid w:val="002A24E3"/>
    <w:pPr>
      <w:numPr>
        <w:numId w:val="10"/>
      </w:numPr>
      <w:spacing w:after="200"/>
    </w:pPr>
  </w:style>
  <w:style w:type="paragraph" w:customStyle="1" w:styleId="AHPRANumberedlistlevel2">
    <w:name w:val="AHPRA Numbered list level 2"/>
    <w:basedOn w:val="AHPRANumberedlistlevel1"/>
    <w:rsid w:val="002A24E3"/>
    <w:pPr>
      <w:numPr>
        <w:ilvl w:val="1"/>
      </w:numPr>
    </w:pPr>
  </w:style>
  <w:style w:type="paragraph" w:customStyle="1" w:styleId="AHPRANumberedlistlevel2withspace">
    <w:name w:val="AHPRA Numbered list level 2 with space"/>
    <w:basedOn w:val="AHPRANumberedlistlevel2"/>
    <w:next w:val="AHPRAbody"/>
    <w:rsid w:val="002A24E3"/>
    <w:pPr>
      <w:numPr>
        <w:ilvl w:val="0"/>
        <w:numId w:val="0"/>
      </w:numPr>
      <w:spacing w:after="240"/>
    </w:pPr>
  </w:style>
  <w:style w:type="numbering" w:customStyle="1" w:styleId="AHPRANumberedlist1">
    <w:name w:val="AHPRA Numbered list1"/>
    <w:uiPriority w:val="99"/>
    <w:rsid w:val="002A24E3"/>
  </w:style>
  <w:style w:type="paragraph" w:customStyle="1" w:styleId="AHPRANumberedsubheadinglevel1">
    <w:name w:val="AHPRA Numbered subheading level 1"/>
    <w:basedOn w:val="AHPRASubheading"/>
    <w:next w:val="AHPRAbody"/>
    <w:rsid w:val="002A24E3"/>
    <w:pPr>
      <w:numPr>
        <w:numId w:val="9"/>
      </w:numPr>
    </w:pPr>
  </w:style>
  <w:style w:type="paragraph" w:customStyle="1" w:styleId="AHPRANumberedsubheadinglevel2">
    <w:name w:val="AHPRA Numbered subheading level 2"/>
    <w:basedOn w:val="AHPRANumberedsubheadinglevel1"/>
    <w:next w:val="AHPRAbody"/>
    <w:rsid w:val="002A24E3"/>
    <w:pPr>
      <w:numPr>
        <w:ilvl w:val="1"/>
        <w:numId w:val="10"/>
      </w:numPr>
      <w:spacing w:before="0"/>
    </w:pPr>
    <w:rPr>
      <w:color w:val="auto"/>
    </w:rPr>
  </w:style>
  <w:style w:type="paragraph" w:customStyle="1" w:styleId="AHPRANumberedsubheadinglevel3">
    <w:name w:val="AHPRA Numbered subheading level 3"/>
    <w:basedOn w:val="AHPRANumberedsubheadinglevel2"/>
    <w:next w:val="AHPRAbody"/>
    <w:rsid w:val="002A24E3"/>
    <w:pPr>
      <w:numPr>
        <w:ilvl w:val="0"/>
        <w:numId w:val="0"/>
      </w:numPr>
      <w:tabs>
        <w:tab w:val="num" w:pos="369"/>
      </w:tabs>
      <w:ind w:left="369" w:hanging="369"/>
    </w:pPr>
    <w:rPr>
      <w:b w:val="0"/>
      <w:color w:val="007DC3"/>
    </w:rPr>
  </w:style>
  <w:style w:type="paragraph" w:customStyle="1" w:styleId="AHPRApagenumber">
    <w:name w:val="AHPRA page number"/>
    <w:basedOn w:val="AHPRAfooter"/>
    <w:rsid w:val="002A24E3"/>
    <w:pPr>
      <w:jc w:val="right"/>
    </w:pPr>
  </w:style>
  <w:style w:type="paragraph" w:customStyle="1" w:styleId="AHPRASubheadinglevel3">
    <w:name w:val="AHPRA Subheading level 3"/>
    <w:basedOn w:val="AHPRASubheading"/>
    <w:next w:val="Normal"/>
    <w:qFormat/>
    <w:rsid w:val="002A24E3"/>
    <w:rPr>
      <w:b w:val="0"/>
    </w:rPr>
  </w:style>
  <w:style w:type="paragraph" w:customStyle="1" w:styleId="AHPRAtablebullets">
    <w:name w:val="AHPRA table bullets"/>
    <w:basedOn w:val="AHPRABulletlevel1"/>
    <w:rsid w:val="002A24E3"/>
    <w:pPr>
      <w:numPr>
        <w:numId w:val="0"/>
      </w:numPr>
      <w:spacing w:line="360" w:lineRule="auto"/>
    </w:pPr>
  </w:style>
  <w:style w:type="paragraph" w:customStyle="1" w:styleId="AHPRATablebulletsforexplanation">
    <w:name w:val="AHPRA Table bullets for explanation"/>
    <w:basedOn w:val="AHPRAtablebullets"/>
    <w:rsid w:val="002A24E3"/>
    <w:pPr>
      <w:spacing w:line="240" w:lineRule="auto"/>
    </w:pPr>
  </w:style>
  <w:style w:type="paragraph" w:styleId="BalloonText">
    <w:name w:val="Balloon Text"/>
    <w:basedOn w:val="Normal"/>
    <w:link w:val="BalloonTextChar"/>
    <w:uiPriority w:val="99"/>
    <w:semiHidden/>
    <w:unhideWhenUsed/>
    <w:rsid w:val="002A24E3"/>
    <w:pPr>
      <w:jc w:val="both"/>
    </w:pPr>
    <w:rPr>
      <w:rFonts w:ascii="Tahoma" w:hAnsi="Tahoma" w:cs="Tahoma"/>
      <w:sz w:val="16"/>
      <w:szCs w:val="16"/>
      <w:lang w:eastAsia="en-AU"/>
    </w:rPr>
  </w:style>
  <w:style w:type="character" w:customStyle="1" w:styleId="BalloonTextChar">
    <w:name w:val="Balloon Text Char"/>
    <w:basedOn w:val="DefaultParagraphFont"/>
    <w:link w:val="BalloonText"/>
    <w:uiPriority w:val="99"/>
    <w:semiHidden/>
    <w:rsid w:val="002A24E3"/>
    <w:rPr>
      <w:rFonts w:ascii="Tahoma" w:eastAsia="Times New Roman" w:hAnsi="Tahoma" w:cs="Tahoma"/>
      <w:sz w:val="16"/>
      <w:szCs w:val="16"/>
      <w:lang w:eastAsia="en-AU"/>
    </w:rPr>
  </w:style>
  <w:style w:type="character" w:styleId="CommentReference">
    <w:name w:val="annotation reference"/>
    <w:basedOn w:val="DefaultParagraphFont"/>
    <w:uiPriority w:val="1"/>
    <w:unhideWhenUsed/>
    <w:rsid w:val="002A24E3"/>
    <w:rPr>
      <w:sz w:val="16"/>
      <w:szCs w:val="16"/>
    </w:rPr>
  </w:style>
  <w:style w:type="paragraph" w:styleId="CommentText">
    <w:name w:val="annotation text"/>
    <w:basedOn w:val="Normal"/>
    <w:link w:val="CommentTextChar"/>
    <w:uiPriority w:val="99"/>
    <w:unhideWhenUsed/>
    <w:rsid w:val="002A24E3"/>
    <w:pPr>
      <w:jc w:val="both"/>
    </w:pPr>
    <w:rPr>
      <w:rFonts w:ascii="Arial" w:hAnsi="Arial" w:cs="Arial"/>
      <w:sz w:val="20"/>
      <w:szCs w:val="20"/>
      <w:lang w:eastAsia="en-AU"/>
    </w:rPr>
  </w:style>
  <w:style w:type="character" w:customStyle="1" w:styleId="CommentTextChar">
    <w:name w:val="Comment Text Char"/>
    <w:basedOn w:val="DefaultParagraphFont"/>
    <w:link w:val="CommentText"/>
    <w:uiPriority w:val="99"/>
    <w:rsid w:val="002A24E3"/>
    <w:rPr>
      <w:rFonts w:ascii="Arial" w:eastAsia="Times New Roman" w:hAnsi="Arial" w:cs="Arial"/>
      <w:sz w:val="20"/>
      <w:szCs w:val="20"/>
      <w:lang w:eastAsia="en-AU"/>
    </w:rPr>
  </w:style>
  <w:style w:type="paragraph" w:styleId="CommentSubject">
    <w:name w:val="annotation subject"/>
    <w:basedOn w:val="CommentText"/>
    <w:next w:val="CommentText"/>
    <w:link w:val="CommentSubjectChar"/>
    <w:uiPriority w:val="1"/>
    <w:semiHidden/>
    <w:unhideWhenUsed/>
    <w:rsid w:val="002A24E3"/>
    <w:rPr>
      <w:b/>
      <w:bCs/>
    </w:rPr>
  </w:style>
  <w:style w:type="character" w:customStyle="1" w:styleId="CommentSubjectChar">
    <w:name w:val="Comment Subject Char"/>
    <w:basedOn w:val="CommentTextChar"/>
    <w:link w:val="CommentSubject"/>
    <w:uiPriority w:val="1"/>
    <w:semiHidden/>
    <w:rsid w:val="002A24E3"/>
    <w:rPr>
      <w:rFonts w:ascii="Arial" w:eastAsia="Times New Roman" w:hAnsi="Arial" w:cs="Arial"/>
      <w:b/>
      <w:bCs/>
      <w:sz w:val="20"/>
      <w:szCs w:val="20"/>
      <w:lang w:eastAsia="en-AU"/>
    </w:rPr>
  </w:style>
  <w:style w:type="paragraph" w:customStyle="1" w:styleId="Default">
    <w:name w:val="Default"/>
    <w:rsid w:val="002A24E3"/>
    <w:pPr>
      <w:autoSpaceDE w:val="0"/>
      <w:autoSpaceDN w:val="0"/>
      <w:adjustRightInd w:val="0"/>
      <w:spacing w:after="0" w:line="240" w:lineRule="auto"/>
    </w:pPr>
    <w:rPr>
      <w:rFonts w:ascii="Arial" w:eastAsia="Cambria" w:hAnsi="Arial" w:cs="Arial"/>
      <w:color w:val="000000"/>
      <w:sz w:val="24"/>
      <w:szCs w:val="24"/>
    </w:rPr>
  </w:style>
  <w:style w:type="paragraph" w:styleId="DocumentMap">
    <w:name w:val="Document Map"/>
    <w:basedOn w:val="Normal"/>
    <w:link w:val="DocumentMapChar"/>
    <w:uiPriority w:val="1"/>
    <w:semiHidden/>
    <w:unhideWhenUsed/>
    <w:rsid w:val="002A24E3"/>
    <w:pPr>
      <w:jc w:val="both"/>
    </w:pPr>
    <w:rPr>
      <w:rFonts w:ascii="Tahoma" w:hAnsi="Tahoma" w:cs="Tahoma"/>
      <w:sz w:val="16"/>
      <w:szCs w:val="16"/>
      <w:lang w:eastAsia="en-AU"/>
    </w:rPr>
  </w:style>
  <w:style w:type="character" w:customStyle="1" w:styleId="DocumentMapChar">
    <w:name w:val="Document Map Char"/>
    <w:basedOn w:val="DefaultParagraphFont"/>
    <w:link w:val="DocumentMap"/>
    <w:uiPriority w:val="1"/>
    <w:semiHidden/>
    <w:rsid w:val="002A24E3"/>
    <w:rPr>
      <w:rFonts w:ascii="Tahoma" w:eastAsia="Times New Roman" w:hAnsi="Tahoma" w:cs="Tahoma"/>
      <w:sz w:val="16"/>
      <w:szCs w:val="16"/>
      <w:lang w:eastAsia="en-AU"/>
    </w:rPr>
  </w:style>
  <w:style w:type="character" w:styleId="FollowedHyperlink">
    <w:name w:val="FollowedHyperlink"/>
    <w:basedOn w:val="DefaultParagraphFont"/>
    <w:uiPriority w:val="1"/>
    <w:semiHidden/>
    <w:unhideWhenUsed/>
    <w:rsid w:val="002A24E3"/>
    <w:rPr>
      <w:color w:val="800080" w:themeColor="followedHyperlink"/>
      <w:u w:val="single"/>
    </w:rPr>
  </w:style>
  <w:style w:type="paragraph" w:styleId="Footer">
    <w:name w:val="footer"/>
    <w:basedOn w:val="Normal"/>
    <w:link w:val="FooterChar"/>
    <w:uiPriority w:val="99"/>
    <w:rsid w:val="002A24E3"/>
    <w:pPr>
      <w:tabs>
        <w:tab w:val="center" w:pos="4680"/>
        <w:tab w:val="right" w:pos="9360"/>
      </w:tabs>
    </w:pPr>
    <w:rPr>
      <w:rFonts w:ascii="Calibri" w:eastAsia="Batang" w:hAnsi="Calibri"/>
      <w:sz w:val="20"/>
      <w:szCs w:val="20"/>
    </w:rPr>
  </w:style>
  <w:style w:type="character" w:customStyle="1" w:styleId="FooterChar">
    <w:name w:val="Footer Char"/>
    <w:basedOn w:val="DefaultParagraphFont"/>
    <w:link w:val="Footer"/>
    <w:uiPriority w:val="99"/>
    <w:rsid w:val="002A24E3"/>
    <w:rPr>
      <w:rFonts w:ascii="Calibri" w:eastAsia="Batang" w:hAnsi="Calibri" w:cs="Times New Roman"/>
      <w:sz w:val="20"/>
      <w:szCs w:val="20"/>
    </w:rPr>
  </w:style>
  <w:style w:type="character" w:styleId="FootnoteReference">
    <w:name w:val="footnote reference"/>
    <w:basedOn w:val="DefaultParagraphFont"/>
    <w:unhideWhenUsed/>
    <w:rsid w:val="002A24E3"/>
    <w:rPr>
      <w:rFonts w:ascii="Arial" w:hAnsi="Arial"/>
      <w:color w:val="auto"/>
      <w:sz w:val="18"/>
      <w:vertAlign w:val="superscript"/>
    </w:rPr>
  </w:style>
  <w:style w:type="paragraph" w:styleId="Header">
    <w:name w:val="header"/>
    <w:basedOn w:val="Normal"/>
    <w:link w:val="HeaderChar"/>
    <w:uiPriority w:val="1"/>
    <w:unhideWhenUsed/>
    <w:rsid w:val="002A24E3"/>
    <w:pPr>
      <w:tabs>
        <w:tab w:val="center" w:pos="4513"/>
        <w:tab w:val="right" w:pos="9026"/>
      </w:tabs>
      <w:spacing w:after="200"/>
    </w:pPr>
    <w:rPr>
      <w:rFonts w:ascii="Arial" w:eastAsia="Cambria" w:hAnsi="Arial"/>
    </w:rPr>
  </w:style>
  <w:style w:type="character" w:customStyle="1" w:styleId="HeaderChar">
    <w:name w:val="Header Char"/>
    <w:basedOn w:val="DefaultParagraphFont"/>
    <w:link w:val="Header"/>
    <w:uiPriority w:val="1"/>
    <w:rsid w:val="002A24E3"/>
    <w:rPr>
      <w:rFonts w:ascii="Arial" w:eastAsia="Cambria" w:hAnsi="Arial" w:cs="Times New Roman"/>
      <w:sz w:val="24"/>
      <w:szCs w:val="24"/>
    </w:rPr>
  </w:style>
  <w:style w:type="character" w:styleId="Hyperlink">
    <w:name w:val="Hyperlink"/>
    <w:uiPriority w:val="99"/>
    <w:unhideWhenUsed/>
    <w:rsid w:val="002A24E3"/>
    <w:rPr>
      <w:color w:val="0000FF"/>
      <w:u w:val="single"/>
    </w:rPr>
  </w:style>
  <w:style w:type="paragraph" w:customStyle="1" w:styleId="Indent">
    <w:name w:val="Indent"/>
    <w:basedOn w:val="Normal"/>
    <w:uiPriority w:val="99"/>
    <w:rsid w:val="002A24E3"/>
    <w:pPr>
      <w:autoSpaceDE w:val="0"/>
      <w:autoSpaceDN w:val="0"/>
      <w:adjustRightInd w:val="0"/>
      <w:spacing w:before="40" w:after="20"/>
      <w:ind w:left="659" w:hanging="659"/>
    </w:pPr>
    <w:rPr>
      <w:rFonts w:ascii="Century Gothic" w:eastAsia="Batang" w:hAnsi="Century Gothic" w:cs="Century Gothic"/>
      <w:sz w:val="20"/>
      <w:szCs w:val="20"/>
    </w:rPr>
  </w:style>
  <w:style w:type="character" w:styleId="IntenseEmphasis">
    <w:name w:val="Intense Emphasis"/>
    <w:aliases w:val="AHPRA- Footer"/>
    <w:uiPriority w:val="1"/>
    <w:unhideWhenUsed/>
    <w:qFormat/>
    <w:rsid w:val="002A24E3"/>
    <w:rPr>
      <w:rFonts w:ascii="Arial" w:hAnsi="Arial" w:cs="Arial"/>
      <w:sz w:val="16"/>
    </w:rPr>
  </w:style>
  <w:style w:type="paragraph" w:styleId="ListParagraph">
    <w:name w:val="List Paragraph"/>
    <w:basedOn w:val="Normal"/>
    <w:link w:val="ListParagraphChar"/>
    <w:uiPriority w:val="34"/>
    <w:unhideWhenUsed/>
    <w:qFormat/>
    <w:rsid w:val="002A24E3"/>
    <w:pPr>
      <w:ind w:left="720"/>
      <w:contextualSpacing/>
      <w:jc w:val="both"/>
    </w:pPr>
    <w:rPr>
      <w:rFonts w:ascii="Arial" w:hAnsi="Arial" w:cs="Arial"/>
      <w:sz w:val="22"/>
      <w:lang w:eastAsia="en-AU"/>
    </w:rPr>
  </w:style>
  <w:style w:type="paragraph" w:styleId="PlainText">
    <w:name w:val="Plain Text"/>
    <w:basedOn w:val="Normal"/>
    <w:link w:val="PlainTextChar"/>
    <w:uiPriority w:val="99"/>
    <w:unhideWhenUsed/>
    <w:rsid w:val="002A24E3"/>
    <w:rPr>
      <w:rFonts w:ascii="Arial" w:eastAsiaTheme="minorHAnsi" w:hAnsi="Arial" w:cs="Arial"/>
      <w:sz w:val="20"/>
      <w:szCs w:val="20"/>
    </w:rPr>
  </w:style>
  <w:style w:type="character" w:customStyle="1" w:styleId="PlainTextChar">
    <w:name w:val="Plain Text Char"/>
    <w:basedOn w:val="DefaultParagraphFont"/>
    <w:link w:val="PlainText"/>
    <w:uiPriority w:val="99"/>
    <w:rsid w:val="002A24E3"/>
    <w:rPr>
      <w:rFonts w:ascii="Arial" w:hAnsi="Arial" w:cs="Arial"/>
      <w:sz w:val="20"/>
      <w:szCs w:val="20"/>
    </w:rPr>
  </w:style>
  <w:style w:type="paragraph" w:customStyle="1" w:styleId="StyleAHPRASubheadingNotBold">
    <w:name w:val="Style AHPRA Subheading + Not Bold"/>
    <w:basedOn w:val="AHPRASubheading"/>
    <w:uiPriority w:val="1"/>
    <w:semiHidden/>
    <w:unhideWhenUsed/>
    <w:rsid w:val="002A24E3"/>
    <w:rPr>
      <w:b w:val="0"/>
    </w:rPr>
  </w:style>
  <w:style w:type="table" w:styleId="TableGrid">
    <w:name w:val="Table Grid"/>
    <w:basedOn w:val="TableNormal"/>
    <w:uiPriority w:val="59"/>
    <w:rsid w:val="002A24E3"/>
    <w:pPr>
      <w:spacing w:after="0" w:line="240" w:lineRule="auto"/>
    </w:pPr>
    <w:rPr>
      <w:rFonts w:ascii="Arial" w:eastAsia="Cambria"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withnumberinglevel1">
    <w:name w:val="Table text with numbering level 1"/>
    <w:basedOn w:val="AHPRAtabletext"/>
    <w:uiPriority w:val="1"/>
    <w:rsid w:val="002A24E3"/>
    <w:pPr>
      <w:numPr>
        <w:numId w:val="11"/>
      </w:numPr>
      <w:spacing w:before="60" w:after="60"/>
    </w:pPr>
  </w:style>
  <w:style w:type="paragraph" w:styleId="TOC1">
    <w:name w:val="toc 1"/>
    <w:aliases w:val="AHPRA table of contents"/>
    <w:basedOn w:val="AHPRASubheading"/>
    <w:next w:val="Normal"/>
    <w:autoRedefine/>
    <w:uiPriority w:val="39"/>
    <w:unhideWhenUsed/>
    <w:rsid w:val="002A24E3"/>
    <w:pPr>
      <w:tabs>
        <w:tab w:val="right" w:leader="dot" w:pos="9488"/>
      </w:tabs>
    </w:pPr>
    <w:rPr>
      <w:noProof/>
    </w:rPr>
  </w:style>
  <w:style w:type="paragraph" w:styleId="TOC2">
    <w:name w:val="toc 2"/>
    <w:basedOn w:val="AHPRASubheadinglevel2"/>
    <w:next w:val="Normal"/>
    <w:autoRedefine/>
    <w:uiPriority w:val="39"/>
    <w:unhideWhenUsed/>
    <w:rsid w:val="002A24E3"/>
    <w:pPr>
      <w:ind w:left="240"/>
    </w:pPr>
    <w:rPr>
      <w:b w:val="0"/>
    </w:rPr>
  </w:style>
  <w:style w:type="paragraph" w:styleId="TOC3">
    <w:name w:val="toc 3"/>
    <w:basedOn w:val="AHPRASubheadinglevel3"/>
    <w:next w:val="Normal"/>
    <w:autoRedefine/>
    <w:uiPriority w:val="39"/>
    <w:unhideWhenUsed/>
    <w:rsid w:val="002A24E3"/>
    <w:pPr>
      <w:ind w:left="480"/>
    </w:pPr>
  </w:style>
  <w:style w:type="paragraph" w:styleId="TOCHeading">
    <w:name w:val="TOC Heading"/>
    <w:basedOn w:val="AHPRADocumentsubheading"/>
    <w:next w:val="AHPRAbody"/>
    <w:uiPriority w:val="39"/>
    <w:unhideWhenUsed/>
    <w:qFormat/>
    <w:rsid w:val="002A24E3"/>
    <w:pPr>
      <w:keepLines/>
      <w:spacing w:before="480" w:after="0" w:line="276" w:lineRule="auto"/>
      <w:outlineLvl w:val="9"/>
    </w:pPr>
    <w:rPr>
      <w:szCs w:val="28"/>
    </w:rPr>
  </w:style>
  <w:style w:type="character" w:customStyle="1" w:styleId="ListParagraphChar">
    <w:name w:val="List Paragraph Char"/>
    <w:link w:val="ListParagraph"/>
    <w:uiPriority w:val="34"/>
    <w:locked/>
    <w:rsid w:val="002A24E3"/>
    <w:rPr>
      <w:rFonts w:ascii="Arial" w:eastAsia="Times New Roman" w:hAnsi="Arial" w:cs="Arial"/>
      <w:szCs w:val="24"/>
      <w:lang w:eastAsia="en-AU"/>
    </w:rPr>
  </w:style>
  <w:style w:type="paragraph" w:styleId="Revision">
    <w:name w:val="Revision"/>
    <w:hidden/>
    <w:uiPriority w:val="99"/>
    <w:semiHidden/>
    <w:rsid w:val="002A24E3"/>
    <w:pPr>
      <w:spacing w:after="0" w:line="240" w:lineRule="auto"/>
    </w:pPr>
    <w:rPr>
      <w:rFonts w:ascii="Times New Roman" w:eastAsia="Times New Roman" w:hAnsi="Times New Roman" w:cs="Times New Roman"/>
      <w:sz w:val="24"/>
      <w:szCs w:val="24"/>
      <w:lang w:val="en-US"/>
    </w:rPr>
  </w:style>
  <w:style w:type="paragraph" w:customStyle="1" w:styleId="ALHeading2">
    <w:name w:val="AL Heading 2"/>
    <w:basedOn w:val="Normal"/>
    <w:rsid w:val="002A24E3"/>
    <w:pPr>
      <w:numPr>
        <w:numId w:val="15"/>
      </w:numPr>
      <w:spacing w:after="200"/>
    </w:pPr>
    <w:rPr>
      <w:rFonts w:ascii="Arial" w:eastAsia="Cambria" w:hAnsi="Arial" w:cs="Arial"/>
      <w:sz w:val="20"/>
    </w:rPr>
  </w:style>
  <w:style w:type="paragraph" w:styleId="NormalWeb">
    <w:name w:val="Normal (Web)"/>
    <w:basedOn w:val="Normal"/>
    <w:uiPriority w:val="99"/>
    <w:rsid w:val="002A24E3"/>
    <w:pPr>
      <w:spacing w:beforeLines="1" w:afterLines="1"/>
    </w:pPr>
    <w:rPr>
      <w:rFonts w:ascii="Times" w:eastAsiaTheme="minorEastAsia" w:hAnsi="Times"/>
      <w:sz w:val="20"/>
      <w:szCs w:val="20"/>
      <w:lang w:eastAsia="ja-JP"/>
    </w:rPr>
  </w:style>
  <w:style w:type="character" w:styleId="Emphasis">
    <w:name w:val="Emphasis"/>
    <w:uiPriority w:val="20"/>
    <w:qFormat/>
    <w:rsid w:val="002A24E3"/>
    <w:rPr>
      <w:i/>
      <w:iCs/>
    </w:rPr>
  </w:style>
  <w:style w:type="character" w:styleId="EndnoteReference">
    <w:name w:val="endnote reference"/>
    <w:basedOn w:val="DefaultParagraphFont"/>
    <w:uiPriority w:val="99"/>
    <w:semiHidden/>
    <w:unhideWhenUsed/>
    <w:rsid w:val="000443A4"/>
    <w:rPr>
      <w:vertAlign w:val="superscript"/>
    </w:rPr>
  </w:style>
  <w:style w:type="character" w:customStyle="1" w:styleId="UnresolvedMention1">
    <w:name w:val="Unresolved Mention1"/>
    <w:basedOn w:val="DefaultParagraphFont"/>
    <w:uiPriority w:val="99"/>
    <w:semiHidden/>
    <w:unhideWhenUsed/>
    <w:rsid w:val="00507B23"/>
    <w:rPr>
      <w:color w:val="808080"/>
      <w:shd w:val="clear" w:color="auto" w:fill="E6E6E6"/>
    </w:rPr>
  </w:style>
  <w:style w:type="character" w:styleId="UnresolvedMention">
    <w:name w:val="Unresolved Mention"/>
    <w:basedOn w:val="DefaultParagraphFont"/>
    <w:uiPriority w:val="99"/>
    <w:semiHidden/>
    <w:unhideWhenUsed/>
    <w:rsid w:val="00303CA8"/>
    <w:rPr>
      <w:color w:val="808080"/>
      <w:shd w:val="clear" w:color="auto" w:fill="E6E6E6"/>
    </w:rPr>
  </w:style>
  <w:style w:type="character" w:customStyle="1" w:styleId="Heading5Char">
    <w:name w:val="Heading 5 Char"/>
    <w:basedOn w:val="DefaultParagraphFont"/>
    <w:link w:val="Heading5"/>
    <w:uiPriority w:val="9"/>
    <w:semiHidden/>
    <w:rsid w:val="00E339E1"/>
    <w:rPr>
      <w:rFonts w:asciiTheme="majorHAnsi" w:eastAsiaTheme="majorEastAsia" w:hAnsiTheme="majorHAnsi" w:cstheme="majorBidi"/>
      <w:color w:val="365F91" w:themeColor="accent1" w:themeShade="BF"/>
      <w:sz w:val="24"/>
      <w:szCs w:val="24"/>
    </w:rPr>
  </w:style>
  <w:style w:type="paragraph" w:styleId="BodyText">
    <w:name w:val="Body Text"/>
    <w:basedOn w:val="Normal"/>
    <w:link w:val="BodyTextChar"/>
    <w:unhideWhenUsed/>
    <w:qFormat/>
    <w:rsid w:val="001945BE"/>
    <w:pPr>
      <w:spacing w:before="200" w:after="200"/>
    </w:pPr>
    <w:rPr>
      <w:rFonts w:ascii="Arial" w:eastAsia="Cambria" w:hAnsi="Arial" w:cs="Arial"/>
      <w:noProof/>
      <w:sz w:val="20"/>
    </w:rPr>
  </w:style>
  <w:style w:type="character" w:customStyle="1" w:styleId="BodyTextChar">
    <w:name w:val="Body Text Char"/>
    <w:basedOn w:val="DefaultParagraphFont"/>
    <w:link w:val="BodyText"/>
    <w:rsid w:val="001945BE"/>
    <w:rPr>
      <w:rFonts w:ascii="Arial" w:eastAsia="Cambria" w:hAnsi="Arial" w:cs="Arial"/>
      <w:noProof/>
      <w:sz w:val="20"/>
      <w:szCs w:val="24"/>
    </w:rPr>
  </w:style>
  <w:style w:type="character" w:customStyle="1" w:styleId="AHPRAbodyboldChar">
    <w:name w:val="AHPRA body bold Char"/>
    <w:basedOn w:val="DefaultParagraphFont"/>
    <w:link w:val="AHPRAbodybold"/>
    <w:locked/>
    <w:rsid w:val="001945BE"/>
    <w:rPr>
      <w:rFonts w:ascii="Arial" w:eastAsia="Cambria" w:hAnsi="Arial" w:cs="Arial"/>
      <w:b/>
      <w:sz w:val="20"/>
      <w:szCs w:val="24"/>
    </w:rPr>
  </w:style>
  <w:style w:type="character" w:customStyle="1" w:styleId="AHPRAbodyChar">
    <w:name w:val="AHPRA body Char"/>
    <w:basedOn w:val="DefaultParagraphFont"/>
    <w:link w:val="AHPRAbody"/>
    <w:locked/>
    <w:rsid w:val="00CE285C"/>
    <w:rPr>
      <w:rFonts w:ascii="Arial" w:eastAsia="Cambria" w:hAnsi="Arial" w:cs="Arial"/>
      <w:sz w:val="20"/>
      <w:szCs w:val="24"/>
    </w:rPr>
  </w:style>
  <w:style w:type="paragraph" w:customStyle="1" w:styleId="AHPRAbodyContextparanumbered">
    <w:name w:val="AHPRA body 'Context' para numbered"/>
    <w:uiPriority w:val="1"/>
    <w:qFormat/>
    <w:rsid w:val="003F5544"/>
    <w:pPr>
      <w:numPr>
        <w:numId w:val="47"/>
      </w:numPr>
      <w:spacing w:line="240" w:lineRule="auto"/>
    </w:pPr>
    <w:rPr>
      <w:rFonts w:ascii="Arial" w:eastAsia="Cambria"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72022">
      <w:bodyDiv w:val="1"/>
      <w:marLeft w:val="0"/>
      <w:marRight w:val="0"/>
      <w:marTop w:val="0"/>
      <w:marBottom w:val="0"/>
      <w:divBdr>
        <w:top w:val="none" w:sz="0" w:space="0" w:color="auto"/>
        <w:left w:val="none" w:sz="0" w:space="0" w:color="auto"/>
        <w:bottom w:val="none" w:sz="0" w:space="0" w:color="auto"/>
        <w:right w:val="none" w:sz="0" w:space="0" w:color="auto"/>
      </w:divBdr>
    </w:div>
    <w:div w:id="58947723">
      <w:bodyDiv w:val="1"/>
      <w:marLeft w:val="0"/>
      <w:marRight w:val="0"/>
      <w:marTop w:val="0"/>
      <w:marBottom w:val="0"/>
      <w:divBdr>
        <w:top w:val="none" w:sz="0" w:space="0" w:color="auto"/>
        <w:left w:val="none" w:sz="0" w:space="0" w:color="auto"/>
        <w:bottom w:val="none" w:sz="0" w:space="0" w:color="auto"/>
        <w:right w:val="none" w:sz="0" w:space="0" w:color="auto"/>
      </w:divBdr>
    </w:div>
    <w:div w:id="106050711">
      <w:bodyDiv w:val="1"/>
      <w:marLeft w:val="0"/>
      <w:marRight w:val="0"/>
      <w:marTop w:val="0"/>
      <w:marBottom w:val="0"/>
      <w:divBdr>
        <w:top w:val="none" w:sz="0" w:space="0" w:color="auto"/>
        <w:left w:val="none" w:sz="0" w:space="0" w:color="auto"/>
        <w:bottom w:val="none" w:sz="0" w:space="0" w:color="auto"/>
        <w:right w:val="none" w:sz="0" w:space="0" w:color="auto"/>
      </w:divBdr>
    </w:div>
    <w:div w:id="158813286">
      <w:bodyDiv w:val="1"/>
      <w:marLeft w:val="0"/>
      <w:marRight w:val="0"/>
      <w:marTop w:val="0"/>
      <w:marBottom w:val="0"/>
      <w:divBdr>
        <w:top w:val="none" w:sz="0" w:space="0" w:color="auto"/>
        <w:left w:val="none" w:sz="0" w:space="0" w:color="auto"/>
        <w:bottom w:val="none" w:sz="0" w:space="0" w:color="auto"/>
        <w:right w:val="none" w:sz="0" w:space="0" w:color="auto"/>
      </w:divBdr>
    </w:div>
    <w:div w:id="169835274">
      <w:bodyDiv w:val="1"/>
      <w:marLeft w:val="0"/>
      <w:marRight w:val="0"/>
      <w:marTop w:val="0"/>
      <w:marBottom w:val="0"/>
      <w:divBdr>
        <w:top w:val="none" w:sz="0" w:space="0" w:color="auto"/>
        <w:left w:val="none" w:sz="0" w:space="0" w:color="auto"/>
        <w:bottom w:val="none" w:sz="0" w:space="0" w:color="auto"/>
        <w:right w:val="none" w:sz="0" w:space="0" w:color="auto"/>
      </w:divBdr>
    </w:div>
    <w:div w:id="174273523">
      <w:bodyDiv w:val="1"/>
      <w:marLeft w:val="0"/>
      <w:marRight w:val="0"/>
      <w:marTop w:val="0"/>
      <w:marBottom w:val="0"/>
      <w:divBdr>
        <w:top w:val="none" w:sz="0" w:space="0" w:color="auto"/>
        <w:left w:val="none" w:sz="0" w:space="0" w:color="auto"/>
        <w:bottom w:val="none" w:sz="0" w:space="0" w:color="auto"/>
        <w:right w:val="none" w:sz="0" w:space="0" w:color="auto"/>
      </w:divBdr>
    </w:div>
    <w:div w:id="241764268">
      <w:bodyDiv w:val="1"/>
      <w:marLeft w:val="0"/>
      <w:marRight w:val="0"/>
      <w:marTop w:val="0"/>
      <w:marBottom w:val="0"/>
      <w:divBdr>
        <w:top w:val="none" w:sz="0" w:space="0" w:color="auto"/>
        <w:left w:val="none" w:sz="0" w:space="0" w:color="auto"/>
        <w:bottom w:val="none" w:sz="0" w:space="0" w:color="auto"/>
        <w:right w:val="none" w:sz="0" w:space="0" w:color="auto"/>
      </w:divBdr>
    </w:div>
    <w:div w:id="259024782">
      <w:bodyDiv w:val="1"/>
      <w:marLeft w:val="0"/>
      <w:marRight w:val="0"/>
      <w:marTop w:val="0"/>
      <w:marBottom w:val="0"/>
      <w:divBdr>
        <w:top w:val="none" w:sz="0" w:space="0" w:color="auto"/>
        <w:left w:val="none" w:sz="0" w:space="0" w:color="auto"/>
        <w:bottom w:val="none" w:sz="0" w:space="0" w:color="auto"/>
        <w:right w:val="none" w:sz="0" w:space="0" w:color="auto"/>
      </w:divBdr>
    </w:div>
    <w:div w:id="264311876">
      <w:bodyDiv w:val="1"/>
      <w:marLeft w:val="0"/>
      <w:marRight w:val="0"/>
      <w:marTop w:val="0"/>
      <w:marBottom w:val="0"/>
      <w:divBdr>
        <w:top w:val="none" w:sz="0" w:space="0" w:color="auto"/>
        <w:left w:val="none" w:sz="0" w:space="0" w:color="auto"/>
        <w:bottom w:val="none" w:sz="0" w:space="0" w:color="auto"/>
        <w:right w:val="none" w:sz="0" w:space="0" w:color="auto"/>
      </w:divBdr>
    </w:div>
    <w:div w:id="336544671">
      <w:bodyDiv w:val="1"/>
      <w:marLeft w:val="0"/>
      <w:marRight w:val="0"/>
      <w:marTop w:val="0"/>
      <w:marBottom w:val="0"/>
      <w:divBdr>
        <w:top w:val="none" w:sz="0" w:space="0" w:color="auto"/>
        <w:left w:val="none" w:sz="0" w:space="0" w:color="auto"/>
        <w:bottom w:val="none" w:sz="0" w:space="0" w:color="auto"/>
        <w:right w:val="none" w:sz="0" w:space="0" w:color="auto"/>
      </w:divBdr>
    </w:div>
    <w:div w:id="378939262">
      <w:bodyDiv w:val="1"/>
      <w:marLeft w:val="0"/>
      <w:marRight w:val="0"/>
      <w:marTop w:val="0"/>
      <w:marBottom w:val="0"/>
      <w:divBdr>
        <w:top w:val="none" w:sz="0" w:space="0" w:color="auto"/>
        <w:left w:val="none" w:sz="0" w:space="0" w:color="auto"/>
        <w:bottom w:val="none" w:sz="0" w:space="0" w:color="auto"/>
        <w:right w:val="none" w:sz="0" w:space="0" w:color="auto"/>
      </w:divBdr>
    </w:div>
    <w:div w:id="425469374">
      <w:bodyDiv w:val="1"/>
      <w:marLeft w:val="0"/>
      <w:marRight w:val="0"/>
      <w:marTop w:val="0"/>
      <w:marBottom w:val="0"/>
      <w:divBdr>
        <w:top w:val="none" w:sz="0" w:space="0" w:color="auto"/>
        <w:left w:val="none" w:sz="0" w:space="0" w:color="auto"/>
        <w:bottom w:val="none" w:sz="0" w:space="0" w:color="auto"/>
        <w:right w:val="none" w:sz="0" w:space="0" w:color="auto"/>
      </w:divBdr>
    </w:div>
    <w:div w:id="441538298">
      <w:bodyDiv w:val="1"/>
      <w:marLeft w:val="0"/>
      <w:marRight w:val="0"/>
      <w:marTop w:val="0"/>
      <w:marBottom w:val="0"/>
      <w:divBdr>
        <w:top w:val="none" w:sz="0" w:space="0" w:color="auto"/>
        <w:left w:val="none" w:sz="0" w:space="0" w:color="auto"/>
        <w:bottom w:val="none" w:sz="0" w:space="0" w:color="auto"/>
        <w:right w:val="none" w:sz="0" w:space="0" w:color="auto"/>
      </w:divBdr>
    </w:div>
    <w:div w:id="664284562">
      <w:bodyDiv w:val="1"/>
      <w:marLeft w:val="0"/>
      <w:marRight w:val="0"/>
      <w:marTop w:val="0"/>
      <w:marBottom w:val="0"/>
      <w:divBdr>
        <w:top w:val="none" w:sz="0" w:space="0" w:color="auto"/>
        <w:left w:val="none" w:sz="0" w:space="0" w:color="auto"/>
        <w:bottom w:val="none" w:sz="0" w:space="0" w:color="auto"/>
        <w:right w:val="none" w:sz="0" w:space="0" w:color="auto"/>
      </w:divBdr>
    </w:div>
    <w:div w:id="703945313">
      <w:bodyDiv w:val="1"/>
      <w:marLeft w:val="0"/>
      <w:marRight w:val="0"/>
      <w:marTop w:val="0"/>
      <w:marBottom w:val="0"/>
      <w:divBdr>
        <w:top w:val="none" w:sz="0" w:space="0" w:color="auto"/>
        <w:left w:val="none" w:sz="0" w:space="0" w:color="auto"/>
        <w:bottom w:val="none" w:sz="0" w:space="0" w:color="auto"/>
        <w:right w:val="none" w:sz="0" w:space="0" w:color="auto"/>
      </w:divBdr>
    </w:div>
    <w:div w:id="704644907">
      <w:bodyDiv w:val="1"/>
      <w:marLeft w:val="0"/>
      <w:marRight w:val="0"/>
      <w:marTop w:val="0"/>
      <w:marBottom w:val="0"/>
      <w:divBdr>
        <w:top w:val="none" w:sz="0" w:space="0" w:color="auto"/>
        <w:left w:val="none" w:sz="0" w:space="0" w:color="auto"/>
        <w:bottom w:val="none" w:sz="0" w:space="0" w:color="auto"/>
        <w:right w:val="none" w:sz="0" w:space="0" w:color="auto"/>
      </w:divBdr>
    </w:div>
    <w:div w:id="754865274">
      <w:bodyDiv w:val="1"/>
      <w:marLeft w:val="0"/>
      <w:marRight w:val="0"/>
      <w:marTop w:val="0"/>
      <w:marBottom w:val="0"/>
      <w:divBdr>
        <w:top w:val="none" w:sz="0" w:space="0" w:color="auto"/>
        <w:left w:val="none" w:sz="0" w:space="0" w:color="auto"/>
        <w:bottom w:val="none" w:sz="0" w:space="0" w:color="auto"/>
        <w:right w:val="none" w:sz="0" w:space="0" w:color="auto"/>
      </w:divBdr>
    </w:div>
    <w:div w:id="780536315">
      <w:bodyDiv w:val="1"/>
      <w:marLeft w:val="0"/>
      <w:marRight w:val="0"/>
      <w:marTop w:val="0"/>
      <w:marBottom w:val="0"/>
      <w:divBdr>
        <w:top w:val="none" w:sz="0" w:space="0" w:color="auto"/>
        <w:left w:val="none" w:sz="0" w:space="0" w:color="auto"/>
        <w:bottom w:val="none" w:sz="0" w:space="0" w:color="auto"/>
        <w:right w:val="none" w:sz="0" w:space="0" w:color="auto"/>
      </w:divBdr>
    </w:div>
    <w:div w:id="788669045">
      <w:bodyDiv w:val="1"/>
      <w:marLeft w:val="0"/>
      <w:marRight w:val="0"/>
      <w:marTop w:val="0"/>
      <w:marBottom w:val="0"/>
      <w:divBdr>
        <w:top w:val="none" w:sz="0" w:space="0" w:color="auto"/>
        <w:left w:val="none" w:sz="0" w:space="0" w:color="auto"/>
        <w:bottom w:val="none" w:sz="0" w:space="0" w:color="auto"/>
        <w:right w:val="none" w:sz="0" w:space="0" w:color="auto"/>
      </w:divBdr>
    </w:div>
    <w:div w:id="863252530">
      <w:bodyDiv w:val="1"/>
      <w:marLeft w:val="0"/>
      <w:marRight w:val="0"/>
      <w:marTop w:val="0"/>
      <w:marBottom w:val="0"/>
      <w:divBdr>
        <w:top w:val="none" w:sz="0" w:space="0" w:color="auto"/>
        <w:left w:val="none" w:sz="0" w:space="0" w:color="auto"/>
        <w:bottom w:val="none" w:sz="0" w:space="0" w:color="auto"/>
        <w:right w:val="none" w:sz="0" w:space="0" w:color="auto"/>
      </w:divBdr>
    </w:div>
    <w:div w:id="892930264">
      <w:bodyDiv w:val="1"/>
      <w:marLeft w:val="0"/>
      <w:marRight w:val="0"/>
      <w:marTop w:val="0"/>
      <w:marBottom w:val="0"/>
      <w:divBdr>
        <w:top w:val="none" w:sz="0" w:space="0" w:color="auto"/>
        <w:left w:val="none" w:sz="0" w:space="0" w:color="auto"/>
        <w:bottom w:val="none" w:sz="0" w:space="0" w:color="auto"/>
        <w:right w:val="none" w:sz="0" w:space="0" w:color="auto"/>
      </w:divBdr>
    </w:div>
    <w:div w:id="971865666">
      <w:bodyDiv w:val="1"/>
      <w:marLeft w:val="0"/>
      <w:marRight w:val="0"/>
      <w:marTop w:val="0"/>
      <w:marBottom w:val="0"/>
      <w:divBdr>
        <w:top w:val="none" w:sz="0" w:space="0" w:color="auto"/>
        <w:left w:val="none" w:sz="0" w:space="0" w:color="auto"/>
        <w:bottom w:val="none" w:sz="0" w:space="0" w:color="auto"/>
        <w:right w:val="none" w:sz="0" w:space="0" w:color="auto"/>
      </w:divBdr>
    </w:div>
    <w:div w:id="1017266513">
      <w:bodyDiv w:val="1"/>
      <w:marLeft w:val="0"/>
      <w:marRight w:val="0"/>
      <w:marTop w:val="0"/>
      <w:marBottom w:val="0"/>
      <w:divBdr>
        <w:top w:val="none" w:sz="0" w:space="0" w:color="auto"/>
        <w:left w:val="none" w:sz="0" w:space="0" w:color="auto"/>
        <w:bottom w:val="none" w:sz="0" w:space="0" w:color="auto"/>
        <w:right w:val="none" w:sz="0" w:space="0" w:color="auto"/>
      </w:divBdr>
    </w:div>
    <w:div w:id="1041321256">
      <w:bodyDiv w:val="1"/>
      <w:marLeft w:val="0"/>
      <w:marRight w:val="0"/>
      <w:marTop w:val="0"/>
      <w:marBottom w:val="0"/>
      <w:divBdr>
        <w:top w:val="none" w:sz="0" w:space="0" w:color="auto"/>
        <w:left w:val="none" w:sz="0" w:space="0" w:color="auto"/>
        <w:bottom w:val="none" w:sz="0" w:space="0" w:color="auto"/>
        <w:right w:val="none" w:sz="0" w:space="0" w:color="auto"/>
      </w:divBdr>
    </w:div>
    <w:div w:id="1064068360">
      <w:bodyDiv w:val="1"/>
      <w:marLeft w:val="0"/>
      <w:marRight w:val="0"/>
      <w:marTop w:val="0"/>
      <w:marBottom w:val="0"/>
      <w:divBdr>
        <w:top w:val="none" w:sz="0" w:space="0" w:color="auto"/>
        <w:left w:val="none" w:sz="0" w:space="0" w:color="auto"/>
        <w:bottom w:val="none" w:sz="0" w:space="0" w:color="auto"/>
        <w:right w:val="none" w:sz="0" w:space="0" w:color="auto"/>
      </w:divBdr>
    </w:div>
    <w:div w:id="1073963809">
      <w:bodyDiv w:val="1"/>
      <w:marLeft w:val="0"/>
      <w:marRight w:val="0"/>
      <w:marTop w:val="0"/>
      <w:marBottom w:val="0"/>
      <w:divBdr>
        <w:top w:val="none" w:sz="0" w:space="0" w:color="auto"/>
        <w:left w:val="none" w:sz="0" w:space="0" w:color="auto"/>
        <w:bottom w:val="none" w:sz="0" w:space="0" w:color="auto"/>
        <w:right w:val="none" w:sz="0" w:space="0" w:color="auto"/>
      </w:divBdr>
    </w:div>
    <w:div w:id="1079474395">
      <w:bodyDiv w:val="1"/>
      <w:marLeft w:val="0"/>
      <w:marRight w:val="0"/>
      <w:marTop w:val="0"/>
      <w:marBottom w:val="0"/>
      <w:divBdr>
        <w:top w:val="none" w:sz="0" w:space="0" w:color="auto"/>
        <w:left w:val="none" w:sz="0" w:space="0" w:color="auto"/>
        <w:bottom w:val="none" w:sz="0" w:space="0" w:color="auto"/>
        <w:right w:val="none" w:sz="0" w:space="0" w:color="auto"/>
      </w:divBdr>
    </w:div>
    <w:div w:id="1086536171">
      <w:bodyDiv w:val="1"/>
      <w:marLeft w:val="0"/>
      <w:marRight w:val="0"/>
      <w:marTop w:val="0"/>
      <w:marBottom w:val="0"/>
      <w:divBdr>
        <w:top w:val="none" w:sz="0" w:space="0" w:color="auto"/>
        <w:left w:val="none" w:sz="0" w:space="0" w:color="auto"/>
        <w:bottom w:val="none" w:sz="0" w:space="0" w:color="auto"/>
        <w:right w:val="none" w:sz="0" w:space="0" w:color="auto"/>
      </w:divBdr>
    </w:div>
    <w:div w:id="1227764925">
      <w:bodyDiv w:val="1"/>
      <w:marLeft w:val="0"/>
      <w:marRight w:val="0"/>
      <w:marTop w:val="0"/>
      <w:marBottom w:val="0"/>
      <w:divBdr>
        <w:top w:val="none" w:sz="0" w:space="0" w:color="auto"/>
        <w:left w:val="none" w:sz="0" w:space="0" w:color="auto"/>
        <w:bottom w:val="none" w:sz="0" w:space="0" w:color="auto"/>
        <w:right w:val="none" w:sz="0" w:space="0" w:color="auto"/>
      </w:divBdr>
    </w:div>
    <w:div w:id="1253122338">
      <w:bodyDiv w:val="1"/>
      <w:marLeft w:val="0"/>
      <w:marRight w:val="0"/>
      <w:marTop w:val="0"/>
      <w:marBottom w:val="0"/>
      <w:divBdr>
        <w:top w:val="none" w:sz="0" w:space="0" w:color="auto"/>
        <w:left w:val="none" w:sz="0" w:space="0" w:color="auto"/>
        <w:bottom w:val="none" w:sz="0" w:space="0" w:color="auto"/>
        <w:right w:val="none" w:sz="0" w:space="0" w:color="auto"/>
      </w:divBdr>
    </w:div>
    <w:div w:id="1303459426">
      <w:bodyDiv w:val="1"/>
      <w:marLeft w:val="0"/>
      <w:marRight w:val="0"/>
      <w:marTop w:val="0"/>
      <w:marBottom w:val="0"/>
      <w:divBdr>
        <w:top w:val="none" w:sz="0" w:space="0" w:color="auto"/>
        <w:left w:val="none" w:sz="0" w:space="0" w:color="auto"/>
        <w:bottom w:val="none" w:sz="0" w:space="0" w:color="auto"/>
        <w:right w:val="none" w:sz="0" w:space="0" w:color="auto"/>
      </w:divBdr>
    </w:div>
    <w:div w:id="1324430613">
      <w:bodyDiv w:val="1"/>
      <w:marLeft w:val="0"/>
      <w:marRight w:val="0"/>
      <w:marTop w:val="0"/>
      <w:marBottom w:val="0"/>
      <w:divBdr>
        <w:top w:val="none" w:sz="0" w:space="0" w:color="auto"/>
        <w:left w:val="none" w:sz="0" w:space="0" w:color="auto"/>
        <w:bottom w:val="none" w:sz="0" w:space="0" w:color="auto"/>
        <w:right w:val="none" w:sz="0" w:space="0" w:color="auto"/>
      </w:divBdr>
    </w:div>
    <w:div w:id="1337146834">
      <w:bodyDiv w:val="1"/>
      <w:marLeft w:val="0"/>
      <w:marRight w:val="0"/>
      <w:marTop w:val="0"/>
      <w:marBottom w:val="0"/>
      <w:divBdr>
        <w:top w:val="none" w:sz="0" w:space="0" w:color="auto"/>
        <w:left w:val="none" w:sz="0" w:space="0" w:color="auto"/>
        <w:bottom w:val="none" w:sz="0" w:space="0" w:color="auto"/>
        <w:right w:val="none" w:sz="0" w:space="0" w:color="auto"/>
      </w:divBdr>
    </w:div>
    <w:div w:id="1350448328">
      <w:bodyDiv w:val="1"/>
      <w:marLeft w:val="0"/>
      <w:marRight w:val="0"/>
      <w:marTop w:val="0"/>
      <w:marBottom w:val="0"/>
      <w:divBdr>
        <w:top w:val="none" w:sz="0" w:space="0" w:color="auto"/>
        <w:left w:val="none" w:sz="0" w:space="0" w:color="auto"/>
        <w:bottom w:val="none" w:sz="0" w:space="0" w:color="auto"/>
        <w:right w:val="none" w:sz="0" w:space="0" w:color="auto"/>
      </w:divBdr>
    </w:div>
    <w:div w:id="1357346297">
      <w:bodyDiv w:val="1"/>
      <w:marLeft w:val="0"/>
      <w:marRight w:val="0"/>
      <w:marTop w:val="0"/>
      <w:marBottom w:val="0"/>
      <w:divBdr>
        <w:top w:val="none" w:sz="0" w:space="0" w:color="auto"/>
        <w:left w:val="none" w:sz="0" w:space="0" w:color="auto"/>
        <w:bottom w:val="none" w:sz="0" w:space="0" w:color="auto"/>
        <w:right w:val="none" w:sz="0" w:space="0" w:color="auto"/>
      </w:divBdr>
    </w:div>
    <w:div w:id="1369993780">
      <w:bodyDiv w:val="1"/>
      <w:marLeft w:val="0"/>
      <w:marRight w:val="0"/>
      <w:marTop w:val="0"/>
      <w:marBottom w:val="0"/>
      <w:divBdr>
        <w:top w:val="none" w:sz="0" w:space="0" w:color="auto"/>
        <w:left w:val="none" w:sz="0" w:space="0" w:color="auto"/>
        <w:bottom w:val="none" w:sz="0" w:space="0" w:color="auto"/>
        <w:right w:val="none" w:sz="0" w:space="0" w:color="auto"/>
      </w:divBdr>
    </w:div>
    <w:div w:id="1489133611">
      <w:bodyDiv w:val="1"/>
      <w:marLeft w:val="0"/>
      <w:marRight w:val="0"/>
      <w:marTop w:val="0"/>
      <w:marBottom w:val="0"/>
      <w:divBdr>
        <w:top w:val="none" w:sz="0" w:space="0" w:color="auto"/>
        <w:left w:val="none" w:sz="0" w:space="0" w:color="auto"/>
        <w:bottom w:val="none" w:sz="0" w:space="0" w:color="auto"/>
        <w:right w:val="none" w:sz="0" w:space="0" w:color="auto"/>
      </w:divBdr>
    </w:div>
    <w:div w:id="1516580987">
      <w:bodyDiv w:val="1"/>
      <w:marLeft w:val="0"/>
      <w:marRight w:val="0"/>
      <w:marTop w:val="0"/>
      <w:marBottom w:val="0"/>
      <w:divBdr>
        <w:top w:val="none" w:sz="0" w:space="0" w:color="auto"/>
        <w:left w:val="none" w:sz="0" w:space="0" w:color="auto"/>
        <w:bottom w:val="none" w:sz="0" w:space="0" w:color="auto"/>
        <w:right w:val="none" w:sz="0" w:space="0" w:color="auto"/>
      </w:divBdr>
    </w:div>
    <w:div w:id="1539272515">
      <w:bodyDiv w:val="1"/>
      <w:marLeft w:val="0"/>
      <w:marRight w:val="0"/>
      <w:marTop w:val="0"/>
      <w:marBottom w:val="0"/>
      <w:divBdr>
        <w:top w:val="none" w:sz="0" w:space="0" w:color="auto"/>
        <w:left w:val="none" w:sz="0" w:space="0" w:color="auto"/>
        <w:bottom w:val="none" w:sz="0" w:space="0" w:color="auto"/>
        <w:right w:val="none" w:sz="0" w:space="0" w:color="auto"/>
      </w:divBdr>
    </w:div>
    <w:div w:id="1602567526">
      <w:bodyDiv w:val="1"/>
      <w:marLeft w:val="0"/>
      <w:marRight w:val="0"/>
      <w:marTop w:val="0"/>
      <w:marBottom w:val="0"/>
      <w:divBdr>
        <w:top w:val="none" w:sz="0" w:space="0" w:color="auto"/>
        <w:left w:val="none" w:sz="0" w:space="0" w:color="auto"/>
        <w:bottom w:val="none" w:sz="0" w:space="0" w:color="auto"/>
        <w:right w:val="none" w:sz="0" w:space="0" w:color="auto"/>
      </w:divBdr>
    </w:div>
    <w:div w:id="1615285297">
      <w:bodyDiv w:val="1"/>
      <w:marLeft w:val="0"/>
      <w:marRight w:val="0"/>
      <w:marTop w:val="0"/>
      <w:marBottom w:val="0"/>
      <w:divBdr>
        <w:top w:val="none" w:sz="0" w:space="0" w:color="auto"/>
        <w:left w:val="none" w:sz="0" w:space="0" w:color="auto"/>
        <w:bottom w:val="none" w:sz="0" w:space="0" w:color="auto"/>
        <w:right w:val="none" w:sz="0" w:space="0" w:color="auto"/>
      </w:divBdr>
    </w:div>
    <w:div w:id="1639260570">
      <w:bodyDiv w:val="1"/>
      <w:marLeft w:val="0"/>
      <w:marRight w:val="0"/>
      <w:marTop w:val="0"/>
      <w:marBottom w:val="0"/>
      <w:divBdr>
        <w:top w:val="none" w:sz="0" w:space="0" w:color="auto"/>
        <w:left w:val="none" w:sz="0" w:space="0" w:color="auto"/>
        <w:bottom w:val="none" w:sz="0" w:space="0" w:color="auto"/>
        <w:right w:val="none" w:sz="0" w:space="0" w:color="auto"/>
      </w:divBdr>
    </w:div>
    <w:div w:id="1648588503">
      <w:bodyDiv w:val="1"/>
      <w:marLeft w:val="0"/>
      <w:marRight w:val="0"/>
      <w:marTop w:val="0"/>
      <w:marBottom w:val="0"/>
      <w:divBdr>
        <w:top w:val="none" w:sz="0" w:space="0" w:color="auto"/>
        <w:left w:val="none" w:sz="0" w:space="0" w:color="auto"/>
        <w:bottom w:val="none" w:sz="0" w:space="0" w:color="auto"/>
        <w:right w:val="none" w:sz="0" w:space="0" w:color="auto"/>
      </w:divBdr>
    </w:div>
    <w:div w:id="1655914394">
      <w:bodyDiv w:val="1"/>
      <w:marLeft w:val="0"/>
      <w:marRight w:val="0"/>
      <w:marTop w:val="0"/>
      <w:marBottom w:val="0"/>
      <w:divBdr>
        <w:top w:val="none" w:sz="0" w:space="0" w:color="auto"/>
        <w:left w:val="none" w:sz="0" w:space="0" w:color="auto"/>
        <w:bottom w:val="none" w:sz="0" w:space="0" w:color="auto"/>
        <w:right w:val="none" w:sz="0" w:space="0" w:color="auto"/>
      </w:divBdr>
    </w:div>
    <w:div w:id="1669215675">
      <w:bodyDiv w:val="1"/>
      <w:marLeft w:val="0"/>
      <w:marRight w:val="0"/>
      <w:marTop w:val="0"/>
      <w:marBottom w:val="0"/>
      <w:divBdr>
        <w:top w:val="none" w:sz="0" w:space="0" w:color="auto"/>
        <w:left w:val="none" w:sz="0" w:space="0" w:color="auto"/>
        <w:bottom w:val="none" w:sz="0" w:space="0" w:color="auto"/>
        <w:right w:val="none" w:sz="0" w:space="0" w:color="auto"/>
      </w:divBdr>
    </w:div>
    <w:div w:id="1681740657">
      <w:bodyDiv w:val="1"/>
      <w:marLeft w:val="0"/>
      <w:marRight w:val="0"/>
      <w:marTop w:val="0"/>
      <w:marBottom w:val="0"/>
      <w:divBdr>
        <w:top w:val="none" w:sz="0" w:space="0" w:color="auto"/>
        <w:left w:val="none" w:sz="0" w:space="0" w:color="auto"/>
        <w:bottom w:val="none" w:sz="0" w:space="0" w:color="auto"/>
        <w:right w:val="none" w:sz="0" w:space="0" w:color="auto"/>
      </w:divBdr>
    </w:div>
    <w:div w:id="1778678013">
      <w:bodyDiv w:val="1"/>
      <w:marLeft w:val="0"/>
      <w:marRight w:val="0"/>
      <w:marTop w:val="0"/>
      <w:marBottom w:val="0"/>
      <w:divBdr>
        <w:top w:val="none" w:sz="0" w:space="0" w:color="auto"/>
        <w:left w:val="none" w:sz="0" w:space="0" w:color="auto"/>
        <w:bottom w:val="none" w:sz="0" w:space="0" w:color="auto"/>
        <w:right w:val="none" w:sz="0" w:space="0" w:color="auto"/>
      </w:divBdr>
      <w:divsChild>
        <w:div w:id="2083331487">
          <w:marLeft w:val="212"/>
          <w:marRight w:val="212"/>
          <w:marTop w:val="0"/>
          <w:marBottom w:val="0"/>
          <w:divBdr>
            <w:top w:val="none" w:sz="0" w:space="0" w:color="auto"/>
            <w:left w:val="none" w:sz="0" w:space="0" w:color="auto"/>
            <w:bottom w:val="none" w:sz="0" w:space="0" w:color="auto"/>
            <w:right w:val="none" w:sz="0" w:space="0" w:color="auto"/>
          </w:divBdr>
          <w:divsChild>
            <w:div w:id="1379234063">
              <w:marLeft w:val="0"/>
              <w:marRight w:val="0"/>
              <w:marTop w:val="0"/>
              <w:marBottom w:val="360"/>
              <w:divBdr>
                <w:top w:val="none" w:sz="0" w:space="0" w:color="auto"/>
                <w:left w:val="none" w:sz="0" w:space="0" w:color="auto"/>
                <w:bottom w:val="none" w:sz="0" w:space="0" w:color="auto"/>
                <w:right w:val="none" w:sz="0" w:space="0" w:color="auto"/>
              </w:divBdr>
              <w:divsChild>
                <w:div w:id="119302617">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sChild>
                        <w:div w:id="1480228680">
                          <w:blockQuote w:val="1"/>
                          <w:marLeft w:val="450"/>
                          <w:marRight w:val="450"/>
                          <w:marTop w:val="225"/>
                          <w:marBottom w:val="225"/>
                          <w:divBdr>
                            <w:top w:val="none" w:sz="0" w:space="0" w:color="auto"/>
                            <w:left w:val="none" w:sz="0" w:space="0" w:color="auto"/>
                            <w:bottom w:val="none" w:sz="0" w:space="0" w:color="auto"/>
                            <w:right w:val="none" w:sz="0" w:space="0" w:color="auto"/>
                          </w:divBdr>
                        </w:div>
                        <w:div w:id="570623237">
                          <w:blockQuote w:val="1"/>
                          <w:marLeft w:val="450"/>
                          <w:marRight w:val="450"/>
                          <w:marTop w:val="225"/>
                          <w:marBottom w:val="225"/>
                          <w:divBdr>
                            <w:top w:val="none" w:sz="0" w:space="0" w:color="auto"/>
                            <w:left w:val="none" w:sz="0" w:space="0" w:color="auto"/>
                            <w:bottom w:val="none" w:sz="0" w:space="0" w:color="auto"/>
                            <w:right w:val="none" w:sz="0" w:space="0" w:color="auto"/>
                          </w:divBdr>
                        </w:div>
                        <w:div w:id="423235054">
                          <w:blockQuote w:val="1"/>
                          <w:marLeft w:val="450"/>
                          <w:marRight w:val="450"/>
                          <w:marTop w:val="225"/>
                          <w:marBottom w:val="225"/>
                          <w:divBdr>
                            <w:top w:val="none" w:sz="0" w:space="0" w:color="auto"/>
                            <w:left w:val="none" w:sz="0" w:space="0" w:color="auto"/>
                            <w:bottom w:val="none" w:sz="0" w:space="0" w:color="auto"/>
                            <w:right w:val="none" w:sz="0" w:space="0" w:color="auto"/>
                          </w:divBdr>
                        </w:div>
                        <w:div w:id="1911110270">
                          <w:blockQuote w:val="1"/>
                          <w:marLeft w:val="450"/>
                          <w:marRight w:val="450"/>
                          <w:marTop w:val="225"/>
                          <w:marBottom w:val="225"/>
                          <w:divBdr>
                            <w:top w:val="none" w:sz="0" w:space="0" w:color="auto"/>
                            <w:left w:val="none" w:sz="0" w:space="0" w:color="auto"/>
                            <w:bottom w:val="none" w:sz="0" w:space="0" w:color="auto"/>
                            <w:right w:val="none" w:sz="0" w:space="0" w:color="auto"/>
                          </w:divBdr>
                        </w:div>
                        <w:div w:id="414933427">
                          <w:blockQuote w:val="1"/>
                          <w:marLeft w:val="450"/>
                          <w:marRight w:val="450"/>
                          <w:marTop w:val="225"/>
                          <w:marBottom w:val="225"/>
                          <w:divBdr>
                            <w:top w:val="none" w:sz="0" w:space="0" w:color="auto"/>
                            <w:left w:val="none" w:sz="0" w:space="0" w:color="auto"/>
                            <w:bottom w:val="none" w:sz="0" w:space="0" w:color="auto"/>
                            <w:right w:val="none" w:sz="0" w:space="0" w:color="auto"/>
                          </w:divBdr>
                        </w:div>
                        <w:div w:id="784957049">
                          <w:blockQuote w:val="1"/>
                          <w:marLeft w:val="450"/>
                          <w:marRight w:val="450"/>
                          <w:marTop w:val="225"/>
                          <w:marBottom w:val="225"/>
                          <w:divBdr>
                            <w:top w:val="none" w:sz="0" w:space="0" w:color="auto"/>
                            <w:left w:val="none" w:sz="0" w:space="0" w:color="auto"/>
                            <w:bottom w:val="none" w:sz="0" w:space="0" w:color="auto"/>
                            <w:right w:val="none" w:sz="0" w:space="0" w:color="auto"/>
                          </w:divBdr>
                        </w:div>
                        <w:div w:id="787748231">
                          <w:blockQuote w:val="1"/>
                          <w:marLeft w:val="450"/>
                          <w:marRight w:val="450"/>
                          <w:marTop w:val="225"/>
                          <w:marBottom w:val="225"/>
                          <w:divBdr>
                            <w:top w:val="none" w:sz="0" w:space="0" w:color="auto"/>
                            <w:left w:val="none" w:sz="0" w:space="0" w:color="auto"/>
                            <w:bottom w:val="none" w:sz="0" w:space="0" w:color="auto"/>
                            <w:right w:val="none" w:sz="0" w:space="0" w:color="auto"/>
                          </w:divBdr>
                        </w:div>
                        <w:div w:id="2091073688">
                          <w:blockQuote w:val="1"/>
                          <w:marLeft w:val="450"/>
                          <w:marRight w:val="450"/>
                          <w:marTop w:val="225"/>
                          <w:marBottom w:val="225"/>
                          <w:divBdr>
                            <w:top w:val="none" w:sz="0" w:space="0" w:color="auto"/>
                            <w:left w:val="none" w:sz="0" w:space="0" w:color="auto"/>
                            <w:bottom w:val="none" w:sz="0" w:space="0" w:color="auto"/>
                            <w:right w:val="none" w:sz="0" w:space="0" w:color="auto"/>
                          </w:divBdr>
                        </w:div>
                        <w:div w:id="1278682605">
                          <w:blockQuote w:val="1"/>
                          <w:marLeft w:val="450"/>
                          <w:marRight w:val="450"/>
                          <w:marTop w:val="225"/>
                          <w:marBottom w:val="225"/>
                          <w:divBdr>
                            <w:top w:val="none" w:sz="0" w:space="0" w:color="auto"/>
                            <w:left w:val="none" w:sz="0" w:space="0" w:color="auto"/>
                            <w:bottom w:val="none" w:sz="0" w:space="0" w:color="auto"/>
                            <w:right w:val="none" w:sz="0" w:space="0" w:color="auto"/>
                          </w:divBdr>
                        </w:div>
                        <w:div w:id="1194002602">
                          <w:blockQuote w:val="1"/>
                          <w:marLeft w:val="450"/>
                          <w:marRight w:val="450"/>
                          <w:marTop w:val="225"/>
                          <w:marBottom w:val="225"/>
                          <w:divBdr>
                            <w:top w:val="none" w:sz="0" w:space="0" w:color="auto"/>
                            <w:left w:val="none" w:sz="0" w:space="0" w:color="auto"/>
                            <w:bottom w:val="none" w:sz="0" w:space="0" w:color="auto"/>
                            <w:right w:val="none" w:sz="0" w:space="0" w:color="auto"/>
                          </w:divBdr>
                        </w:div>
                        <w:div w:id="2059939437">
                          <w:blockQuote w:val="1"/>
                          <w:marLeft w:val="450"/>
                          <w:marRight w:val="450"/>
                          <w:marTop w:val="225"/>
                          <w:marBottom w:val="225"/>
                          <w:divBdr>
                            <w:top w:val="none" w:sz="0" w:space="0" w:color="auto"/>
                            <w:left w:val="none" w:sz="0" w:space="0" w:color="auto"/>
                            <w:bottom w:val="none" w:sz="0" w:space="0" w:color="auto"/>
                            <w:right w:val="none" w:sz="0" w:space="0" w:color="auto"/>
                          </w:divBdr>
                        </w:div>
                        <w:div w:id="2080592333">
                          <w:blockQuote w:val="1"/>
                          <w:marLeft w:val="450"/>
                          <w:marRight w:val="450"/>
                          <w:marTop w:val="225"/>
                          <w:marBottom w:val="225"/>
                          <w:divBdr>
                            <w:top w:val="none" w:sz="0" w:space="0" w:color="auto"/>
                            <w:left w:val="none" w:sz="0" w:space="0" w:color="auto"/>
                            <w:bottom w:val="none" w:sz="0" w:space="0" w:color="auto"/>
                            <w:right w:val="none" w:sz="0" w:space="0" w:color="auto"/>
                          </w:divBdr>
                        </w:div>
                        <w:div w:id="1196886899">
                          <w:blockQuote w:val="1"/>
                          <w:marLeft w:val="450"/>
                          <w:marRight w:val="450"/>
                          <w:marTop w:val="225"/>
                          <w:marBottom w:val="225"/>
                          <w:divBdr>
                            <w:top w:val="none" w:sz="0" w:space="0" w:color="auto"/>
                            <w:left w:val="none" w:sz="0" w:space="0" w:color="auto"/>
                            <w:bottom w:val="none" w:sz="0" w:space="0" w:color="auto"/>
                            <w:right w:val="none" w:sz="0" w:space="0" w:color="auto"/>
                          </w:divBdr>
                        </w:div>
                        <w:div w:id="1118598195">
                          <w:blockQuote w:val="1"/>
                          <w:marLeft w:val="450"/>
                          <w:marRight w:val="450"/>
                          <w:marTop w:val="225"/>
                          <w:marBottom w:val="225"/>
                          <w:divBdr>
                            <w:top w:val="none" w:sz="0" w:space="0" w:color="auto"/>
                            <w:left w:val="none" w:sz="0" w:space="0" w:color="auto"/>
                            <w:bottom w:val="none" w:sz="0" w:space="0" w:color="auto"/>
                            <w:right w:val="none" w:sz="0" w:space="0" w:color="auto"/>
                          </w:divBdr>
                        </w:div>
                        <w:div w:id="2014407330">
                          <w:blockQuote w:val="1"/>
                          <w:marLeft w:val="450"/>
                          <w:marRight w:val="450"/>
                          <w:marTop w:val="225"/>
                          <w:marBottom w:val="225"/>
                          <w:divBdr>
                            <w:top w:val="none" w:sz="0" w:space="0" w:color="auto"/>
                            <w:left w:val="none" w:sz="0" w:space="0" w:color="auto"/>
                            <w:bottom w:val="none" w:sz="0" w:space="0" w:color="auto"/>
                            <w:right w:val="none" w:sz="0" w:space="0" w:color="auto"/>
                          </w:divBdr>
                        </w:div>
                        <w:div w:id="100031022">
                          <w:blockQuote w:val="1"/>
                          <w:marLeft w:val="450"/>
                          <w:marRight w:val="450"/>
                          <w:marTop w:val="225"/>
                          <w:marBottom w:val="225"/>
                          <w:divBdr>
                            <w:top w:val="none" w:sz="0" w:space="0" w:color="auto"/>
                            <w:left w:val="none" w:sz="0" w:space="0" w:color="auto"/>
                            <w:bottom w:val="none" w:sz="0" w:space="0" w:color="auto"/>
                            <w:right w:val="none" w:sz="0" w:space="0" w:color="auto"/>
                          </w:divBdr>
                        </w:div>
                        <w:div w:id="674302617">
                          <w:blockQuote w:val="1"/>
                          <w:marLeft w:val="450"/>
                          <w:marRight w:val="450"/>
                          <w:marTop w:val="225"/>
                          <w:marBottom w:val="225"/>
                          <w:divBdr>
                            <w:top w:val="none" w:sz="0" w:space="0" w:color="auto"/>
                            <w:left w:val="none" w:sz="0" w:space="0" w:color="auto"/>
                            <w:bottom w:val="none" w:sz="0" w:space="0" w:color="auto"/>
                            <w:right w:val="none" w:sz="0" w:space="0" w:color="auto"/>
                          </w:divBdr>
                        </w:div>
                        <w:div w:id="405107926">
                          <w:blockQuote w:val="1"/>
                          <w:marLeft w:val="450"/>
                          <w:marRight w:val="450"/>
                          <w:marTop w:val="225"/>
                          <w:marBottom w:val="225"/>
                          <w:divBdr>
                            <w:top w:val="none" w:sz="0" w:space="0" w:color="auto"/>
                            <w:left w:val="none" w:sz="0" w:space="0" w:color="auto"/>
                            <w:bottom w:val="none" w:sz="0" w:space="0" w:color="auto"/>
                            <w:right w:val="none" w:sz="0" w:space="0" w:color="auto"/>
                          </w:divBdr>
                        </w:div>
                        <w:div w:id="1672951269">
                          <w:blockQuote w:val="1"/>
                          <w:marLeft w:val="450"/>
                          <w:marRight w:val="450"/>
                          <w:marTop w:val="225"/>
                          <w:marBottom w:val="225"/>
                          <w:divBdr>
                            <w:top w:val="none" w:sz="0" w:space="0" w:color="auto"/>
                            <w:left w:val="none" w:sz="0" w:space="0" w:color="auto"/>
                            <w:bottom w:val="none" w:sz="0" w:space="0" w:color="auto"/>
                            <w:right w:val="none" w:sz="0" w:space="0" w:color="auto"/>
                          </w:divBdr>
                        </w:div>
                        <w:div w:id="205486624">
                          <w:blockQuote w:val="1"/>
                          <w:marLeft w:val="450"/>
                          <w:marRight w:val="450"/>
                          <w:marTop w:val="225"/>
                          <w:marBottom w:val="225"/>
                          <w:divBdr>
                            <w:top w:val="none" w:sz="0" w:space="0" w:color="auto"/>
                            <w:left w:val="none" w:sz="0" w:space="0" w:color="auto"/>
                            <w:bottom w:val="none" w:sz="0" w:space="0" w:color="auto"/>
                            <w:right w:val="none" w:sz="0" w:space="0" w:color="auto"/>
                          </w:divBdr>
                        </w:div>
                        <w:div w:id="165368095">
                          <w:blockQuote w:val="1"/>
                          <w:marLeft w:val="450"/>
                          <w:marRight w:val="450"/>
                          <w:marTop w:val="225"/>
                          <w:marBottom w:val="225"/>
                          <w:divBdr>
                            <w:top w:val="none" w:sz="0" w:space="0" w:color="auto"/>
                            <w:left w:val="none" w:sz="0" w:space="0" w:color="auto"/>
                            <w:bottom w:val="none" w:sz="0" w:space="0" w:color="auto"/>
                            <w:right w:val="none" w:sz="0" w:space="0" w:color="auto"/>
                          </w:divBdr>
                        </w:div>
                        <w:div w:id="368342253">
                          <w:blockQuote w:val="1"/>
                          <w:marLeft w:val="450"/>
                          <w:marRight w:val="450"/>
                          <w:marTop w:val="225"/>
                          <w:marBottom w:val="225"/>
                          <w:divBdr>
                            <w:top w:val="none" w:sz="0" w:space="0" w:color="auto"/>
                            <w:left w:val="none" w:sz="0" w:space="0" w:color="auto"/>
                            <w:bottom w:val="none" w:sz="0" w:space="0" w:color="auto"/>
                            <w:right w:val="none" w:sz="0" w:space="0" w:color="auto"/>
                          </w:divBdr>
                        </w:div>
                        <w:div w:id="637612515">
                          <w:blockQuote w:val="1"/>
                          <w:marLeft w:val="450"/>
                          <w:marRight w:val="450"/>
                          <w:marTop w:val="225"/>
                          <w:marBottom w:val="225"/>
                          <w:divBdr>
                            <w:top w:val="none" w:sz="0" w:space="0" w:color="auto"/>
                            <w:left w:val="none" w:sz="0" w:space="0" w:color="auto"/>
                            <w:bottom w:val="none" w:sz="0" w:space="0" w:color="auto"/>
                            <w:right w:val="none" w:sz="0" w:space="0" w:color="auto"/>
                          </w:divBdr>
                        </w:div>
                        <w:div w:id="1876235870">
                          <w:blockQuote w:val="1"/>
                          <w:marLeft w:val="450"/>
                          <w:marRight w:val="450"/>
                          <w:marTop w:val="225"/>
                          <w:marBottom w:val="225"/>
                          <w:divBdr>
                            <w:top w:val="none" w:sz="0" w:space="0" w:color="auto"/>
                            <w:left w:val="none" w:sz="0" w:space="0" w:color="auto"/>
                            <w:bottom w:val="none" w:sz="0" w:space="0" w:color="auto"/>
                            <w:right w:val="none" w:sz="0" w:space="0" w:color="auto"/>
                          </w:divBdr>
                        </w:div>
                        <w:div w:id="1304309539">
                          <w:blockQuote w:val="1"/>
                          <w:marLeft w:val="450"/>
                          <w:marRight w:val="450"/>
                          <w:marTop w:val="225"/>
                          <w:marBottom w:val="225"/>
                          <w:divBdr>
                            <w:top w:val="none" w:sz="0" w:space="0" w:color="auto"/>
                            <w:left w:val="none" w:sz="0" w:space="0" w:color="auto"/>
                            <w:bottom w:val="none" w:sz="0" w:space="0" w:color="auto"/>
                            <w:right w:val="none" w:sz="0" w:space="0" w:color="auto"/>
                          </w:divBdr>
                        </w:div>
                        <w:div w:id="1865291973">
                          <w:blockQuote w:val="1"/>
                          <w:marLeft w:val="450"/>
                          <w:marRight w:val="45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804732495">
      <w:bodyDiv w:val="1"/>
      <w:marLeft w:val="0"/>
      <w:marRight w:val="0"/>
      <w:marTop w:val="0"/>
      <w:marBottom w:val="0"/>
      <w:divBdr>
        <w:top w:val="none" w:sz="0" w:space="0" w:color="auto"/>
        <w:left w:val="none" w:sz="0" w:space="0" w:color="auto"/>
        <w:bottom w:val="none" w:sz="0" w:space="0" w:color="auto"/>
        <w:right w:val="none" w:sz="0" w:space="0" w:color="auto"/>
      </w:divBdr>
    </w:div>
    <w:div w:id="1809473161">
      <w:bodyDiv w:val="1"/>
      <w:marLeft w:val="0"/>
      <w:marRight w:val="0"/>
      <w:marTop w:val="0"/>
      <w:marBottom w:val="0"/>
      <w:divBdr>
        <w:top w:val="none" w:sz="0" w:space="0" w:color="auto"/>
        <w:left w:val="none" w:sz="0" w:space="0" w:color="auto"/>
        <w:bottom w:val="none" w:sz="0" w:space="0" w:color="auto"/>
        <w:right w:val="none" w:sz="0" w:space="0" w:color="auto"/>
      </w:divBdr>
    </w:div>
    <w:div w:id="1823808273">
      <w:bodyDiv w:val="1"/>
      <w:marLeft w:val="0"/>
      <w:marRight w:val="0"/>
      <w:marTop w:val="0"/>
      <w:marBottom w:val="0"/>
      <w:divBdr>
        <w:top w:val="none" w:sz="0" w:space="0" w:color="auto"/>
        <w:left w:val="none" w:sz="0" w:space="0" w:color="auto"/>
        <w:bottom w:val="none" w:sz="0" w:space="0" w:color="auto"/>
        <w:right w:val="none" w:sz="0" w:space="0" w:color="auto"/>
      </w:divBdr>
    </w:div>
    <w:div w:id="1997417190">
      <w:bodyDiv w:val="1"/>
      <w:marLeft w:val="0"/>
      <w:marRight w:val="0"/>
      <w:marTop w:val="0"/>
      <w:marBottom w:val="0"/>
      <w:divBdr>
        <w:top w:val="none" w:sz="0" w:space="0" w:color="auto"/>
        <w:left w:val="none" w:sz="0" w:space="0" w:color="auto"/>
        <w:bottom w:val="none" w:sz="0" w:space="0" w:color="auto"/>
        <w:right w:val="none" w:sz="0" w:space="0" w:color="auto"/>
      </w:divBdr>
    </w:div>
    <w:div w:id="2018724046">
      <w:bodyDiv w:val="1"/>
      <w:marLeft w:val="0"/>
      <w:marRight w:val="0"/>
      <w:marTop w:val="0"/>
      <w:marBottom w:val="0"/>
      <w:divBdr>
        <w:top w:val="none" w:sz="0" w:space="0" w:color="auto"/>
        <w:left w:val="none" w:sz="0" w:space="0" w:color="auto"/>
        <w:bottom w:val="none" w:sz="0" w:space="0" w:color="auto"/>
        <w:right w:val="none" w:sz="0" w:space="0" w:color="auto"/>
      </w:divBdr>
    </w:div>
    <w:div w:id="209015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diatryboard.gov.au/Accredita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ogram.accreditation@ahpra.gov.au" TargetMode="External"/><Relationship Id="rId4" Type="http://schemas.openxmlformats.org/officeDocument/2006/relationships/settings" Target="settings.xml"/><Relationship Id="rId9" Type="http://schemas.openxmlformats.org/officeDocument/2006/relationships/hyperlink" Target="mailto:program.accreditation@ahpra.gov.au" TargetMode="External"/><Relationship Id="rId14" Type="http://schemas.openxmlformats.org/officeDocument/2006/relationships/hyperlink" Target="https://www.podiatryboard.gov.au/Registration-Endorsement/Endorsement-Scheduled-Medicines.aspx"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teqsa.gov.au" TargetMode="External"/><Relationship Id="rId13" Type="http://schemas.openxmlformats.org/officeDocument/2006/relationships/hyperlink" Target="mailto:" TargetMode="External"/><Relationship Id="rId18" Type="http://schemas.openxmlformats.org/officeDocument/2006/relationships/hyperlink" Target="mailto:program.accreditation@ahpra.gov.au" TargetMode="External"/><Relationship Id="rId26" Type="http://schemas.openxmlformats.org/officeDocument/2006/relationships/hyperlink" Target="https://www.teqsa.gov.au/hesf-domain-1" TargetMode="External"/><Relationship Id="rId3" Type="http://schemas.openxmlformats.org/officeDocument/2006/relationships/hyperlink" Target="http://www.podiatryboard.gov.au/documents/default.aspx?record=WD18%2f25232&amp;dbid=AP&amp;chksum=XlIMaKMtApOi%2bgrAlRPUiw%3d%3d" TargetMode="External"/><Relationship Id="rId21" Type="http://schemas.openxmlformats.org/officeDocument/2006/relationships/hyperlink" Target="https://www.teqsa.gov.au/hesf-domain-1" TargetMode="External"/><Relationship Id="rId7" Type="http://schemas.openxmlformats.org/officeDocument/2006/relationships/hyperlink" Target="https://www.education.gov.au/higher-education-standards-panel-hesp-0" TargetMode="External"/><Relationship Id="rId12" Type="http://schemas.openxmlformats.org/officeDocument/2006/relationships/hyperlink" Target="https://www.reconciliation.org.au/reconciliation-action-plans/" TargetMode="External"/><Relationship Id="rId17" Type="http://schemas.openxmlformats.org/officeDocument/2006/relationships/hyperlink" Target="https://www.podiatryboard.gov.au/Registration-Endorsement/Endorsement-Scheduled-Medicines.aspx" TargetMode="External"/><Relationship Id="rId25" Type="http://schemas.openxmlformats.org/officeDocument/2006/relationships/hyperlink" Target="http://www.guide.disabilityemployment.org.au/proposing/inherent_requirements.%20Accessed%2021%20June%202019" TargetMode="External"/><Relationship Id="rId2" Type="http://schemas.openxmlformats.org/officeDocument/2006/relationships/hyperlink" Target="https://www.podiatryboard.gov.au/Registration-Endorsement/Endorsement-Scheduled-Medicines.aspx" TargetMode="External"/><Relationship Id="rId16" Type="http://schemas.openxmlformats.org/officeDocument/2006/relationships/hyperlink" Target="https://consultations.health.gov.au/indigenous-health/determinants/" TargetMode="External"/><Relationship Id="rId20" Type="http://schemas.openxmlformats.org/officeDocument/2006/relationships/hyperlink" Target="https://www.podiatryboard.gov.au/Policies-Codes-Guidelines.aspx" TargetMode="External"/><Relationship Id="rId29" Type="http://schemas.openxmlformats.org/officeDocument/2006/relationships/hyperlink" Target="https://www.podiatryboard.gov.au/Registration-Standards.aspx" TargetMode="External"/><Relationship Id="rId1" Type="http://schemas.openxmlformats.org/officeDocument/2006/relationships/hyperlink" Target="https://www.podiatryboard.gov.au/Registration-Standards.aspx" TargetMode="External"/><Relationship Id="rId6" Type="http://schemas.openxmlformats.org/officeDocument/2006/relationships/hyperlink" Target="https://www.podiatryboard.gov.au/Registration-Endorsement/Endorsement-Scheduled-Medicines.aspx" TargetMode="External"/><Relationship Id="rId11" Type="http://schemas.openxmlformats.org/officeDocument/2006/relationships/hyperlink" Target="https://www.podiatryboard.gov.au/Policies-Codes-Guidelines/Code-of-conduct.aspx" TargetMode="External"/><Relationship Id="rId24" Type="http://schemas.openxmlformats.org/officeDocument/2006/relationships/hyperlink" Target="https://www.teqsa.gov.au/latest-news/publications/guidance-note-scholarship" TargetMode="External"/><Relationship Id="rId32" Type="http://schemas.openxmlformats.org/officeDocument/2006/relationships/hyperlink" Target="https://eprints.qut.edu.au/44065/1/WIL-Report-grants-project-jan09.pdf" TargetMode="External"/><Relationship Id="rId5" Type="http://schemas.openxmlformats.org/officeDocument/2006/relationships/hyperlink" Target="https://www.podiatryboard.gov.au/Registration-Endorsement/Endorsement-Scheduled-Medicines.aspx" TargetMode="External"/><Relationship Id="rId15" Type="http://schemas.openxmlformats.org/officeDocument/2006/relationships/hyperlink" Target="https://www.safetyandquality.gov.au/standards/national-safety-and-quality-primary-health-care-nsqphc-standards" TargetMode="External"/><Relationship Id="rId23" Type="http://schemas.openxmlformats.org/officeDocument/2006/relationships/hyperlink" Target="https://medicaldeans.org.au/resources/reports/" TargetMode="External"/><Relationship Id="rId28" Type="http://schemas.openxmlformats.org/officeDocument/2006/relationships/hyperlink" Target="http://www.aqf.edu.au/" TargetMode="External"/><Relationship Id="rId10" Type="http://schemas.openxmlformats.org/officeDocument/2006/relationships/hyperlink" Target="https://www.teqsa.gov.au/latest-news/publications/guidance-note-work-integrated-learning" TargetMode="External"/><Relationship Id="rId19" Type="http://schemas.openxmlformats.org/officeDocument/2006/relationships/hyperlink" Target="http://www.podiatryboard.gov.au/Registration-Standards" TargetMode="External"/><Relationship Id="rId31" Type="http://schemas.openxmlformats.org/officeDocument/2006/relationships/hyperlink" Target="http://www.ittacademy.net.au/principles-assessment-part-1/" TargetMode="External"/><Relationship Id="rId4" Type="http://schemas.openxmlformats.org/officeDocument/2006/relationships/hyperlink" Target="https://www.podiatryboard.gov.au/Registration-Endorsement/Endorsement-Scheduled-Medicines.aspx" TargetMode="External"/><Relationship Id="rId9" Type="http://schemas.openxmlformats.org/officeDocument/2006/relationships/hyperlink" Target="https://www.legislation.gov.au/Details/F2015L01639" TargetMode="External"/><Relationship Id="rId14" Type="http://schemas.openxmlformats.org/officeDocument/2006/relationships/hyperlink" Target="https://www.safetyandquality.gov.au/standards/national-safety-and-quality-health-service-nsqhs-standards/resources-nsqhs-standards" TargetMode="External"/><Relationship Id="rId22" Type="http://schemas.openxmlformats.org/officeDocument/2006/relationships/hyperlink" Target="mailto:program.accreditation@ahpra.gov.au" TargetMode="External"/><Relationship Id="rId27" Type="http://schemas.openxmlformats.org/officeDocument/2006/relationships/hyperlink" Target="http://www.who.int/hrh/resources/framework_action/en/" TargetMode="External"/><Relationship Id="rId30" Type="http://schemas.openxmlformats.org/officeDocument/2006/relationships/hyperlink" Target="http://www.humanrights.gov.au/quick-guide/1208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29EEF-C757-445B-8AEE-A40D4A25E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13036</Words>
  <Characters>74306</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Podiatry Accreditation Committee - Accreditation standards for Endorsed Scheduled Medicines</vt:lpstr>
    </vt:vector>
  </TitlesOfParts>
  <Company>AHPRA</Company>
  <LinksUpToDate>false</LinksUpToDate>
  <CharactersWithSpaces>87168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Podiatry Accreditation Committee - Accreditation standards for Endorsed Scheduled Medicines</dc:title>
  <dc:subject>Accreditation standards</dc:subject>
  <dc:creator>Podiatry Accreditation Committee</dc:creator>
  <cp:keywords/>
  <dc:description/>
  <cp:lastModifiedBy>Brett Cremer</cp:lastModifiedBy>
  <cp:revision>2</cp:revision>
  <dcterms:created xsi:type="dcterms:W3CDTF">2020-12-03T21:17:00Z</dcterms:created>
  <dcterms:modified xsi:type="dcterms:W3CDTF">2020-12-03T21:17:00Z</dcterms:modified>
</cp:coreProperties>
</file>