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1" w:rsidRPr="00C3795C" w:rsidRDefault="00DD49FD" w:rsidP="00C3795C">
      <w:pPr>
        <w:pStyle w:val="AHPRADocumenttitle"/>
      </w:pPr>
      <w:bookmarkStart w:id="0" w:name="_GoBack"/>
      <w:bookmarkEnd w:id="0"/>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192.75pt;height:0;z-index:251657728;visibility:visible" adj="68,-1,68"/>
        </w:pict>
      </w:r>
      <w:r w:rsidR="00F36362">
        <w:t xml:space="preserve">Schedule of </w:t>
      </w:r>
      <w:r w:rsidR="008C212A">
        <w:t xml:space="preserve">Oral </w:t>
      </w:r>
      <w:r w:rsidR="00F36362">
        <w:t>E</w:t>
      </w:r>
      <w:r w:rsidR="008C212A">
        <w:t>xaminations</w:t>
      </w:r>
    </w:p>
    <w:p w:rsidR="00C3795C" w:rsidRDefault="00C3795C" w:rsidP="00FC2881">
      <w:pPr>
        <w:outlineLvl w:val="0"/>
      </w:pPr>
    </w:p>
    <w:p w:rsidR="0082583B" w:rsidRPr="007A4C80" w:rsidRDefault="0082583B" w:rsidP="007A4C80">
      <w:pPr>
        <w:pStyle w:val="AHPRAbody"/>
      </w:pPr>
      <w:r w:rsidRPr="007A4C80">
        <w:t>The Australian Health Practitioner Regulation Agency (Ahpra) conducts oral examinations in each state and territory on behalf of the Pharmacy Board of Australia.</w:t>
      </w:r>
    </w:p>
    <w:p w:rsidR="0082583B" w:rsidRPr="007A4C80" w:rsidRDefault="0082583B" w:rsidP="007A4C80">
      <w:pPr>
        <w:pStyle w:val="AHPRAbody"/>
      </w:pPr>
      <w:r w:rsidRPr="007A4C80">
        <w:t xml:space="preserve">The number of days on which examinations will be conducted in each jurisdiction will vary depending on candidate numbers and examiner/venue availability. Following acceptance of the candidate's application, the examination candidate timetable with details of their examination will be forwarded by email two weeks before the commencement of the examination period. Candidates are reminded that Ahpra </w:t>
      </w:r>
      <w:proofErr w:type="gramStart"/>
      <w:r w:rsidRPr="007A4C80">
        <w:t>must have correct contact details at all times</w:t>
      </w:r>
      <w:proofErr w:type="gramEnd"/>
      <w:r w:rsidRPr="007A4C80">
        <w:t>.</w:t>
      </w:r>
    </w:p>
    <w:p w:rsidR="0082583B" w:rsidRDefault="0082583B" w:rsidP="00F80FB5">
      <w:pPr>
        <w:pStyle w:val="AHPRAbody"/>
      </w:pPr>
      <w:r>
        <w:t>Please note:</w:t>
      </w:r>
    </w:p>
    <w:p w:rsidR="0082583B" w:rsidRDefault="0082583B" w:rsidP="00F80FB5">
      <w:pPr>
        <w:pStyle w:val="AHPRANumberedlistlevel1"/>
      </w:pPr>
      <w:r>
        <w:t xml:space="preserve">Applicants seeking entry to the October 2020 oral examinations must </w:t>
      </w:r>
      <w:r w:rsidRPr="0090122B">
        <w:t>have completed 75% of the 1575</w:t>
      </w:r>
      <w:r w:rsidR="00A5642F">
        <w:t xml:space="preserve"> </w:t>
      </w:r>
      <w:r>
        <w:t>*</w:t>
      </w:r>
      <w:r w:rsidRPr="0090122B">
        <w:t xml:space="preserve"> approved supervised practice hours required for registration (1181 hours) prior to the commencement date of the scheduled oral examination period</w:t>
      </w:r>
      <w:r w:rsidR="00D078C4">
        <w:t>.</w:t>
      </w:r>
    </w:p>
    <w:p w:rsidR="0082583B" w:rsidRDefault="0082583B" w:rsidP="00F80FB5">
      <w:pPr>
        <w:pStyle w:val="AHPRANumberedlistlevel1"/>
      </w:pPr>
      <w:r>
        <w:t>Applicants who do not meet the entry criteria by the published oral examination application closing date are ineligible to undertake that oral examination.</w:t>
      </w:r>
    </w:p>
    <w:p w:rsidR="0082583B" w:rsidRDefault="0082583B" w:rsidP="00F80FB5">
      <w:pPr>
        <w:pStyle w:val="AHPRANumberedlistlevel1"/>
      </w:pPr>
      <w:r>
        <w:t>Applications received from applicants who have not met the entry criteria for the oral examination by the published application closing date will not be accepted by Ahpra.</w:t>
      </w:r>
    </w:p>
    <w:p w:rsidR="0082583B" w:rsidRPr="00D078C4" w:rsidRDefault="0082583B" w:rsidP="00630F01">
      <w:pPr>
        <w:pStyle w:val="AHPRAbody"/>
      </w:pPr>
    </w:p>
    <w:p w:rsidR="0082583B" w:rsidRDefault="0082583B" w:rsidP="00F80FB5">
      <w:pPr>
        <w:pStyle w:val="AHPRAbody"/>
      </w:pPr>
      <w:r>
        <w:t xml:space="preserve">An application form for a pharmacy intern to be a candidate for the oral examination (practice) in October 2020 will be available to download from the Board’s </w:t>
      </w:r>
      <w:hyperlink r:id="rId8" w:history="1">
        <w:r w:rsidRPr="008C6611">
          <w:rPr>
            <w:rStyle w:val="Hyperlink"/>
            <w:sz w:val="21"/>
            <w:szCs w:val="21"/>
          </w:rPr>
          <w:t>website</w:t>
        </w:r>
      </w:hyperlink>
      <w:r>
        <w:t xml:space="preserve"> before applications open. This is a paper application and must be received by Ahpra by the closing date as stated.</w:t>
      </w:r>
    </w:p>
    <w:p w:rsidR="00AF3681" w:rsidRDefault="0082583B" w:rsidP="00AF3681">
      <w:pPr>
        <w:pStyle w:val="AHPRAbody"/>
      </w:pPr>
      <w:r>
        <w:t>Applications will open for the next oral examination period once the current examination period has concluded.</w:t>
      </w:r>
      <w:r w:rsidR="00AF3681">
        <w:t xml:space="preserve"> </w:t>
      </w:r>
    </w:p>
    <w:p w:rsidR="0082583B" w:rsidRDefault="00AF3681" w:rsidP="00F80FB5">
      <w:pPr>
        <w:pStyle w:val="AHPRAbody"/>
      </w:pPr>
      <w:r>
        <w:t>Late applications will not be accepted.</w:t>
      </w:r>
    </w:p>
    <w:p w:rsidR="0082583B" w:rsidRPr="00A5642F" w:rsidRDefault="0082583B" w:rsidP="00AF3681">
      <w:pPr>
        <w:pStyle w:val="AHPRAbodyitalics"/>
        <w:rPr>
          <w:rStyle w:val="Emphasis"/>
          <w:szCs w:val="20"/>
        </w:rPr>
      </w:pPr>
      <w:r w:rsidRPr="00A5642F">
        <w:rPr>
          <w:rStyle w:val="Emphasis"/>
          <w:szCs w:val="20"/>
        </w:rPr>
        <w:t>*</w:t>
      </w:r>
      <w:r w:rsidR="00A5642F">
        <w:rPr>
          <w:rStyle w:val="Emphasis"/>
          <w:szCs w:val="20"/>
        </w:rPr>
        <w:t xml:space="preserve"> </w:t>
      </w:r>
      <w:r w:rsidRPr="00A5642F">
        <w:rPr>
          <w:rStyle w:val="Emphasis"/>
          <w:szCs w:val="20"/>
        </w:rPr>
        <w:t>Please note 1575 hours is the revised period of supervised practice hours required for general registration during COVID-19</w:t>
      </w:r>
    </w:p>
    <w:p w:rsidR="0082583B" w:rsidRPr="00F80FB5" w:rsidRDefault="0082583B" w:rsidP="00E332EF">
      <w:pPr>
        <w:pStyle w:val="AHPRADocumentsubheading"/>
        <w:spacing w:before="360"/>
      </w:pPr>
      <w:r w:rsidRPr="00F80FB5">
        <w:t>2020</w:t>
      </w:r>
    </w:p>
    <w:p w:rsidR="0082583B" w:rsidRPr="00C015F0" w:rsidRDefault="0082583B" w:rsidP="00630F01">
      <w:pPr>
        <w:pStyle w:val="AHPRAbody"/>
      </w:pPr>
      <w:r w:rsidRPr="00C015F0">
        <w:t>The oral examination dates for 2020 are as follows and may vary from the dates previously set in 2019</w:t>
      </w:r>
    </w:p>
    <w:tbl>
      <w:tblPr>
        <w:tblW w:w="5000" w:type="pct"/>
        <w:tblBorders>
          <w:top w:val="single" w:sz="6" w:space="0" w:color="BBBBBB"/>
          <w:left w:val="single" w:sz="6" w:space="0" w:color="BBBBBB"/>
          <w:bottom w:val="single" w:sz="6" w:space="0" w:color="BBBBBB"/>
          <w:right w:val="single"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4645"/>
        <w:gridCol w:w="2480"/>
        <w:gridCol w:w="2521"/>
      </w:tblGrid>
      <w:tr w:rsidR="0082583B" w:rsidRPr="00C015F0" w:rsidTr="00A5642F">
        <w:trPr>
          <w:tblHeader/>
        </w:trPr>
        <w:tc>
          <w:tcPr>
            <w:tcW w:w="2407" w:type="pct"/>
            <w:tcBorders>
              <w:top w:val="single" w:sz="4" w:space="0" w:color="BFBFBF" w:themeColor="background1" w:themeShade="BF"/>
              <w:left w:val="single" w:sz="4" w:space="0" w:color="BFBFBF" w:themeColor="background1" w:themeShade="BF"/>
              <w:bottom w:val="single" w:sz="12" w:space="0" w:color="DDDDDD"/>
              <w:right w:val="single" w:sz="6" w:space="0" w:color="BBBBBB"/>
            </w:tcBorders>
            <w:shd w:val="clear" w:color="auto" w:fill="EFEFEF"/>
            <w:tcMar>
              <w:top w:w="120" w:type="dxa"/>
              <w:left w:w="120" w:type="dxa"/>
              <w:bottom w:w="120" w:type="dxa"/>
              <w:right w:w="120" w:type="dxa"/>
            </w:tcMar>
            <w:vAlign w:val="bottom"/>
            <w:hideMark/>
          </w:tcPr>
          <w:p w:rsidR="0082583B" w:rsidRPr="00D078C4" w:rsidRDefault="0082583B" w:rsidP="00D078C4">
            <w:pPr>
              <w:pStyle w:val="AHPRAtabletext"/>
              <w:rPr>
                <w:b/>
                <w:bCs/>
              </w:rPr>
            </w:pPr>
            <w:r w:rsidRPr="00D078C4">
              <w:rPr>
                <w:b/>
                <w:bCs/>
              </w:rPr>
              <w:t>Pharmacy Oral Examination period *</w:t>
            </w:r>
            <w:r w:rsidR="00A5642F">
              <w:rPr>
                <w:b/>
                <w:bCs/>
              </w:rPr>
              <w:t>*</w:t>
            </w:r>
          </w:p>
        </w:tc>
        <w:tc>
          <w:tcPr>
            <w:tcW w:w="1285" w:type="pct"/>
            <w:tcBorders>
              <w:top w:val="single" w:sz="4" w:space="0" w:color="BFBFBF" w:themeColor="background1" w:themeShade="BF"/>
              <w:left w:val="single" w:sz="6" w:space="0" w:color="BBBBBB"/>
              <w:bottom w:val="single" w:sz="12" w:space="0" w:color="DDDDDD"/>
              <w:right w:val="single" w:sz="6" w:space="0" w:color="BBBBBB"/>
            </w:tcBorders>
            <w:shd w:val="clear" w:color="auto" w:fill="EFEFEF"/>
            <w:tcMar>
              <w:top w:w="120" w:type="dxa"/>
              <w:left w:w="120" w:type="dxa"/>
              <w:bottom w:w="120" w:type="dxa"/>
              <w:right w:w="120" w:type="dxa"/>
            </w:tcMar>
            <w:vAlign w:val="bottom"/>
            <w:hideMark/>
          </w:tcPr>
          <w:p w:rsidR="0082583B" w:rsidRPr="00D078C4" w:rsidRDefault="0082583B" w:rsidP="00D078C4">
            <w:pPr>
              <w:pStyle w:val="AHPRAtabletext"/>
              <w:rPr>
                <w:b/>
                <w:bCs/>
              </w:rPr>
            </w:pPr>
            <w:r w:rsidRPr="00D078C4">
              <w:rPr>
                <w:b/>
                <w:bCs/>
              </w:rPr>
              <w:t>Applications open</w:t>
            </w:r>
          </w:p>
        </w:tc>
        <w:tc>
          <w:tcPr>
            <w:tcW w:w="1307" w:type="pct"/>
            <w:tcBorders>
              <w:top w:val="single" w:sz="4" w:space="0" w:color="BFBFBF" w:themeColor="background1" w:themeShade="BF"/>
              <w:left w:val="single" w:sz="6" w:space="0" w:color="BBBBBB"/>
              <w:bottom w:val="single" w:sz="12" w:space="0" w:color="DDDDDD"/>
              <w:right w:val="single" w:sz="4" w:space="0" w:color="BFBFBF" w:themeColor="background1" w:themeShade="BF"/>
            </w:tcBorders>
            <w:shd w:val="clear" w:color="auto" w:fill="FFFFFF"/>
            <w:tcMar>
              <w:top w:w="120" w:type="dxa"/>
              <w:left w:w="120" w:type="dxa"/>
              <w:bottom w:w="120" w:type="dxa"/>
              <w:right w:w="120" w:type="dxa"/>
            </w:tcMar>
            <w:vAlign w:val="bottom"/>
            <w:hideMark/>
          </w:tcPr>
          <w:p w:rsidR="0082583B" w:rsidRPr="00D078C4" w:rsidRDefault="0082583B" w:rsidP="00D078C4">
            <w:pPr>
              <w:pStyle w:val="AHPRAtabletext"/>
              <w:rPr>
                <w:b/>
                <w:bCs/>
              </w:rPr>
            </w:pPr>
            <w:r w:rsidRPr="00D078C4">
              <w:rPr>
                <w:b/>
                <w:bCs/>
              </w:rPr>
              <w:t>Applications close</w:t>
            </w:r>
          </w:p>
        </w:tc>
      </w:tr>
      <w:tr w:rsidR="0082583B" w:rsidRPr="00C015F0" w:rsidTr="00A5642F">
        <w:tc>
          <w:tcPr>
            <w:tcW w:w="2407"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C015F0" w:rsidRDefault="0082583B" w:rsidP="007A4C80">
            <w:pPr>
              <w:pStyle w:val="AHPRAtabletext"/>
            </w:pPr>
            <w:r w:rsidRPr="00C015F0">
              <w:t>11 February 2020 to</w:t>
            </w:r>
            <w:r w:rsidRPr="00C015F0">
              <w:br/>
              <w:t>6 March 2020</w:t>
            </w:r>
          </w:p>
        </w:tc>
        <w:tc>
          <w:tcPr>
            <w:tcW w:w="128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2583B" w:rsidRPr="00C015F0" w:rsidRDefault="0082583B" w:rsidP="007A4C80">
            <w:pPr>
              <w:pStyle w:val="AHPRAtabletext"/>
            </w:pPr>
            <w:r w:rsidRPr="00C015F0">
              <w:t>2 November 2019</w:t>
            </w:r>
          </w:p>
        </w:tc>
        <w:tc>
          <w:tcPr>
            <w:tcW w:w="1307"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31 December 2019 </w:t>
            </w:r>
          </w:p>
        </w:tc>
      </w:tr>
      <w:tr w:rsidR="0082583B" w:rsidRPr="00C015F0" w:rsidTr="00A5642F">
        <w:tc>
          <w:tcPr>
            <w:tcW w:w="2407"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9 June 2020 to</w:t>
            </w:r>
            <w:r w:rsidRPr="007A4C80">
              <w:br/>
              <w:t>3 July 2020 </w:t>
            </w:r>
          </w:p>
        </w:tc>
        <w:tc>
          <w:tcPr>
            <w:tcW w:w="1285" w:type="pc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7 March 2020 </w:t>
            </w:r>
          </w:p>
        </w:tc>
        <w:tc>
          <w:tcPr>
            <w:tcW w:w="1307"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29 April 2020 </w:t>
            </w:r>
          </w:p>
        </w:tc>
      </w:tr>
      <w:tr w:rsidR="0082583B" w:rsidRPr="00C015F0" w:rsidTr="00A5642F">
        <w:tc>
          <w:tcPr>
            <w:tcW w:w="2407" w:type="pct"/>
            <w:tcBorders>
              <w:top w:val="single" w:sz="6" w:space="0" w:color="CCCCCC"/>
              <w:left w:val="single" w:sz="4" w:space="0" w:color="BFBFBF" w:themeColor="background1" w:themeShade="BF"/>
              <w:bottom w:val="single" w:sz="4" w:space="0" w:color="BFBFBF" w:themeColor="background1" w:themeShade="BF"/>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6 October 2020 to</w:t>
            </w:r>
            <w:r w:rsidRPr="007A4C80">
              <w:br/>
              <w:t>30 October 2020 </w:t>
            </w:r>
          </w:p>
        </w:tc>
        <w:tc>
          <w:tcPr>
            <w:tcW w:w="1285" w:type="pct"/>
            <w:tcBorders>
              <w:top w:val="single" w:sz="6" w:space="0" w:color="CCCCCC"/>
              <w:left w:val="single" w:sz="6" w:space="0" w:color="CCCCCC"/>
              <w:bottom w:val="single" w:sz="4" w:space="0" w:color="BFBFBF" w:themeColor="background1" w:themeShade="BF"/>
              <w:right w:val="single" w:sz="6" w:space="0" w:color="CCCCCC"/>
            </w:tcBorders>
            <w:shd w:val="clear" w:color="auto" w:fill="FFFFFF"/>
            <w:tcMar>
              <w:top w:w="75" w:type="dxa"/>
              <w:left w:w="75" w:type="dxa"/>
              <w:bottom w:w="75" w:type="dxa"/>
              <w:right w:w="75" w:type="dxa"/>
            </w:tcMar>
            <w:hideMark/>
          </w:tcPr>
          <w:p w:rsidR="0082583B" w:rsidRPr="007A4C80" w:rsidRDefault="00451E31" w:rsidP="00D078C4">
            <w:pPr>
              <w:pStyle w:val="AHPRAtabletext"/>
            </w:pPr>
            <w:r>
              <w:t>27</w:t>
            </w:r>
            <w:r w:rsidR="0082583B" w:rsidRPr="007A4C80">
              <w:t xml:space="preserve"> July 2020 </w:t>
            </w:r>
          </w:p>
        </w:tc>
        <w:tc>
          <w:tcPr>
            <w:tcW w:w="1307" w:type="pct"/>
            <w:tcBorders>
              <w:top w:val="single" w:sz="6" w:space="0" w:color="CCCCCC"/>
              <w:left w:val="single" w:sz="6" w:space="0" w:color="CCCCCC"/>
              <w:bottom w:val="single" w:sz="4" w:space="0" w:color="BFBFBF" w:themeColor="background1" w:themeShade="BF"/>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21 August 2020 </w:t>
            </w:r>
          </w:p>
        </w:tc>
      </w:tr>
    </w:tbl>
    <w:p w:rsidR="0082583B" w:rsidRPr="00D078C4" w:rsidRDefault="0082583B" w:rsidP="00D078C4">
      <w:pPr>
        <w:pStyle w:val="AHPRAbody"/>
      </w:pPr>
    </w:p>
    <w:p w:rsidR="0082583B" w:rsidRDefault="0082583B" w:rsidP="00F80FB5">
      <w:pPr>
        <w:pStyle w:val="AHPRAbody"/>
      </w:pPr>
      <w:r>
        <w:lastRenderedPageBreak/>
        <w:t>*</w:t>
      </w:r>
      <w:r w:rsidR="00A5642F">
        <w:t>*</w:t>
      </w:r>
      <w:r>
        <w:t xml:space="preserve"> For the Examination period - examinations will not be conducted on every day during these examination periods. The specific dates on which examinations will be conducted in each jurisdiction will be confirmed after the closing date for each examination period and detailed in timetables sent to candidates. For each examination period, the examination dates selected within the date range quoted is dependent on venue and examiner availability and candidate numbers. Candidates should not assume that specific dates are available and should make themselves readily available for the examination period. Candidate sessions are randomly allocated and will not be changed.</w:t>
      </w:r>
    </w:p>
    <w:p w:rsidR="00D078C4" w:rsidRDefault="00AF3681" w:rsidP="00AF3681">
      <w:pPr>
        <w:pStyle w:val="AHPRAbodyitalics"/>
        <w:rPr>
          <w:rStyle w:val="Emphasis"/>
          <w:i/>
          <w:color w:val="54575B"/>
          <w:szCs w:val="20"/>
        </w:rPr>
      </w:pPr>
      <w:r w:rsidRPr="00D078C4">
        <w:rPr>
          <w:rStyle w:val="Emphasis"/>
          <w:i/>
          <w:color w:val="54575B"/>
          <w:szCs w:val="20"/>
        </w:rPr>
        <w:t>Note there have been recent changes to postal delivery times and that normal deliveries may be delayed. Candidates are advised to mail applications early to avoid missing the closing date. Late applications will not be accepted.</w:t>
      </w:r>
    </w:p>
    <w:p w:rsidR="00AF3681" w:rsidRPr="00AF3681" w:rsidRDefault="00AF3681" w:rsidP="00AF3681">
      <w:pPr>
        <w:pStyle w:val="AHPRAbodyitalics"/>
        <w:rPr>
          <w:szCs w:val="20"/>
        </w:rPr>
      </w:pPr>
    </w:p>
    <w:p w:rsidR="0082583B" w:rsidRDefault="0082583B" w:rsidP="00D078C4">
      <w:pPr>
        <w:pStyle w:val="AHPRADocumentsubheading"/>
      </w:pPr>
      <w:r>
        <w:t>Contact us</w:t>
      </w:r>
    </w:p>
    <w:p w:rsidR="0082583B" w:rsidRDefault="0082583B" w:rsidP="00F80FB5">
      <w:pPr>
        <w:pStyle w:val="AHPRAbody"/>
      </w:pPr>
      <w:r>
        <w:t>For all enquiries regarding the Pharmacy oral examination, please email </w:t>
      </w:r>
      <w:hyperlink r:id="rId9" w:history="1">
        <w:r w:rsidRPr="002F380E">
          <w:rPr>
            <w:rStyle w:val="Hyperlink"/>
            <w:color w:val="0082F1"/>
            <w:szCs w:val="20"/>
          </w:rPr>
          <w:t>pharmacyoralexam@ahpra.gov.au</w:t>
        </w:r>
      </w:hyperlink>
    </w:p>
    <w:p w:rsidR="0082583B" w:rsidRDefault="0082583B" w:rsidP="00F80FB5">
      <w:pPr>
        <w:pStyle w:val="AHPRAbody"/>
      </w:pPr>
      <w:r>
        <w:t>Below are the Ahpra staff members responsible for delivering examinations for each jurisdiction.</w:t>
      </w:r>
    </w:p>
    <w:tbl>
      <w:tblPr>
        <w:tblW w:w="5000" w:type="pct"/>
        <w:tblBorders>
          <w:top w:val="single" w:sz="6" w:space="0" w:color="BBBBBB"/>
          <w:left w:val="single" w:sz="6" w:space="0" w:color="BBBBBB"/>
          <w:bottom w:val="single" w:sz="6" w:space="0" w:color="BBBBBB"/>
          <w:right w:val="single"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4647"/>
        <w:gridCol w:w="4999"/>
      </w:tblGrid>
      <w:tr w:rsidR="0082583B" w:rsidTr="00A5642F">
        <w:trPr>
          <w:tblHeader/>
        </w:trPr>
        <w:tc>
          <w:tcPr>
            <w:tcW w:w="2409" w:type="pct"/>
            <w:tcBorders>
              <w:top w:val="single" w:sz="4" w:space="0" w:color="BFBFBF" w:themeColor="background1" w:themeShade="BF"/>
              <w:left w:val="single" w:sz="4" w:space="0" w:color="BFBFBF" w:themeColor="background1" w:themeShade="BF"/>
              <w:bottom w:val="single" w:sz="12" w:space="0" w:color="DDDDDD"/>
              <w:right w:val="single" w:sz="6" w:space="0" w:color="BBBBBB"/>
            </w:tcBorders>
            <w:shd w:val="clear" w:color="auto" w:fill="EFEFEF"/>
            <w:tcMar>
              <w:top w:w="120" w:type="dxa"/>
              <w:left w:w="120" w:type="dxa"/>
              <w:bottom w:w="120" w:type="dxa"/>
              <w:right w:w="120" w:type="dxa"/>
            </w:tcMar>
            <w:vAlign w:val="bottom"/>
            <w:hideMark/>
          </w:tcPr>
          <w:p w:rsidR="0082583B" w:rsidRPr="00D078C4" w:rsidRDefault="0082583B" w:rsidP="00D078C4">
            <w:pPr>
              <w:pStyle w:val="AHPRAtabletext"/>
              <w:rPr>
                <w:rFonts w:ascii="Times New Roman" w:hAnsi="Times New Roman"/>
                <w:b/>
              </w:rPr>
            </w:pPr>
            <w:r w:rsidRPr="00D078C4">
              <w:rPr>
                <w:b/>
              </w:rPr>
              <w:t>State or territory</w:t>
            </w:r>
          </w:p>
        </w:tc>
        <w:tc>
          <w:tcPr>
            <w:tcW w:w="2591" w:type="pct"/>
            <w:tcBorders>
              <w:top w:val="single" w:sz="4" w:space="0" w:color="BFBFBF" w:themeColor="background1" w:themeShade="BF"/>
              <w:left w:val="single" w:sz="6" w:space="0" w:color="BBBBBB"/>
              <w:bottom w:val="single" w:sz="12" w:space="0" w:color="DDDDDD"/>
              <w:right w:val="single" w:sz="4" w:space="0" w:color="BFBFBF" w:themeColor="background1" w:themeShade="BF"/>
            </w:tcBorders>
            <w:shd w:val="clear" w:color="auto" w:fill="FFFFFF"/>
            <w:tcMar>
              <w:top w:w="120" w:type="dxa"/>
              <w:left w:w="120" w:type="dxa"/>
              <w:bottom w:w="120" w:type="dxa"/>
              <w:right w:w="120" w:type="dxa"/>
            </w:tcMar>
            <w:vAlign w:val="bottom"/>
            <w:hideMark/>
          </w:tcPr>
          <w:p w:rsidR="0082583B" w:rsidRPr="00D078C4" w:rsidRDefault="0082583B" w:rsidP="00D078C4">
            <w:pPr>
              <w:pStyle w:val="AHPRAtabletext"/>
              <w:rPr>
                <w:b/>
              </w:rPr>
            </w:pPr>
            <w:r w:rsidRPr="00D078C4">
              <w:rPr>
                <w:b/>
              </w:rPr>
              <w:t>Ahpra staff member name</w:t>
            </w:r>
          </w:p>
        </w:tc>
      </w:tr>
      <w:tr w:rsidR="0082583B" w:rsidTr="00A5642F">
        <w:tc>
          <w:tcPr>
            <w:tcW w:w="2409"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Australian Capital Territory</w:t>
            </w:r>
          </w:p>
        </w:tc>
        <w:tc>
          <w:tcPr>
            <w:tcW w:w="2591"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E282B">
            <w:pPr>
              <w:pStyle w:val="AHPRAtabletext"/>
              <w:spacing w:afterLines="45" w:after="108"/>
            </w:pPr>
            <w:r w:rsidRPr="007A4C80">
              <w:t>Andrew Lew</w:t>
            </w:r>
          </w:p>
        </w:tc>
      </w:tr>
      <w:tr w:rsidR="0082583B" w:rsidTr="00A5642F">
        <w:tc>
          <w:tcPr>
            <w:tcW w:w="2409"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New South Wales</w:t>
            </w:r>
          </w:p>
        </w:tc>
        <w:tc>
          <w:tcPr>
            <w:tcW w:w="2591"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E282B">
            <w:pPr>
              <w:pStyle w:val="AHPRAtabletext"/>
              <w:spacing w:afterLines="45" w:after="108"/>
            </w:pPr>
            <w:r w:rsidRPr="007A4C80">
              <w:t xml:space="preserve">Vy Dao </w:t>
            </w:r>
            <w:r w:rsidRPr="007A4C80">
              <w:br/>
              <w:t>Dennis Leung</w:t>
            </w:r>
          </w:p>
        </w:tc>
      </w:tr>
      <w:tr w:rsidR="0082583B" w:rsidTr="00A5642F">
        <w:tc>
          <w:tcPr>
            <w:tcW w:w="2409"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Northern Territory</w:t>
            </w:r>
          </w:p>
        </w:tc>
        <w:tc>
          <w:tcPr>
            <w:tcW w:w="2591"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E282B">
            <w:pPr>
              <w:pStyle w:val="AHPRAtabletext"/>
              <w:spacing w:afterLines="45" w:after="108"/>
            </w:pPr>
            <w:r w:rsidRPr="007A4C80">
              <w:t>Andrew Lew</w:t>
            </w:r>
          </w:p>
        </w:tc>
      </w:tr>
      <w:tr w:rsidR="0082583B" w:rsidTr="00A5642F">
        <w:tc>
          <w:tcPr>
            <w:tcW w:w="2409"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Queensland</w:t>
            </w:r>
          </w:p>
        </w:tc>
        <w:tc>
          <w:tcPr>
            <w:tcW w:w="2591"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E282B">
            <w:pPr>
              <w:pStyle w:val="AHPRAtabletext"/>
              <w:spacing w:afterLines="45" w:after="108"/>
            </w:pPr>
            <w:r w:rsidRPr="007A4C80">
              <w:t>Debbie Dornbusch</w:t>
            </w:r>
          </w:p>
        </w:tc>
      </w:tr>
      <w:tr w:rsidR="0082583B" w:rsidTr="00A5642F">
        <w:tc>
          <w:tcPr>
            <w:tcW w:w="2409"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South Australia</w:t>
            </w:r>
          </w:p>
        </w:tc>
        <w:tc>
          <w:tcPr>
            <w:tcW w:w="2591"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E282B">
            <w:pPr>
              <w:pStyle w:val="AHPRAtabletext"/>
              <w:spacing w:afterLines="45" w:after="108"/>
            </w:pPr>
            <w:r w:rsidRPr="007A4C80">
              <w:t>Michael Broadbent</w:t>
            </w:r>
            <w:r w:rsidRPr="007A4C80">
              <w:br/>
              <w:t>Peter Halstead</w:t>
            </w:r>
          </w:p>
        </w:tc>
      </w:tr>
      <w:tr w:rsidR="0082583B" w:rsidTr="00A5642F">
        <w:tc>
          <w:tcPr>
            <w:tcW w:w="2409"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Tasmania</w:t>
            </w:r>
          </w:p>
        </w:tc>
        <w:tc>
          <w:tcPr>
            <w:tcW w:w="2591"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E282B">
            <w:pPr>
              <w:pStyle w:val="AHPRAtabletext"/>
              <w:spacing w:afterLines="45" w:after="108"/>
            </w:pPr>
            <w:r w:rsidRPr="007A4C80">
              <w:t>Simone Stewart</w:t>
            </w:r>
          </w:p>
        </w:tc>
      </w:tr>
      <w:tr w:rsidR="0082583B" w:rsidTr="00A5642F">
        <w:tc>
          <w:tcPr>
            <w:tcW w:w="2409" w:type="pct"/>
            <w:tcBorders>
              <w:top w:val="single" w:sz="6" w:space="0" w:color="CCCCCC"/>
              <w:left w:val="single" w:sz="4" w:space="0" w:color="BFBFBF" w:themeColor="background1" w:themeShade="BF"/>
              <w:bottom w:val="single" w:sz="6" w:space="0" w:color="CCCCCC"/>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Victoria</w:t>
            </w:r>
          </w:p>
        </w:tc>
        <w:tc>
          <w:tcPr>
            <w:tcW w:w="2591" w:type="pct"/>
            <w:tcBorders>
              <w:top w:val="single" w:sz="6" w:space="0" w:color="CCCCCC"/>
              <w:left w:val="single" w:sz="6" w:space="0" w:color="CCCCCC"/>
              <w:bottom w:val="single" w:sz="6" w:space="0" w:color="CCCCCC"/>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E282B">
            <w:pPr>
              <w:pStyle w:val="AHPRAtabletext"/>
              <w:spacing w:afterLines="45" w:after="108"/>
            </w:pPr>
            <w:r w:rsidRPr="007A4C80">
              <w:t>Andrew Lew</w:t>
            </w:r>
            <w:r w:rsidRPr="007A4C80">
              <w:br/>
              <w:t>Ben Wong</w:t>
            </w:r>
          </w:p>
        </w:tc>
      </w:tr>
      <w:tr w:rsidR="0082583B" w:rsidTr="00A5642F">
        <w:tc>
          <w:tcPr>
            <w:tcW w:w="2409" w:type="pct"/>
            <w:tcBorders>
              <w:top w:val="single" w:sz="6" w:space="0" w:color="CCCCCC"/>
              <w:left w:val="single" w:sz="4" w:space="0" w:color="BFBFBF" w:themeColor="background1" w:themeShade="BF"/>
              <w:bottom w:val="single" w:sz="4" w:space="0" w:color="BFBFBF" w:themeColor="background1" w:themeShade="BF"/>
              <w:right w:val="single" w:sz="6" w:space="0" w:color="CCCCCC"/>
            </w:tcBorders>
            <w:shd w:val="clear" w:color="auto" w:fill="FFFFFF"/>
            <w:tcMar>
              <w:top w:w="75" w:type="dxa"/>
              <w:left w:w="75" w:type="dxa"/>
              <w:bottom w:w="75" w:type="dxa"/>
              <w:right w:w="75" w:type="dxa"/>
            </w:tcMar>
            <w:hideMark/>
          </w:tcPr>
          <w:p w:rsidR="0082583B" w:rsidRPr="007A4C80" w:rsidRDefault="0082583B" w:rsidP="00D078C4">
            <w:pPr>
              <w:pStyle w:val="AHPRAtabletext"/>
            </w:pPr>
            <w:r w:rsidRPr="007A4C80">
              <w:t>Western Australia</w:t>
            </w:r>
          </w:p>
        </w:tc>
        <w:tc>
          <w:tcPr>
            <w:tcW w:w="2591" w:type="pct"/>
            <w:tcBorders>
              <w:top w:val="single" w:sz="6" w:space="0" w:color="CCCCCC"/>
              <w:left w:val="single" w:sz="6" w:space="0" w:color="CCCCCC"/>
              <w:bottom w:val="single" w:sz="4" w:space="0" w:color="BFBFBF" w:themeColor="background1" w:themeShade="BF"/>
              <w:right w:val="single" w:sz="4" w:space="0" w:color="BFBFBF" w:themeColor="background1" w:themeShade="BF"/>
            </w:tcBorders>
            <w:shd w:val="clear" w:color="auto" w:fill="FFFFFF"/>
            <w:tcMar>
              <w:top w:w="75" w:type="dxa"/>
              <w:left w:w="75" w:type="dxa"/>
              <w:bottom w:w="75" w:type="dxa"/>
              <w:right w:w="75" w:type="dxa"/>
            </w:tcMar>
            <w:hideMark/>
          </w:tcPr>
          <w:p w:rsidR="0082583B" w:rsidRPr="007A4C80" w:rsidRDefault="0082583B" w:rsidP="00DE282B">
            <w:pPr>
              <w:pStyle w:val="AHPRAtabletext"/>
              <w:spacing w:afterLines="45" w:after="108"/>
            </w:pPr>
            <w:r w:rsidRPr="007A4C80">
              <w:t>Richard Smirk</w:t>
            </w:r>
          </w:p>
        </w:tc>
      </w:tr>
    </w:tbl>
    <w:p w:rsidR="00E77E23" w:rsidRPr="000E7E28" w:rsidRDefault="00E77E23" w:rsidP="000F5D90">
      <w:pPr>
        <w:tabs>
          <w:tab w:val="left" w:pos="5678"/>
        </w:tabs>
      </w:pPr>
    </w:p>
    <w:sectPr w:rsidR="00E77E23" w:rsidRPr="000E7E28" w:rsidSect="004B438E">
      <w:headerReference w:type="default" r:id="rId10"/>
      <w:footerReference w:type="even" r:id="rId11"/>
      <w:footerReference w:type="default" r:id="rId12"/>
      <w:headerReference w:type="first" r:id="rId13"/>
      <w:footerReference w:type="first" r:id="rId14"/>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FD" w:rsidRDefault="00DD49FD" w:rsidP="00FC2881">
      <w:pPr>
        <w:spacing w:after="0"/>
      </w:pPr>
      <w:r>
        <w:separator/>
      </w:r>
    </w:p>
    <w:p w:rsidR="00DD49FD" w:rsidRDefault="00DD49FD"/>
  </w:endnote>
  <w:endnote w:type="continuationSeparator" w:id="0">
    <w:p w:rsidR="00DD49FD" w:rsidRDefault="00DD49FD" w:rsidP="00FC2881">
      <w:pPr>
        <w:spacing w:after="0"/>
      </w:pPr>
      <w:r>
        <w:continuationSeparator/>
      </w:r>
    </w:p>
    <w:p w:rsidR="00DD49FD" w:rsidRDefault="00DD4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Default="006D45FD"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E28" w:rsidRDefault="0082583B" w:rsidP="001506FE">
    <w:pPr>
      <w:pStyle w:val="AHPRAfooter"/>
      <w:rPr>
        <w:szCs w:val="16"/>
      </w:rPr>
    </w:pPr>
    <w:r>
      <w:rPr>
        <w:szCs w:val="16"/>
      </w:rPr>
      <w:t>Oral examinations</w:t>
    </w:r>
  </w:p>
  <w:p w:rsidR="000A6BF7" w:rsidRPr="000E7E28" w:rsidRDefault="00DD49FD" w:rsidP="000E7E28">
    <w:pPr>
      <w:pStyle w:val="AHPRApagenumber"/>
    </w:pPr>
    <w:sdt>
      <w:sdtPr>
        <w:id w:val="16333165"/>
        <w:docPartObj>
          <w:docPartGallery w:val="Page Numbers (Top of Page)"/>
          <w:docPartUnique/>
        </w:docPartObj>
      </w:sdtPr>
      <w:sdtEndPr/>
      <w:sdtContent>
        <w:r w:rsidR="001506FE" w:rsidRPr="000E7E28">
          <w:t xml:space="preserve">Page </w:t>
        </w:r>
        <w:r w:rsidR="001210B6">
          <w:fldChar w:fldCharType="begin"/>
        </w:r>
        <w:r w:rsidR="001210B6">
          <w:instrText xml:space="preserve"> PAGE </w:instrText>
        </w:r>
        <w:r w:rsidR="001210B6">
          <w:fldChar w:fldCharType="separate"/>
        </w:r>
        <w:r w:rsidR="001210B6">
          <w:rPr>
            <w:noProof/>
          </w:rPr>
          <w:t>2</w:t>
        </w:r>
        <w:r w:rsidR="001210B6">
          <w:rPr>
            <w:noProof/>
          </w:rPr>
          <w:fldChar w:fldCharType="end"/>
        </w:r>
        <w:r w:rsidR="00E77E23" w:rsidRPr="000E7E28">
          <w:t xml:space="preserve"> of </w:t>
        </w:r>
        <w:r w:rsidR="001210B6">
          <w:fldChar w:fldCharType="begin"/>
        </w:r>
        <w:r w:rsidR="001210B6">
          <w:instrText xml:space="preserve"> NUMPAGES  </w:instrText>
        </w:r>
        <w:r w:rsidR="001210B6">
          <w:fldChar w:fldCharType="separate"/>
        </w:r>
        <w:r w:rsidR="001210B6">
          <w:rPr>
            <w:noProof/>
          </w:rPr>
          <w:t>2</w:t>
        </w:r>
        <w:r w:rsidR="001210B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90" w:rsidRDefault="00046390" w:rsidP="00046390">
    <w:pPr>
      <w:spacing w:after="0"/>
      <w:jc w:val="center"/>
      <w:rPr>
        <w:rFonts w:ascii="Calibri" w:hAnsi="Calibri" w:cs="Calibri"/>
        <w:color w:val="5F6062"/>
        <w:sz w:val="18"/>
        <w:szCs w:val="18"/>
      </w:rPr>
    </w:pPr>
    <w:bookmarkStart w:id="1" w:name="_Hlk24447634"/>
    <w:bookmarkStart w:id="2" w:name="_Hlk24447268"/>
    <w:r>
      <w:rPr>
        <w:color w:val="5F6062"/>
        <w:sz w:val="18"/>
        <w:szCs w:val="18"/>
      </w:rPr>
      <w:t>Australian Health Practitioner Regulation Agency</w:t>
    </w:r>
  </w:p>
  <w:p w:rsidR="00046390" w:rsidRDefault="00046390" w:rsidP="00046390">
    <w:pPr>
      <w:spacing w:after="0"/>
      <w:jc w:val="center"/>
      <w:rPr>
        <w:color w:val="5F6062"/>
        <w:sz w:val="18"/>
        <w:szCs w:val="18"/>
      </w:rPr>
    </w:pPr>
    <w:r>
      <w:rPr>
        <w:color w:val="5F6062"/>
        <w:sz w:val="18"/>
        <w:szCs w:val="18"/>
      </w:rPr>
      <w:t>National Boards</w:t>
    </w:r>
  </w:p>
  <w:p w:rsidR="00046390" w:rsidRPr="00126A8D" w:rsidRDefault="00046390" w:rsidP="00046390">
    <w:pPr>
      <w:spacing w:after="0"/>
      <w:jc w:val="center"/>
      <w:rPr>
        <w:color w:val="5F6062"/>
        <w:sz w:val="16"/>
        <w:szCs w:val="16"/>
      </w:rPr>
    </w:pPr>
    <w:r w:rsidRPr="00126A8D">
      <w:rPr>
        <w:color w:val="0067B9"/>
        <w:sz w:val="16"/>
        <w:szCs w:val="16"/>
      </w:rPr>
      <w:t>GPO Box 9958 Melbourne VIC 3001</w:t>
    </w:r>
    <w:r w:rsidRPr="00126A8D">
      <w:rPr>
        <w:color w:val="5F6062"/>
        <w:sz w:val="16"/>
        <w:szCs w:val="16"/>
      </w:rPr>
      <w:t xml:space="preserve">     </w:t>
    </w:r>
    <w:r w:rsidRPr="00126A8D">
      <w:rPr>
        <w:color w:val="279989"/>
        <w:sz w:val="16"/>
        <w:szCs w:val="16"/>
      </w:rPr>
      <w:t>Ahpra.gov.au</w:t>
    </w:r>
    <w:r w:rsidRPr="00126A8D">
      <w:rPr>
        <w:color w:val="5F6062"/>
        <w:sz w:val="16"/>
        <w:szCs w:val="16"/>
      </w:rPr>
      <w:t xml:space="preserve">     </w:t>
    </w:r>
    <w:r w:rsidRPr="00126A8D">
      <w:rPr>
        <w:color w:val="0067B9"/>
        <w:sz w:val="16"/>
        <w:szCs w:val="16"/>
      </w:rPr>
      <w:t>1300 419 495</w:t>
    </w:r>
  </w:p>
  <w:bookmarkEnd w:id="1"/>
  <w:p w:rsidR="00046390" w:rsidRPr="00126A8D" w:rsidRDefault="00046390" w:rsidP="00046390">
    <w:pPr>
      <w:spacing w:after="0"/>
      <w:jc w:val="center"/>
      <w:rPr>
        <w:color w:val="5F6062"/>
        <w:sz w:val="14"/>
        <w:szCs w:val="14"/>
      </w:rPr>
    </w:pPr>
  </w:p>
  <w:p w:rsidR="00046390" w:rsidRPr="00126A8D" w:rsidRDefault="00046390" w:rsidP="00046390">
    <w:pPr>
      <w:spacing w:after="0"/>
      <w:ind w:left="1418" w:firstLine="22"/>
      <w:rPr>
        <w:color w:val="5F6062"/>
        <w:sz w:val="14"/>
        <w:szCs w:val="14"/>
      </w:rPr>
    </w:pPr>
    <w:r w:rsidRPr="00126A8D">
      <w:rPr>
        <w:color w:val="5F6062"/>
        <w:sz w:val="14"/>
        <w:szCs w:val="14"/>
      </w:rPr>
      <w:t xml:space="preserve">Ahpra and the National Boards regulate these registered health professions: Aboriginal and Torres Strait Islander </w:t>
    </w:r>
  </w:p>
  <w:p w:rsidR="00046390" w:rsidRPr="00126A8D" w:rsidRDefault="00046390" w:rsidP="00046390">
    <w:pPr>
      <w:spacing w:after="0"/>
      <w:ind w:left="1440"/>
      <w:rPr>
        <w:color w:val="5F6062"/>
        <w:sz w:val="14"/>
        <w:szCs w:val="14"/>
      </w:rPr>
    </w:pPr>
    <w:r w:rsidRPr="00126A8D">
      <w:rPr>
        <w:color w:val="5F6062"/>
        <w:sz w:val="14"/>
        <w:szCs w:val="14"/>
      </w:rPr>
      <w:t xml:space="preserve">health practice, Chinese medicine, chiropractic, dental, medical, medical radiation practice, midwifery, nursing, </w:t>
    </w:r>
  </w:p>
  <w:p w:rsidR="00E77E23" w:rsidRPr="00046390" w:rsidRDefault="00046390" w:rsidP="00046390">
    <w:pPr>
      <w:spacing w:after="0"/>
      <w:ind w:left="1418"/>
      <w:rPr>
        <w:color w:val="5F6062"/>
        <w:sz w:val="14"/>
        <w:szCs w:val="14"/>
      </w:rPr>
    </w:pPr>
    <w:r w:rsidRPr="00126A8D">
      <w:rPr>
        <w:color w:val="5F6062"/>
        <w:sz w:val="14"/>
        <w:szCs w:val="14"/>
      </w:rPr>
      <w:t>occupational therapy, optometry, osteopathy, paramedicine, pharmacy, physiotherapy, podiatry and psychology.</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FD" w:rsidRDefault="00DD49FD" w:rsidP="000E7E28">
      <w:pPr>
        <w:spacing w:after="0"/>
      </w:pPr>
      <w:r>
        <w:separator/>
      </w:r>
    </w:p>
  </w:footnote>
  <w:footnote w:type="continuationSeparator" w:id="0">
    <w:p w:rsidR="00DD49FD" w:rsidRDefault="00DD49FD" w:rsidP="00FC2881">
      <w:pPr>
        <w:spacing w:after="0"/>
      </w:pPr>
      <w:r>
        <w:continuationSeparator/>
      </w:r>
    </w:p>
    <w:p w:rsidR="00DD49FD" w:rsidRDefault="00DD49FD"/>
  </w:footnote>
  <w:footnote w:type="continuationNotice" w:id="1">
    <w:p w:rsidR="00DD49FD" w:rsidRDefault="00DD49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Pr="00315933" w:rsidRDefault="000A6BF7" w:rsidP="00D638E0">
    <w:pPr>
      <w:ind w:left="-1134" w:right="-567"/>
      <w:jc w:val="right"/>
    </w:pPr>
  </w:p>
  <w:p w:rsidR="000A6BF7" w:rsidRDefault="000A6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BF7" w:rsidRDefault="00046390" w:rsidP="00E844A0">
    <w:r>
      <w:rPr>
        <w:noProof/>
      </w:rPr>
      <w:drawing>
        <wp:anchor distT="0" distB="0" distL="114300" distR="114300" simplePos="0" relativeHeight="251658240" behindDoc="0" locked="0" layoutInCell="1" allowOverlap="1" wp14:anchorId="439981E1" wp14:editId="731870AC">
          <wp:simplePos x="0" y="0"/>
          <wp:positionH relativeFrom="page">
            <wp:posOffset>3981450</wp:posOffset>
          </wp:positionH>
          <wp:positionV relativeFrom="paragraph">
            <wp:posOffset>261620</wp:posOffset>
          </wp:positionV>
          <wp:extent cx="3153600" cy="10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153600" cy="1051200"/>
                  </a:xfrm>
                  <a:prstGeom prst="rect">
                    <a:avLst/>
                  </a:prstGeom>
                  <a:noFill/>
                </pic:spPr>
              </pic:pic>
            </a:graphicData>
          </a:graphic>
          <wp14:sizeRelH relativeFrom="margin">
            <wp14:pctWidth>0</wp14:pctWidth>
          </wp14:sizeRelH>
          <wp14:sizeRelV relativeFrom="margin">
            <wp14:pctHeight>0</wp14:pctHeight>
          </wp14:sizeRelV>
        </wp:anchor>
      </w:drawing>
    </w:r>
  </w:p>
  <w:p w:rsidR="000A6BF7" w:rsidRDefault="000A6BF7" w:rsidP="00E844A0"/>
  <w:p w:rsidR="000A6BF7" w:rsidRDefault="000A6BF7" w:rsidP="00E844A0"/>
  <w:p w:rsidR="000A6BF7" w:rsidRDefault="000A6BF7" w:rsidP="00E844A0"/>
  <w:p w:rsidR="000A6BF7" w:rsidRDefault="000A6BF7"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C53C5"/>
    <w:multiLevelType w:val="multilevel"/>
    <w:tmpl w:val="FEA0E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33A"/>
    <w:multiLevelType w:val="multilevel"/>
    <w:tmpl w:val="C4183F12"/>
    <w:numStyleLink w:val="AHPRANumberedlist"/>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E154B0"/>
    <w:multiLevelType w:val="multilevel"/>
    <w:tmpl w:val="C4183F12"/>
    <w:numStyleLink w:val="AHPRANumberedlist"/>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0"/>
  </w:num>
  <w:num w:numId="2">
    <w:abstractNumId w:val="8"/>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9"/>
  </w:num>
  <w:num w:numId="11">
    <w:abstractNumId w:val="2"/>
  </w:num>
  <w:num w:numId="12">
    <w:abstractNumId w:val="11"/>
  </w:num>
  <w:num w:numId="13">
    <w:abstractNumId w:val="13"/>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10B6"/>
    <w:rsid w:val="00000033"/>
    <w:rsid w:val="00006922"/>
    <w:rsid w:val="000334D7"/>
    <w:rsid w:val="00046390"/>
    <w:rsid w:val="00071439"/>
    <w:rsid w:val="000945FB"/>
    <w:rsid w:val="000A6BF7"/>
    <w:rsid w:val="000E7E28"/>
    <w:rsid w:val="000F5D90"/>
    <w:rsid w:val="0010139F"/>
    <w:rsid w:val="001210B6"/>
    <w:rsid w:val="00144DEF"/>
    <w:rsid w:val="001506FE"/>
    <w:rsid w:val="00196F14"/>
    <w:rsid w:val="001C425C"/>
    <w:rsid w:val="001E1E31"/>
    <w:rsid w:val="001E2849"/>
    <w:rsid w:val="001E4A94"/>
    <w:rsid w:val="001E5621"/>
    <w:rsid w:val="00220A3B"/>
    <w:rsid w:val="00224708"/>
    <w:rsid w:val="0028013F"/>
    <w:rsid w:val="00295B44"/>
    <w:rsid w:val="002A5279"/>
    <w:rsid w:val="002B2D48"/>
    <w:rsid w:val="002C08FB"/>
    <w:rsid w:val="002C34EA"/>
    <w:rsid w:val="002F380E"/>
    <w:rsid w:val="00303BE1"/>
    <w:rsid w:val="00305AFC"/>
    <w:rsid w:val="003354E4"/>
    <w:rsid w:val="00393516"/>
    <w:rsid w:val="003D6DBD"/>
    <w:rsid w:val="003E00B5"/>
    <w:rsid w:val="003E3268"/>
    <w:rsid w:val="003F2F06"/>
    <w:rsid w:val="00405C0A"/>
    <w:rsid w:val="00414F2C"/>
    <w:rsid w:val="00450B34"/>
    <w:rsid w:val="00451E31"/>
    <w:rsid w:val="004606A7"/>
    <w:rsid w:val="004A5E5D"/>
    <w:rsid w:val="004B438E"/>
    <w:rsid w:val="004B747B"/>
    <w:rsid w:val="004D7537"/>
    <w:rsid w:val="004F5C05"/>
    <w:rsid w:val="00516EF2"/>
    <w:rsid w:val="0053749F"/>
    <w:rsid w:val="00546B56"/>
    <w:rsid w:val="00553A4C"/>
    <w:rsid w:val="00554335"/>
    <w:rsid w:val="005565CE"/>
    <w:rsid w:val="005708AE"/>
    <w:rsid w:val="005A0FA9"/>
    <w:rsid w:val="005C5932"/>
    <w:rsid w:val="005C6817"/>
    <w:rsid w:val="00616043"/>
    <w:rsid w:val="00630F01"/>
    <w:rsid w:val="00640B2C"/>
    <w:rsid w:val="00650BFE"/>
    <w:rsid w:val="00667CAD"/>
    <w:rsid w:val="00670F48"/>
    <w:rsid w:val="00672A98"/>
    <w:rsid w:val="00681D5E"/>
    <w:rsid w:val="006C0257"/>
    <w:rsid w:val="006C0E29"/>
    <w:rsid w:val="006D30FE"/>
    <w:rsid w:val="006D3757"/>
    <w:rsid w:val="006D45FD"/>
    <w:rsid w:val="006D6D35"/>
    <w:rsid w:val="006F585B"/>
    <w:rsid w:val="006F7348"/>
    <w:rsid w:val="006F796D"/>
    <w:rsid w:val="0070155F"/>
    <w:rsid w:val="00726E95"/>
    <w:rsid w:val="007372A4"/>
    <w:rsid w:val="00741B04"/>
    <w:rsid w:val="0076115C"/>
    <w:rsid w:val="007664F3"/>
    <w:rsid w:val="0079197C"/>
    <w:rsid w:val="007A35B9"/>
    <w:rsid w:val="007A4C80"/>
    <w:rsid w:val="007B77D6"/>
    <w:rsid w:val="007C0B6E"/>
    <w:rsid w:val="007D4836"/>
    <w:rsid w:val="007E2C84"/>
    <w:rsid w:val="007E3545"/>
    <w:rsid w:val="007F0095"/>
    <w:rsid w:val="0082583B"/>
    <w:rsid w:val="008338F7"/>
    <w:rsid w:val="00836397"/>
    <w:rsid w:val="00845054"/>
    <w:rsid w:val="00852D1C"/>
    <w:rsid w:val="00856147"/>
    <w:rsid w:val="00860F40"/>
    <w:rsid w:val="008615C9"/>
    <w:rsid w:val="00864020"/>
    <w:rsid w:val="008979D5"/>
    <w:rsid w:val="008A4C3B"/>
    <w:rsid w:val="008B2AD7"/>
    <w:rsid w:val="008C212A"/>
    <w:rsid w:val="008D6B7E"/>
    <w:rsid w:val="008D7845"/>
    <w:rsid w:val="009031EA"/>
    <w:rsid w:val="00923B23"/>
    <w:rsid w:val="00937ED0"/>
    <w:rsid w:val="00952797"/>
    <w:rsid w:val="009777D3"/>
    <w:rsid w:val="009859E6"/>
    <w:rsid w:val="009A0A5D"/>
    <w:rsid w:val="009C6933"/>
    <w:rsid w:val="009E531C"/>
    <w:rsid w:val="00A04C7A"/>
    <w:rsid w:val="00A058E5"/>
    <w:rsid w:val="00A10C1A"/>
    <w:rsid w:val="00A2072E"/>
    <w:rsid w:val="00A237BB"/>
    <w:rsid w:val="00A458ED"/>
    <w:rsid w:val="00A509AB"/>
    <w:rsid w:val="00A5642F"/>
    <w:rsid w:val="00A82078"/>
    <w:rsid w:val="00A838C8"/>
    <w:rsid w:val="00A91C42"/>
    <w:rsid w:val="00A9516B"/>
    <w:rsid w:val="00A9780A"/>
    <w:rsid w:val="00AA00AF"/>
    <w:rsid w:val="00AA2FC9"/>
    <w:rsid w:val="00AB283D"/>
    <w:rsid w:val="00AD312E"/>
    <w:rsid w:val="00AE3EAF"/>
    <w:rsid w:val="00AF3681"/>
    <w:rsid w:val="00B024B0"/>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B6C08"/>
    <w:rsid w:val="00CD0DCA"/>
    <w:rsid w:val="00D078C4"/>
    <w:rsid w:val="00D12F61"/>
    <w:rsid w:val="00D201C6"/>
    <w:rsid w:val="00D638E0"/>
    <w:rsid w:val="00D716BA"/>
    <w:rsid w:val="00D8404D"/>
    <w:rsid w:val="00D87C12"/>
    <w:rsid w:val="00DC2952"/>
    <w:rsid w:val="00DD49FD"/>
    <w:rsid w:val="00DE282B"/>
    <w:rsid w:val="00DF1AB7"/>
    <w:rsid w:val="00E07C02"/>
    <w:rsid w:val="00E12B06"/>
    <w:rsid w:val="00E15BF6"/>
    <w:rsid w:val="00E332EF"/>
    <w:rsid w:val="00E54005"/>
    <w:rsid w:val="00E71CB9"/>
    <w:rsid w:val="00E73698"/>
    <w:rsid w:val="00E77E23"/>
    <w:rsid w:val="00E8251C"/>
    <w:rsid w:val="00E844A0"/>
    <w:rsid w:val="00F13ED2"/>
    <w:rsid w:val="00F27ACB"/>
    <w:rsid w:val="00F3616F"/>
    <w:rsid w:val="00F36362"/>
    <w:rsid w:val="00F6618F"/>
    <w:rsid w:val="00F70DD5"/>
    <w:rsid w:val="00F73165"/>
    <w:rsid w:val="00F80FB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3"/>
      </o:rules>
    </o:shapelayout>
  </w:shapeDefaults>
  <w:decimalSymbol w:val="."/>
  <w:listSeparator w:val=","/>
  <w15:docId w15:val="{7B9E5A48-56F8-4D5F-9AE0-793C40E7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semiHidden/>
    <w:unhideWhenUsed/>
    <w:rsid w:val="00046390"/>
    <w:pPr>
      <w:tabs>
        <w:tab w:val="center" w:pos="4680"/>
        <w:tab w:val="right" w:pos="9360"/>
      </w:tabs>
      <w:spacing w:after="0"/>
    </w:pPr>
  </w:style>
  <w:style w:type="character" w:customStyle="1" w:styleId="FooterChar">
    <w:name w:val="Footer Char"/>
    <w:basedOn w:val="DefaultParagraphFont"/>
    <w:link w:val="Footer"/>
    <w:uiPriority w:val="99"/>
    <w:semiHidden/>
    <w:rsid w:val="00046390"/>
    <w:rPr>
      <w:sz w:val="24"/>
      <w:szCs w:val="24"/>
      <w:lang w:val="en-AU"/>
    </w:rPr>
  </w:style>
  <w:style w:type="paragraph" w:styleId="NormalWeb">
    <w:name w:val="Normal (Web)"/>
    <w:basedOn w:val="Normal"/>
    <w:uiPriority w:val="99"/>
    <w:semiHidden/>
    <w:unhideWhenUsed/>
    <w:rsid w:val="0082583B"/>
    <w:pPr>
      <w:spacing w:before="100" w:beforeAutospacing="1" w:after="100" w:afterAutospacing="1"/>
    </w:pPr>
    <w:rPr>
      <w:rFonts w:ascii="Times New Roman" w:eastAsia="Times New Roman" w:hAnsi="Times New Roman"/>
      <w:lang w:eastAsia="en-AU"/>
    </w:rPr>
  </w:style>
  <w:style w:type="character" w:styleId="Emphasis">
    <w:name w:val="Emphasis"/>
    <w:basedOn w:val="DefaultParagraphFont"/>
    <w:uiPriority w:val="20"/>
    <w:qFormat/>
    <w:rsid w:val="00825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pharmacyboard.gov.au/Registration/Internship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armacyoralexam@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lley1\AppData\Local\Microsoft\Windows\Temporary%20Internet%20Files\Content.IE5\06ZDWJZH\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8D32-5B3C-46AE-BAC5-B4DB72D3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Short-document-template.DOTX</Template>
  <TotalTime>0</TotalTime>
  <Pages>2</Pages>
  <Words>569</Words>
  <Characters>3164</Characters>
  <Application>Microsoft Office Word</Application>
  <DocSecurity>0</DocSecurity>
  <Lines>85</Lines>
  <Paragraphs>58</Paragraphs>
  <ScaleCrop>false</ScaleCrop>
  <HeadingPairs>
    <vt:vector size="2" baseType="variant">
      <vt:variant>
        <vt:lpstr>Title</vt:lpstr>
      </vt:variant>
      <vt:variant>
        <vt:i4>1</vt:i4>
      </vt:variant>
    </vt:vector>
  </HeadingPairs>
  <TitlesOfParts>
    <vt:vector size="1" baseType="lpstr">
      <vt:lpstr>Pharmacy Board - Schedule of oral examinations 2020</vt:lpstr>
    </vt:vector>
  </TitlesOfParts>
  <Company/>
  <LinksUpToDate>false</LinksUpToDate>
  <CharactersWithSpaces>3675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Board - Schedule of oral examinations 2020</dc:title>
  <dc:subject>Schedule</dc:subject>
  <dc:creator>Pharmacy Board</dc:creator>
  <cp:lastModifiedBy>Brett Cremer</cp:lastModifiedBy>
  <cp:revision>2</cp:revision>
  <cp:lastPrinted>2012-02-10T00:45:00Z</cp:lastPrinted>
  <dcterms:created xsi:type="dcterms:W3CDTF">2020-06-30T02:33:00Z</dcterms:created>
  <dcterms:modified xsi:type="dcterms:W3CDTF">2020-06-30T02:33:00Z</dcterms:modified>
</cp:coreProperties>
</file>