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6617"/>
      </w:tblGrid>
      <w:tr w:rsidR="0036498C" w:rsidRPr="0036498C" w14:paraId="179C9FA2" w14:textId="77777777" w:rsidTr="00B61358">
        <w:tc>
          <w:tcPr>
            <w:tcW w:w="1384" w:type="dxa"/>
            <w:tcBorders>
              <w:top w:val="nil"/>
              <w:left w:val="nil"/>
              <w:right w:val="nil"/>
            </w:tcBorders>
          </w:tcPr>
          <w:p w14:paraId="65C9E33F" w14:textId="77777777" w:rsidR="0036498C" w:rsidRPr="0036498C" w:rsidRDefault="0036498C" w:rsidP="0036498C">
            <w:bookmarkStart w:id="0" w:name="_GoBack"/>
            <w:bookmarkEnd w:id="0"/>
          </w:p>
        </w:tc>
        <w:tc>
          <w:tcPr>
            <w:tcW w:w="0" w:type="auto"/>
            <w:tcBorders>
              <w:top w:val="nil"/>
              <w:left w:val="nil"/>
              <w:right w:val="nil"/>
            </w:tcBorders>
            <w:tcMar>
              <w:left w:w="0" w:type="dxa"/>
              <w:right w:w="0" w:type="dxa"/>
            </w:tcMar>
            <w:vAlign w:val="bottom"/>
          </w:tcPr>
          <w:p w14:paraId="0D1FCA32" w14:textId="77777777" w:rsidR="0036498C" w:rsidRPr="0036498C" w:rsidRDefault="00C9420D" w:rsidP="0036498C">
            <w:pPr>
              <w:pStyle w:val="Title"/>
              <w:framePr w:hSpace="0" w:wrap="auto" w:vAnchor="margin" w:hAnchor="text" w:yAlign="inline"/>
            </w:pPr>
            <w:r>
              <w:t>Consultation report: Recency of practice (RoP)</w:t>
            </w:r>
          </w:p>
        </w:tc>
      </w:tr>
    </w:tbl>
    <w:p w14:paraId="6EA4B78E" w14:textId="77777777" w:rsidR="00B61358" w:rsidRPr="0036498C" w:rsidRDefault="00B61358" w:rsidP="0036498C">
      <w:pPr>
        <w:spacing w:after="1760"/>
      </w:pPr>
    </w:p>
    <w:p w14:paraId="0F725E53" w14:textId="453DE82E" w:rsidR="00AF5B55" w:rsidRDefault="00E15AAF" w:rsidP="0002681B">
      <w:pPr>
        <w:jc w:val="left"/>
        <w:rPr>
          <w:rFonts w:eastAsia="Cambria"/>
          <w:sz w:val="20"/>
          <w:lang w:eastAsia="en-US"/>
        </w:rPr>
      </w:pPr>
      <w:r w:rsidRPr="00E15AAF">
        <w:rPr>
          <w:rFonts w:eastAsia="Cambria"/>
          <w:sz w:val="20"/>
          <w:lang w:eastAsia="en-US"/>
        </w:rPr>
        <w:t>July 2019</w:t>
      </w:r>
    </w:p>
    <w:p w14:paraId="31994E80" w14:textId="17C04330" w:rsidR="00C9420D" w:rsidRDefault="00C9420D" w:rsidP="0002681B">
      <w:pPr>
        <w:jc w:val="left"/>
        <w:rPr>
          <w:rFonts w:eastAsia="Cambria"/>
          <w:sz w:val="20"/>
          <w:lang w:eastAsia="en-US"/>
        </w:rPr>
      </w:pPr>
    </w:p>
    <w:p w14:paraId="45DE402F" w14:textId="77777777" w:rsidR="00D23D07" w:rsidRDefault="00D23D07" w:rsidP="0002681B">
      <w:pPr>
        <w:jc w:val="left"/>
        <w:rPr>
          <w:rFonts w:eastAsia="Cambria"/>
          <w:sz w:val="20"/>
          <w:lang w:eastAsia="en-US"/>
        </w:rPr>
      </w:pPr>
    </w:p>
    <w:p w14:paraId="61654EC1" w14:textId="77777777" w:rsidR="00C9420D" w:rsidRPr="00566FB7" w:rsidRDefault="00C9420D" w:rsidP="00C9420D">
      <w:pPr>
        <w:pStyle w:val="ListParagraph"/>
        <w:numPr>
          <w:ilvl w:val="0"/>
          <w:numId w:val="42"/>
        </w:numPr>
        <w:spacing w:after="200"/>
        <w:jc w:val="left"/>
        <w:rPr>
          <w:b/>
          <w:color w:val="007DC3"/>
          <w:sz w:val="20"/>
          <w:szCs w:val="20"/>
        </w:rPr>
      </w:pPr>
      <w:r w:rsidRPr="006901EC">
        <w:rPr>
          <w:b/>
          <w:color w:val="007DC3"/>
          <w:sz w:val="20"/>
          <w:szCs w:val="20"/>
        </w:rPr>
        <w:t>Introduction</w:t>
      </w:r>
    </w:p>
    <w:p w14:paraId="6D828E10" w14:textId="0334BDC3" w:rsidR="00B65D53" w:rsidRPr="00C7458F" w:rsidRDefault="00B65D53" w:rsidP="00B65D53">
      <w:pPr>
        <w:pStyle w:val="BodyText"/>
      </w:pPr>
      <w:r w:rsidRPr="00C7458F">
        <w:t>The National Law</w:t>
      </w:r>
      <w:r w:rsidRPr="00C7458F">
        <w:rPr>
          <w:rStyle w:val="FootnoteReference"/>
          <w:szCs w:val="20"/>
        </w:rPr>
        <w:footnoteReference w:id="2"/>
      </w:r>
      <w:r w:rsidRPr="00C7458F">
        <w:t xml:space="preserve"> requires National Boards to develop registration standards about the requirements for </w:t>
      </w:r>
      <w:r>
        <w:t>recency of practice</w:t>
      </w:r>
      <w:r w:rsidRPr="00C7458F">
        <w:t xml:space="preserve"> (</w:t>
      </w:r>
      <w:r>
        <w:t>ROP</w:t>
      </w:r>
      <w:r w:rsidRPr="00C7458F">
        <w:t xml:space="preserve">) for registered health practitioners. </w:t>
      </w:r>
    </w:p>
    <w:p w14:paraId="4490F5A5" w14:textId="39E84BF6" w:rsidR="00B65D53" w:rsidRPr="00941CE4" w:rsidRDefault="00B65D53" w:rsidP="00B65D53">
      <w:pPr>
        <w:rPr>
          <w:rFonts w:eastAsia="Cambria" w:cs="Times New Roman"/>
          <w:sz w:val="20"/>
          <w:szCs w:val="20"/>
        </w:rPr>
      </w:pPr>
      <w:r>
        <w:rPr>
          <w:rFonts w:eastAsia="Cambria" w:cs="Times New Roman"/>
          <w:sz w:val="20"/>
          <w:szCs w:val="20"/>
        </w:rPr>
        <w:t>T</w:t>
      </w:r>
      <w:r w:rsidR="009B3558">
        <w:rPr>
          <w:rFonts w:eastAsia="Cambria" w:cs="Times New Roman"/>
          <w:sz w:val="20"/>
          <w:szCs w:val="20"/>
        </w:rPr>
        <w:t>he following t</w:t>
      </w:r>
      <w:r>
        <w:rPr>
          <w:rFonts w:eastAsia="Cambria" w:cs="Times New Roman"/>
          <w:sz w:val="20"/>
          <w:szCs w:val="20"/>
        </w:rPr>
        <w:t xml:space="preserve">hree </w:t>
      </w:r>
      <w:bookmarkStart w:id="1" w:name="_Hlk523127744"/>
      <w:r w:rsidRPr="00941CE4">
        <w:rPr>
          <w:rFonts w:eastAsia="Cambria" w:cs="Times New Roman"/>
          <w:sz w:val="20"/>
          <w:szCs w:val="20"/>
        </w:rPr>
        <w:t>National Boards</w:t>
      </w:r>
      <w:r w:rsidR="009B3558">
        <w:rPr>
          <w:rFonts w:eastAsia="Cambria" w:cs="Times New Roman"/>
          <w:sz w:val="20"/>
          <w:szCs w:val="20"/>
        </w:rPr>
        <w:t xml:space="preserve"> (the National Boards)</w:t>
      </w:r>
      <w:r w:rsidRPr="00941CE4">
        <w:rPr>
          <w:rFonts w:eastAsia="Cambria" w:cs="Times New Roman"/>
          <w:sz w:val="20"/>
          <w:szCs w:val="20"/>
        </w:rPr>
        <w:t xml:space="preserve"> </w:t>
      </w:r>
      <w:bookmarkEnd w:id="1"/>
      <w:r w:rsidRPr="00941CE4">
        <w:rPr>
          <w:rFonts w:eastAsia="Cambria" w:cs="Times New Roman"/>
          <w:sz w:val="20"/>
          <w:szCs w:val="20"/>
        </w:rPr>
        <w:t xml:space="preserve">have </w:t>
      </w:r>
      <w:r>
        <w:rPr>
          <w:rFonts w:eastAsia="Cambria" w:cs="Times New Roman"/>
          <w:sz w:val="20"/>
          <w:szCs w:val="20"/>
        </w:rPr>
        <w:t>collaborated</w:t>
      </w:r>
      <w:r w:rsidRPr="00941CE4">
        <w:rPr>
          <w:rFonts w:eastAsia="Cambria" w:cs="Times New Roman"/>
          <w:sz w:val="20"/>
          <w:szCs w:val="20"/>
        </w:rPr>
        <w:t xml:space="preserve"> in </w:t>
      </w:r>
      <w:r>
        <w:rPr>
          <w:rFonts w:eastAsia="Cambria" w:cs="Times New Roman"/>
          <w:sz w:val="20"/>
          <w:szCs w:val="20"/>
        </w:rPr>
        <w:t>a</w:t>
      </w:r>
      <w:r w:rsidR="009B3558">
        <w:rPr>
          <w:rFonts w:eastAsia="Cambria" w:cs="Times New Roman"/>
          <w:sz w:val="20"/>
          <w:szCs w:val="20"/>
        </w:rPr>
        <w:t xml:space="preserve"> scheduled</w:t>
      </w:r>
      <w:r w:rsidRPr="00941CE4">
        <w:rPr>
          <w:rFonts w:eastAsia="Cambria" w:cs="Times New Roman"/>
          <w:sz w:val="20"/>
          <w:szCs w:val="20"/>
        </w:rPr>
        <w:t xml:space="preserve"> review of </w:t>
      </w:r>
      <w:r>
        <w:rPr>
          <w:rFonts w:eastAsia="Cambria" w:cs="Times New Roman"/>
          <w:sz w:val="20"/>
          <w:szCs w:val="20"/>
        </w:rPr>
        <w:t xml:space="preserve">their </w:t>
      </w:r>
      <w:r w:rsidR="006804B9">
        <w:rPr>
          <w:rFonts w:eastAsia="Cambria" w:cs="Times New Roman"/>
          <w:sz w:val="20"/>
          <w:szCs w:val="20"/>
        </w:rPr>
        <w:t xml:space="preserve">recency of practice </w:t>
      </w:r>
      <w:r w:rsidRPr="00941CE4">
        <w:rPr>
          <w:rFonts w:eastAsia="Cambria" w:cs="Times New Roman"/>
          <w:sz w:val="20"/>
          <w:szCs w:val="20"/>
        </w:rPr>
        <w:t>registration standards</w:t>
      </w:r>
      <w:r w:rsidR="006804B9">
        <w:rPr>
          <w:rFonts w:eastAsia="Cambria" w:cs="Times New Roman"/>
          <w:sz w:val="20"/>
          <w:szCs w:val="20"/>
        </w:rPr>
        <w:t xml:space="preserve"> (ROP registration standards</w:t>
      </w:r>
      <w:r>
        <w:rPr>
          <w:rFonts w:eastAsia="Cambria" w:cs="Times New Roman"/>
          <w:sz w:val="20"/>
          <w:szCs w:val="20"/>
        </w:rPr>
        <w:t>)</w:t>
      </w:r>
      <w:r w:rsidRPr="00941CE4">
        <w:rPr>
          <w:rFonts w:eastAsia="Cambria" w:cs="Times New Roman"/>
          <w:sz w:val="20"/>
          <w:szCs w:val="20"/>
        </w:rPr>
        <w:t>:</w:t>
      </w:r>
    </w:p>
    <w:p w14:paraId="082CA245" w14:textId="77777777" w:rsidR="00B65D53" w:rsidRPr="00941CE4" w:rsidRDefault="00B65D53" w:rsidP="00B65D53">
      <w:pPr>
        <w:numPr>
          <w:ilvl w:val="0"/>
          <w:numId w:val="43"/>
        </w:numPr>
        <w:spacing w:after="200"/>
        <w:contextualSpacing/>
        <w:jc w:val="left"/>
        <w:rPr>
          <w:rFonts w:eastAsia="Cambria" w:cs="Times New Roman"/>
          <w:sz w:val="20"/>
          <w:szCs w:val="20"/>
        </w:rPr>
      </w:pPr>
      <w:r w:rsidRPr="00941CE4">
        <w:rPr>
          <w:rFonts w:eastAsia="Cambria" w:cs="Times New Roman"/>
          <w:sz w:val="20"/>
          <w:szCs w:val="20"/>
        </w:rPr>
        <w:t>Aboriginal and Torres Strait Islander Health Practice Board of Australia (ATSIHPBA)</w:t>
      </w:r>
    </w:p>
    <w:p w14:paraId="3359F70D" w14:textId="77777777" w:rsidR="00B65D53" w:rsidRPr="00941CE4" w:rsidRDefault="00B65D53" w:rsidP="00B65D53">
      <w:pPr>
        <w:numPr>
          <w:ilvl w:val="0"/>
          <w:numId w:val="43"/>
        </w:numPr>
        <w:spacing w:after="200"/>
        <w:contextualSpacing/>
        <w:jc w:val="left"/>
        <w:rPr>
          <w:rFonts w:eastAsia="Cambria" w:cs="Times New Roman"/>
          <w:sz w:val="20"/>
          <w:szCs w:val="20"/>
        </w:rPr>
      </w:pPr>
      <w:r w:rsidRPr="00941CE4">
        <w:rPr>
          <w:rFonts w:eastAsia="Cambria" w:cs="Times New Roman"/>
          <w:sz w:val="20"/>
          <w:szCs w:val="20"/>
        </w:rPr>
        <w:t>Chinese Medicine Board of Australia (CMBA)</w:t>
      </w:r>
    </w:p>
    <w:p w14:paraId="1D677A3A" w14:textId="77777777" w:rsidR="00B65D53" w:rsidRPr="00941CE4" w:rsidRDefault="00B65D53" w:rsidP="00B65D53">
      <w:pPr>
        <w:numPr>
          <w:ilvl w:val="0"/>
          <w:numId w:val="43"/>
        </w:numPr>
        <w:spacing w:after="200"/>
        <w:ind w:left="357" w:hanging="357"/>
        <w:jc w:val="left"/>
        <w:rPr>
          <w:rFonts w:eastAsia="Cambria" w:cs="Times New Roman"/>
          <w:sz w:val="20"/>
          <w:szCs w:val="20"/>
        </w:rPr>
      </w:pPr>
      <w:r w:rsidRPr="00941CE4">
        <w:rPr>
          <w:rFonts w:eastAsia="Cambria" w:cs="Times New Roman"/>
          <w:sz w:val="20"/>
          <w:szCs w:val="20"/>
        </w:rPr>
        <w:t>Occupational Therapy Board of Australia (OTBA)</w:t>
      </w:r>
    </w:p>
    <w:p w14:paraId="39D0B05D" w14:textId="57B371D9" w:rsidR="00B65D53" w:rsidRPr="001618E1" w:rsidRDefault="00617D0C" w:rsidP="00B65D53">
      <w:pPr>
        <w:pStyle w:val="ListParagraph"/>
        <w:numPr>
          <w:ilvl w:val="0"/>
          <w:numId w:val="42"/>
        </w:numPr>
        <w:spacing w:after="200"/>
        <w:jc w:val="left"/>
        <w:rPr>
          <w:b/>
          <w:color w:val="007DC3"/>
          <w:sz w:val="20"/>
          <w:szCs w:val="20"/>
        </w:rPr>
      </w:pPr>
      <w:r>
        <w:rPr>
          <w:b/>
          <w:color w:val="007DC3"/>
          <w:sz w:val="20"/>
          <w:szCs w:val="20"/>
        </w:rPr>
        <w:t>Development of revised standards</w:t>
      </w:r>
    </w:p>
    <w:p w14:paraId="160AB881" w14:textId="4AA84E90" w:rsidR="00B65D53" w:rsidRPr="00941CE4" w:rsidRDefault="00B65D53" w:rsidP="00B65D53">
      <w:pPr>
        <w:spacing w:after="200"/>
        <w:rPr>
          <w:rFonts w:eastAsia="Cambria" w:cs="Times New Roman"/>
          <w:sz w:val="20"/>
          <w:szCs w:val="20"/>
        </w:rPr>
      </w:pPr>
      <w:r w:rsidRPr="00941CE4">
        <w:rPr>
          <w:rFonts w:eastAsia="Cambria" w:cs="Times New Roman"/>
          <w:sz w:val="20"/>
          <w:szCs w:val="20"/>
        </w:rPr>
        <w:t>National Boards</w:t>
      </w:r>
      <w:r>
        <w:rPr>
          <w:rFonts w:eastAsia="Cambria" w:cs="Times New Roman"/>
          <w:sz w:val="20"/>
          <w:szCs w:val="20"/>
        </w:rPr>
        <w:t xml:space="preserve"> </w:t>
      </w:r>
      <w:r w:rsidRPr="00641B71">
        <w:rPr>
          <w:sz w:val="20"/>
          <w:szCs w:val="20"/>
        </w:rPr>
        <w:t xml:space="preserve">considered the objectives and guiding principles of the National Law and the </w:t>
      </w:r>
      <w:r w:rsidRPr="00641B71">
        <w:rPr>
          <w:i/>
          <w:sz w:val="20"/>
          <w:szCs w:val="20"/>
        </w:rPr>
        <w:t>Regulatory principles for the National Scheme</w:t>
      </w:r>
      <w:r w:rsidRPr="00641B71">
        <w:rPr>
          <w:sz w:val="20"/>
          <w:szCs w:val="20"/>
          <w:vertAlign w:val="superscript"/>
        </w:rPr>
        <w:footnoteReference w:id="3"/>
      </w:r>
      <w:r>
        <w:rPr>
          <w:sz w:val="20"/>
          <w:szCs w:val="20"/>
        </w:rPr>
        <w:t xml:space="preserve"> in deciding whether they</w:t>
      </w:r>
      <w:r w:rsidRPr="00641B71">
        <w:rPr>
          <w:sz w:val="20"/>
          <w:szCs w:val="20"/>
        </w:rPr>
        <w:t xml:space="preserve"> should propose changes to the existing registration standard</w:t>
      </w:r>
      <w:r>
        <w:rPr>
          <w:sz w:val="20"/>
          <w:szCs w:val="20"/>
        </w:rPr>
        <w:t>s</w:t>
      </w:r>
      <w:r w:rsidRPr="00641B71">
        <w:rPr>
          <w:sz w:val="20"/>
          <w:szCs w:val="20"/>
        </w:rPr>
        <w:t xml:space="preserve">. The </w:t>
      </w:r>
      <w:r>
        <w:rPr>
          <w:sz w:val="20"/>
          <w:szCs w:val="20"/>
        </w:rPr>
        <w:t xml:space="preserve">National </w:t>
      </w:r>
      <w:r w:rsidRPr="00641B71">
        <w:rPr>
          <w:sz w:val="20"/>
          <w:szCs w:val="20"/>
        </w:rPr>
        <w:t>Board</w:t>
      </w:r>
      <w:r>
        <w:rPr>
          <w:sz w:val="20"/>
          <w:szCs w:val="20"/>
        </w:rPr>
        <w:t>s</w:t>
      </w:r>
      <w:r w:rsidR="006804B9">
        <w:rPr>
          <w:sz w:val="20"/>
          <w:szCs w:val="20"/>
        </w:rPr>
        <w:t xml:space="preserve"> have</w:t>
      </w:r>
      <w:r w:rsidRPr="00641B71">
        <w:rPr>
          <w:sz w:val="20"/>
          <w:szCs w:val="20"/>
        </w:rPr>
        <w:t xml:space="preserve"> also adopted a ri</w:t>
      </w:r>
      <w:r>
        <w:rPr>
          <w:sz w:val="20"/>
          <w:szCs w:val="20"/>
        </w:rPr>
        <w:t>sk-based approach to the review, drawing on their</w:t>
      </w:r>
      <w:r w:rsidRPr="00641B71">
        <w:rPr>
          <w:sz w:val="20"/>
          <w:szCs w:val="20"/>
        </w:rPr>
        <w:t xml:space="preserve"> experience with the existing registration standard and other sources of information, </w:t>
      </w:r>
      <w:r w:rsidRPr="00441E04">
        <w:rPr>
          <w:sz w:val="20"/>
          <w:szCs w:val="20"/>
        </w:rPr>
        <w:t xml:space="preserve">including research and other published documents </w:t>
      </w:r>
      <w:r w:rsidRPr="00641B71">
        <w:rPr>
          <w:sz w:val="20"/>
          <w:szCs w:val="20"/>
        </w:rPr>
        <w:t xml:space="preserve">and the approach of other National Boards and comparable regulators. The </w:t>
      </w:r>
      <w:r>
        <w:rPr>
          <w:sz w:val="20"/>
          <w:szCs w:val="20"/>
        </w:rPr>
        <w:t xml:space="preserve">National </w:t>
      </w:r>
      <w:r w:rsidRPr="00641B71">
        <w:rPr>
          <w:sz w:val="20"/>
          <w:szCs w:val="20"/>
        </w:rPr>
        <w:t>Board</w:t>
      </w:r>
      <w:r>
        <w:rPr>
          <w:sz w:val="20"/>
          <w:szCs w:val="20"/>
        </w:rPr>
        <w:t xml:space="preserve">s noted </w:t>
      </w:r>
      <w:r w:rsidR="00A44F2C">
        <w:rPr>
          <w:sz w:val="20"/>
          <w:szCs w:val="20"/>
        </w:rPr>
        <w:t>previou</w:t>
      </w:r>
      <w:r>
        <w:rPr>
          <w:sz w:val="20"/>
          <w:szCs w:val="20"/>
        </w:rPr>
        <w:t>s feedback from Ministers that strongly</w:t>
      </w:r>
      <w:r w:rsidRPr="00641B71">
        <w:rPr>
          <w:sz w:val="20"/>
          <w:szCs w:val="20"/>
        </w:rPr>
        <w:t xml:space="preserve"> supports greater convergence </w:t>
      </w:r>
      <w:r w:rsidR="006804B9" w:rsidRPr="00641B71">
        <w:rPr>
          <w:sz w:val="20"/>
          <w:szCs w:val="20"/>
        </w:rPr>
        <w:t>of registration standards</w:t>
      </w:r>
      <w:r w:rsidR="006804B9">
        <w:rPr>
          <w:sz w:val="20"/>
          <w:szCs w:val="20"/>
        </w:rPr>
        <w:t xml:space="preserve"> across the regulated professions</w:t>
      </w:r>
      <w:r w:rsidR="00A44F2C">
        <w:rPr>
          <w:sz w:val="20"/>
          <w:szCs w:val="20"/>
        </w:rPr>
        <w:t>.</w:t>
      </w:r>
      <w:r w:rsidR="00A44F2C" w:rsidRPr="00A44F2C">
        <w:rPr>
          <w:sz w:val="20"/>
          <w:szCs w:val="20"/>
        </w:rPr>
        <w:t xml:space="preserve"> </w:t>
      </w:r>
      <w:r w:rsidR="00A44F2C">
        <w:rPr>
          <w:sz w:val="20"/>
          <w:szCs w:val="20"/>
        </w:rPr>
        <w:t>National Boards collaborated on the development of the revised standards including by participating in a multi-profession workshop in early February 2016 to discuss issues and develop consistent approaches</w:t>
      </w:r>
      <w:r w:rsidR="00A44F2C" w:rsidRPr="00641B71">
        <w:rPr>
          <w:sz w:val="20"/>
          <w:szCs w:val="20"/>
        </w:rPr>
        <w:t xml:space="preserve"> where appropriate</w:t>
      </w:r>
      <w:r w:rsidR="00A44F2C">
        <w:rPr>
          <w:sz w:val="20"/>
          <w:szCs w:val="20"/>
        </w:rPr>
        <w:t xml:space="preserve">. The result </w:t>
      </w:r>
      <w:r w:rsidR="009B3558">
        <w:rPr>
          <w:sz w:val="20"/>
          <w:szCs w:val="20"/>
        </w:rPr>
        <w:t xml:space="preserve">of this review </w:t>
      </w:r>
      <w:r w:rsidR="00A44F2C">
        <w:rPr>
          <w:sz w:val="20"/>
          <w:szCs w:val="20"/>
        </w:rPr>
        <w:t xml:space="preserve">is </w:t>
      </w:r>
      <w:r w:rsidR="009B3558">
        <w:rPr>
          <w:sz w:val="20"/>
          <w:szCs w:val="20"/>
        </w:rPr>
        <w:t xml:space="preserve">revised </w:t>
      </w:r>
      <w:r w:rsidR="00A44F2C">
        <w:rPr>
          <w:sz w:val="20"/>
          <w:szCs w:val="20"/>
        </w:rPr>
        <w:t>ROP registration standard</w:t>
      </w:r>
      <w:r w:rsidR="009B3558">
        <w:rPr>
          <w:sz w:val="20"/>
          <w:szCs w:val="20"/>
        </w:rPr>
        <w:t>s</w:t>
      </w:r>
      <w:r w:rsidR="00A44F2C">
        <w:rPr>
          <w:sz w:val="20"/>
          <w:szCs w:val="20"/>
        </w:rPr>
        <w:t xml:space="preserve"> that ha</w:t>
      </w:r>
      <w:r w:rsidR="009B3558">
        <w:rPr>
          <w:sz w:val="20"/>
          <w:szCs w:val="20"/>
        </w:rPr>
        <w:t>ve</w:t>
      </w:r>
      <w:r w:rsidR="00A44F2C">
        <w:rPr>
          <w:sz w:val="20"/>
          <w:szCs w:val="20"/>
        </w:rPr>
        <w:t xml:space="preserve"> a</w:t>
      </w:r>
      <w:r w:rsidR="009B3558">
        <w:rPr>
          <w:sz w:val="20"/>
          <w:szCs w:val="20"/>
        </w:rPr>
        <w:t xml:space="preserve"> very</w:t>
      </w:r>
      <w:r w:rsidR="00A44F2C">
        <w:rPr>
          <w:sz w:val="20"/>
          <w:szCs w:val="20"/>
        </w:rPr>
        <w:t xml:space="preserve"> high level of consistency</w:t>
      </w:r>
      <w:r w:rsidR="00A44F2C" w:rsidRPr="00641B71">
        <w:rPr>
          <w:sz w:val="20"/>
          <w:szCs w:val="20"/>
        </w:rPr>
        <w:t>.</w:t>
      </w:r>
      <w:r w:rsidR="006804B9">
        <w:rPr>
          <w:sz w:val="20"/>
          <w:szCs w:val="20"/>
        </w:rPr>
        <w:t xml:space="preserve"> </w:t>
      </w:r>
    </w:p>
    <w:p w14:paraId="28BC57FA" w14:textId="77777777" w:rsidR="00C9420D" w:rsidRDefault="00C9420D" w:rsidP="00C9420D">
      <w:pPr>
        <w:pStyle w:val="Default"/>
        <w:numPr>
          <w:ilvl w:val="0"/>
          <w:numId w:val="42"/>
        </w:numPr>
        <w:spacing w:after="200"/>
        <w:rPr>
          <w:b/>
          <w:color w:val="007DC3"/>
          <w:sz w:val="20"/>
          <w:szCs w:val="20"/>
        </w:rPr>
      </w:pPr>
      <w:r>
        <w:rPr>
          <w:b/>
          <w:color w:val="007DC3"/>
          <w:sz w:val="20"/>
          <w:szCs w:val="20"/>
        </w:rPr>
        <w:t>Consultation</w:t>
      </w:r>
    </w:p>
    <w:p w14:paraId="1DC609CF" w14:textId="35DAB9F6" w:rsidR="00B65D53" w:rsidRDefault="00B65D53" w:rsidP="00B65D53">
      <w:pPr>
        <w:pStyle w:val="BodyText"/>
      </w:pPr>
      <w:r>
        <w:t xml:space="preserve">National </w:t>
      </w:r>
      <w:r w:rsidRPr="0047264E">
        <w:t xml:space="preserve">Boards </w:t>
      </w:r>
      <w:r>
        <w:t>undertook</w:t>
      </w:r>
      <w:r w:rsidRPr="0047264E">
        <w:t xml:space="preserve"> an eight-week public consultation process</w:t>
      </w:r>
      <w:r>
        <w:t xml:space="preserve"> between March and May 2018, following a</w:t>
      </w:r>
      <w:r w:rsidRPr="0047264E">
        <w:t xml:space="preserve"> preliminary </w:t>
      </w:r>
      <w:r>
        <w:t>consultation</w:t>
      </w:r>
      <w:r w:rsidRPr="0047264E">
        <w:t xml:space="preserve"> </w:t>
      </w:r>
      <w:r>
        <w:t xml:space="preserve">round </w:t>
      </w:r>
      <w:r w:rsidRPr="0047264E">
        <w:t>with key stakeholders</w:t>
      </w:r>
      <w:r>
        <w:t xml:space="preserve"> in August and October 2016 to </w:t>
      </w:r>
      <w:r w:rsidRPr="0047264E">
        <w:t>ensure public exposure to propos</w:t>
      </w:r>
      <w:r>
        <w:t>ed changes – a requirement under the National Law</w:t>
      </w:r>
      <w:r w:rsidRPr="0047264E">
        <w:t xml:space="preserve">. The </w:t>
      </w:r>
      <w:r>
        <w:t xml:space="preserve">Commonwealth </w:t>
      </w:r>
      <w:r w:rsidRPr="0047264E">
        <w:t xml:space="preserve">Office of Best Practice Regulation </w:t>
      </w:r>
      <w:r>
        <w:t>(OBPR) was also consulted</w:t>
      </w:r>
      <w:r w:rsidRPr="0047264E">
        <w:t xml:space="preserve"> during preliminary</w:t>
      </w:r>
      <w:r>
        <w:t xml:space="preserve"> consultation in order to assess the potential for any significant regulatory impacts. The OBPR determined that</w:t>
      </w:r>
      <w:r w:rsidRPr="0047264E">
        <w:t xml:space="preserve"> a regulat</w:t>
      </w:r>
      <w:r>
        <w:t>ion</w:t>
      </w:r>
      <w:r w:rsidRPr="0047264E">
        <w:t xml:space="preserve"> impact statement was not </w:t>
      </w:r>
      <w:r>
        <w:t xml:space="preserve">required. </w:t>
      </w:r>
    </w:p>
    <w:p w14:paraId="3C9342E6" w14:textId="77777777" w:rsidR="009B1A04" w:rsidRDefault="00B65D53" w:rsidP="00B65D53">
      <w:pPr>
        <w:pStyle w:val="BodyText"/>
      </w:pPr>
      <w:r>
        <w:t>P</w:t>
      </w:r>
      <w:r w:rsidRPr="0047264E">
        <w:t xml:space="preserve">ublic consultation documents </w:t>
      </w:r>
      <w:r w:rsidR="00C04744">
        <w:t>and s</w:t>
      </w:r>
      <w:r w:rsidR="00C04744" w:rsidRPr="006B74A6">
        <w:t xml:space="preserve">ubmissions (except those made in confidence) </w:t>
      </w:r>
      <w:r w:rsidRPr="0047264E">
        <w:t xml:space="preserve">are published under the </w:t>
      </w:r>
      <w:r w:rsidRPr="0047264E">
        <w:rPr>
          <w:i/>
        </w:rPr>
        <w:t>News</w:t>
      </w:r>
      <w:r w:rsidRPr="0047264E">
        <w:t xml:space="preserve"> tab of each </w:t>
      </w:r>
      <w:r>
        <w:t xml:space="preserve">National Board website. </w:t>
      </w:r>
    </w:p>
    <w:p w14:paraId="281A195E" w14:textId="77777777" w:rsidR="00E15AAF" w:rsidRDefault="00E15AAF">
      <w:pPr>
        <w:jc w:val="left"/>
        <w:rPr>
          <w:rFonts w:eastAsia="Cambria" w:cs="Times New Roman"/>
          <w:b/>
          <w:noProof w:val="0"/>
          <w:color w:val="007DC3"/>
          <w:sz w:val="20"/>
          <w:szCs w:val="20"/>
          <w:lang w:eastAsia="en-US"/>
        </w:rPr>
      </w:pPr>
      <w:r>
        <w:rPr>
          <w:b/>
          <w:color w:val="007DC3"/>
          <w:sz w:val="20"/>
          <w:szCs w:val="20"/>
        </w:rPr>
        <w:br w:type="page"/>
      </w:r>
    </w:p>
    <w:p w14:paraId="080F67D1" w14:textId="231CEF6E" w:rsidR="00C9420D" w:rsidRPr="00C077F0" w:rsidRDefault="00C9420D" w:rsidP="00C04744">
      <w:pPr>
        <w:pStyle w:val="AHPRAHeadline"/>
        <w:numPr>
          <w:ilvl w:val="0"/>
          <w:numId w:val="42"/>
        </w:numPr>
        <w:spacing w:after="0"/>
        <w:ind w:left="357" w:hanging="357"/>
        <w:outlineLvl w:val="0"/>
        <w:rPr>
          <w:b/>
          <w:color w:val="007DC3"/>
          <w:sz w:val="20"/>
          <w:szCs w:val="20"/>
        </w:rPr>
      </w:pPr>
      <w:r w:rsidRPr="00C077F0">
        <w:rPr>
          <w:b/>
          <w:color w:val="007DC3"/>
          <w:sz w:val="20"/>
          <w:szCs w:val="20"/>
        </w:rPr>
        <w:lastRenderedPageBreak/>
        <w:t>Issues</w:t>
      </w:r>
    </w:p>
    <w:p w14:paraId="62077ECE" w14:textId="0C4BECCA" w:rsidR="00803F46" w:rsidRDefault="00803F46" w:rsidP="001612C7">
      <w:pPr>
        <w:pStyle w:val="BodyText"/>
        <w:rPr>
          <w:szCs w:val="20"/>
          <w:lang w:val="en-US"/>
        </w:rPr>
      </w:pPr>
      <w:r>
        <w:t>The proposed ROP</w:t>
      </w:r>
      <w:r w:rsidRPr="00370F7A">
        <w:t xml:space="preserve"> registration standards</w:t>
      </w:r>
      <w:r>
        <w:t xml:space="preserve"> are based on a cross-profession template </w:t>
      </w:r>
      <w:r w:rsidR="0083440F">
        <w:t>developed using</w:t>
      </w:r>
      <w:r>
        <w:t xml:space="preserve"> </w:t>
      </w:r>
      <w:r w:rsidR="0000133C">
        <w:t xml:space="preserve">research, </w:t>
      </w:r>
      <w:r w:rsidRPr="00954BFC">
        <w:t>expert advice</w:t>
      </w:r>
      <w:r>
        <w:t>, the experience of all National Boards</w:t>
      </w:r>
      <w:r>
        <w:rPr>
          <w:szCs w:val="20"/>
          <w:lang w:val="en-US"/>
        </w:rPr>
        <w:t xml:space="preserve"> and feedback from key stakeholders. </w:t>
      </w:r>
    </w:p>
    <w:p w14:paraId="520E6264" w14:textId="0201C746" w:rsidR="00C9420D" w:rsidRDefault="00B65D53" w:rsidP="001612C7">
      <w:pPr>
        <w:pStyle w:val="BodyText"/>
        <w:rPr>
          <w:szCs w:val="20"/>
          <w:lang w:val="en-US"/>
        </w:rPr>
      </w:pPr>
      <w:r>
        <w:rPr>
          <w:szCs w:val="20"/>
          <w:lang w:val="en-US"/>
        </w:rPr>
        <w:t>R</w:t>
      </w:r>
      <w:r w:rsidR="00634760">
        <w:rPr>
          <w:szCs w:val="20"/>
          <w:lang w:val="en-US"/>
        </w:rPr>
        <w:t xml:space="preserve">esearch </w:t>
      </w:r>
      <w:r>
        <w:rPr>
          <w:szCs w:val="20"/>
          <w:lang w:val="en-US"/>
        </w:rPr>
        <w:t>undertaken for this and previous reviews of the ROP registration standard</w:t>
      </w:r>
      <w:r w:rsidR="00803F46">
        <w:rPr>
          <w:szCs w:val="20"/>
          <w:lang w:val="en-US"/>
        </w:rPr>
        <w:t>s</w:t>
      </w:r>
      <w:r>
        <w:rPr>
          <w:szCs w:val="20"/>
          <w:lang w:val="en-US"/>
        </w:rPr>
        <w:t xml:space="preserve"> did not provide a definitive answer to the question of</w:t>
      </w:r>
      <w:r w:rsidR="00634760">
        <w:rPr>
          <w:szCs w:val="20"/>
          <w:lang w:val="en-US"/>
        </w:rPr>
        <w:t xml:space="preserve"> how much recent practice a health practitioner needs to maintain their skills and knowledge, or </w:t>
      </w:r>
      <w:r w:rsidR="00634760" w:rsidRPr="007C3EBE">
        <w:t>whether minimum hours to maintain competence vary according to the profession, type and scope of practice</w:t>
      </w:r>
      <w:r>
        <w:t>.</w:t>
      </w:r>
      <w:r w:rsidR="00634760">
        <w:rPr>
          <w:szCs w:val="20"/>
          <w:lang w:val="en-US"/>
        </w:rPr>
        <w:t xml:space="preserve"> National Boards have drawn on the research th</w:t>
      </w:r>
      <w:r>
        <w:rPr>
          <w:szCs w:val="20"/>
          <w:lang w:val="en-US"/>
        </w:rPr>
        <w:t>at is available as well as their</w:t>
      </w:r>
      <w:r w:rsidR="00634760">
        <w:rPr>
          <w:szCs w:val="20"/>
          <w:lang w:val="en-US"/>
        </w:rPr>
        <w:t xml:space="preserve"> regulatory experience </w:t>
      </w:r>
      <w:r>
        <w:rPr>
          <w:szCs w:val="20"/>
          <w:lang w:val="en-US"/>
        </w:rPr>
        <w:t xml:space="preserve">and the experience of other National Boards </w:t>
      </w:r>
      <w:r w:rsidR="00634760">
        <w:rPr>
          <w:szCs w:val="20"/>
          <w:lang w:val="en-US"/>
        </w:rPr>
        <w:t xml:space="preserve">to set requirements for recent practice. </w:t>
      </w:r>
    </w:p>
    <w:p w14:paraId="3E907F31" w14:textId="291EB52C" w:rsidR="00C9420D" w:rsidRDefault="004B2810" w:rsidP="001612C7">
      <w:pPr>
        <w:pStyle w:val="BodyText"/>
      </w:pPr>
      <w:r>
        <w:t>The</w:t>
      </w:r>
      <w:r w:rsidR="00803F46">
        <w:t xml:space="preserve"> proposed ROP registration standards </w:t>
      </w:r>
      <w:r w:rsidR="00C9420D">
        <w:t>require</w:t>
      </w:r>
      <w:r w:rsidR="00C9420D" w:rsidRPr="002D33AA">
        <w:t xml:space="preserve"> a minimum of 450 hours of practice</w:t>
      </w:r>
      <w:r>
        <w:t xml:space="preserve"> (approximately 3 months full time practice)</w:t>
      </w:r>
      <w:r w:rsidR="00C9420D" w:rsidRPr="002D33AA">
        <w:t xml:space="preserve"> in a three year period</w:t>
      </w:r>
      <w:r>
        <w:t xml:space="preserve"> or 150 hours of practice (approximately 1 months full time practice) in the year before applying for registration </w:t>
      </w:r>
      <w:r w:rsidR="00803F46">
        <w:t>in order to meet the minimum requirements of the RO</w:t>
      </w:r>
      <w:r w:rsidR="00C9420D">
        <w:t>P</w:t>
      </w:r>
      <w:r w:rsidR="00803F46">
        <w:t xml:space="preserve"> standards.</w:t>
      </w:r>
      <w:r w:rsidR="00C9420D" w:rsidRPr="002D33AA">
        <w:t xml:space="preserve"> </w:t>
      </w:r>
      <w:r>
        <w:t>The Occupational Therapy Board considered their current requirement of 750 hours of practice (approximately 5 months full time practice) in the previous 5 years and as there have been no regulatory risks identified in relation to this requirement decided to retain the requirement in addition to the common requirements.</w:t>
      </w:r>
    </w:p>
    <w:p w14:paraId="23CBD591" w14:textId="246A9434" w:rsidR="008110C8" w:rsidRDefault="008110C8" w:rsidP="001612C7">
      <w:pPr>
        <w:pStyle w:val="BodyText"/>
      </w:pPr>
      <w:r>
        <w:t xml:space="preserve">The Chinese Medicine Board registers practitioners in </w:t>
      </w:r>
      <w:r w:rsidR="00231BBB">
        <w:t xml:space="preserve">up to three divisions and the standard </w:t>
      </w:r>
      <w:r>
        <w:t xml:space="preserve">requires practitioners who are </w:t>
      </w:r>
      <w:r w:rsidRPr="00F5045A">
        <w:rPr>
          <w:rFonts w:cs="Times New Roman"/>
          <w:szCs w:val="20"/>
        </w:rPr>
        <w:t>registered in more than one division to maintain recency in each division in which they are registered</w:t>
      </w:r>
      <w:r w:rsidR="00231BBB">
        <w:rPr>
          <w:rFonts w:cs="Times New Roman"/>
          <w:szCs w:val="20"/>
        </w:rPr>
        <w:t>.</w:t>
      </w:r>
    </w:p>
    <w:p w14:paraId="24B73801" w14:textId="7ED08B99" w:rsidR="002E0240" w:rsidRDefault="002E0240" w:rsidP="001612C7">
      <w:pPr>
        <w:pStyle w:val="BodyText"/>
      </w:pPr>
      <w:r>
        <w:t>The proposed standard includes a requirement for practitioners who are</w:t>
      </w:r>
      <w:r w:rsidR="008110C8">
        <w:t xml:space="preserve"> extending their scope of practice to complete advanced training or preparation to ensure that they are competent and those who are</w:t>
      </w:r>
      <w:r>
        <w:t xml:space="preserve"> making a </w:t>
      </w:r>
      <w:r w:rsidR="008110C8">
        <w:t>substantial change to a different scope (for example from an administrative to a clinical role) to submit a plan for professional development to the Board for approval prior to their commencing the extended scope of practice.</w:t>
      </w:r>
    </w:p>
    <w:p w14:paraId="1994C8DC" w14:textId="77777777" w:rsidR="00C9420D" w:rsidRPr="00F81383" w:rsidRDefault="00C9420D" w:rsidP="00C9420D">
      <w:pPr>
        <w:pStyle w:val="BodyTextIndent3"/>
        <w:numPr>
          <w:ilvl w:val="0"/>
          <w:numId w:val="42"/>
        </w:numPr>
        <w:spacing w:before="200" w:after="0"/>
        <w:jc w:val="left"/>
        <w:rPr>
          <w:b/>
          <w:color w:val="007DC3"/>
          <w:sz w:val="20"/>
          <w:szCs w:val="20"/>
        </w:rPr>
      </w:pPr>
      <w:r w:rsidRPr="00F81383">
        <w:rPr>
          <w:b/>
          <w:color w:val="007DC3"/>
          <w:sz w:val="20"/>
          <w:szCs w:val="20"/>
        </w:rPr>
        <w:t xml:space="preserve">Conclusion </w:t>
      </w:r>
    </w:p>
    <w:p w14:paraId="7BEA557E" w14:textId="13BC3FB0" w:rsidR="00C9420D" w:rsidRPr="00297D54" w:rsidRDefault="00C9420D" w:rsidP="001612C7">
      <w:pPr>
        <w:pStyle w:val="BodyText"/>
      </w:pPr>
      <w:r>
        <w:t xml:space="preserve">National </w:t>
      </w:r>
      <w:r w:rsidRPr="0047264E">
        <w:t>Boards consider that the revis</w:t>
      </w:r>
      <w:r>
        <w:t xml:space="preserve">ed </w:t>
      </w:r>
      <w:r w:rsidRPr="0047264E">
        <w:t>registration standards provide a</w:t>
      </w:r>
      <w:r w:rsidR="00231BBB">
        <w:t xml:space="preserve"> balance between public safety and regulatory burden by allowing practitioners flexibility in working arrangements while addressing the need for practitioners to maintain their knowledge and skills and remain up to date</w:t>
      </w:r>
      <w:r w:rsidR="00D4503B">
        <w:t xml:space="preserve"> in their scope of practice</w:t>
      </w:r>
      <w:r w:rsidR="00231BBB">
        <w:t xml:space="preserve"> to </w:t>
      </w:r>
      <w:r w:rsidRPr="0047264E">
        <w:t xml:space="preserve">ensure </w:t>
      </w:r>
      <w:r>
        <w:t xml:space="preserve">public protection. </w:t>
      </w:r>
    </w:p>
    <w:p w14:paraId="67DEBE1A" w14:textId="20985B7F" w:rsidR="00C9420D" w:rsidRPr="001E5C13" w:rsidRDefault="00C9420D" w:rsidP="00681BC6">
      <w:pPr>
        <w:pStyle w:val="BodyText"/>
      </w:pPr>
      <w:r w:rsidRPr="002246FD">
        <w:t>The National Boards</w:t>
      </w:r>
      <w:r w:rsidR="00780D90">
        <w:t xml:space="preserve"> received feedback stating that some practitioners were unclear about their responsibility to remain recent in their scope of practice. National Boards</w:t>
      </w:r>
      <w:r w:rsidR="00231BBB">
        <w:t xml:space="preserve"> will publish additional </w:t>
      </w:r>
      <w:r w:rsidR="00780D90">
        <w:t xml:space="preserve">explanatory </w:t>
      </w:r>
      <w:r w:rsidR="00231BBB">
        <w:t xml:space="preserve">material </w:t>
      </w:r>
      <w:r w:rsidR="00780D90">
        <w:t>including more detailed guidance about what National Boards might require when assessing a practitioner who does not meet the recency of practice requirements’ application for registration</w:t>
      </w:r>
      <w:r>
        <w:t xml:space="preserve">. </w:t>
      </w:r>
    </w:p>
    <w:p w14:paraId="66A0976C" w14:textId="77777777" w:rsidR="00C9420D" w:rsidRPr="0002681B" w:rsidRDefault="00C9420D" w:rsidP="0002681B">
      <w:pPr>
        <w:jc w:val="left"/>
        <w:rPr>
          <w:rFonts w:eastAsia="Cambria"/>
          <w:sz w:val="20"/>
          <w:lang w:eastAsia="en-US"/>
        </w:rPr>
      </w:pPr>
    </w:p>
    <w:sectPr w:rsidR="00C9420D"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D8DD" w14:textId="77777777" w:rsidR="00B61358" w:rsidRDefault="00B61358" w:rsidP="00FC2881">
      <w:r>
        <w:separator/>
      </w:r>
    </w:p>
    <w:p w14:paraId="513B8148" w14:textId="77777777" w:rsidR="00B61358" w:rsidRDefault="00B61358"/>
    <w:p w14:paraId="72DB8FAE" w14:textId="77777777" w:rsidR="00B61358" w:rsidRDefault="00B61358"/>
    <w:p w14:paraId="6C23EEF5" w14:textId="77777777" w:rsidR="00B61358" w:rsidRDefault="00B61358"/>
  </w:endnote>
  <w:endnote w:type="continuationSeparator" w:id="0">
    <w:p w14:paraId="5DDE2023" w14:textId="77777777" w:rsidR="00B61358" w:rsidRDefault="00B61358" w:rsidP="00FC2881">
      <w:r>
        <w:continuationSeparator/>
      </w:r>
    </w:p>
    <w:p w14:paraId="2D83CFDC" w14:textId="77777777" w:rsidR="00B61358" w:rsidRDefault="00B61358"/>
    <w:p w14:paraId="34C9E90A" w14:textId="77777777" w:rsidR="00B61358" w:rsidRDefault="00B61358"/>
    <w:p w14:paraId="40FDEE5D" w14:textId="77777777" w:rsidR="00B61358" w:rsidRDefault="00B6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DE3A" w14:textId="77777777" w:rsidR="00B61358" w:rsidRDefault="00B61358" w:rsidP="00FC2881">
    <w:pPr>
      <w:framePr w:wrap="around" w:vAnchor="text" w:hAnchor="margin" w:xAlign="right" w:y="1"/>
    </w:pPr>
    <w:r>
      <w:rPr>
        <w:noProof w:val="0"/>
      </w:rPr>
      <w:fldChar w:fldCharType="begin"/>
    </w:r>
    <w:r>
      <w:instrText xml:space="preserve">PAGE  </w:instrText>
    </w:r>
    <w:r>
      <w:rPr>
        <w:noProof w:val="0"/>
      </w:rPr>
      <w:fldChar w:fldCharType="separate"/>
    </w:r>
    <w:r>
      <w:t>2</w:t>
    </w:r>
    <w:r>
      <w:fldChar w:fldCharType="end"/>
    </w:r>
  </w:p>
  <w:p w14:paraId="70C01602" w14:textId="77777777" w:rsidR="00B61358" w:rsidRDefault="00B61358" w:rsidP="00FC2881">
    <w:pPr>
      <w:ind w:right="360"/>
    </w:pPr>
  </w:p>
  <w:p w14:paraId="14193ABF" w14:textId="77777777" w:rsidR="00B61358" w:rsidRDefault="00B61358"/>
  <w:p w14:paraId="26EF7A25" w14:textId="77777777" w:rsidR="00B61358" w:rsidRDefault="00B61358"/>
  <w:p w14:paraId="4C2D9F3A" w14:textId="77777777" w:rsidR="00B61358" w:rsidRDefault="00B613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581" w14:textId="7D52C9A1" w:rsidR="00B61358" w:rsidRDefault="001570CC"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B61358" w:rsidRPr="005E3688">
          <w:t xml:space="preserve">Page </w:t>
        </w:r>
        <w:r w:rsidR="00B61358" w:rsidRPr="005E3688">
          <w:fldChar w:fldCharType="begin"/>
        </w:r>
        <w:r w:rsidR="00B61358" w:rsidRPr="005E3688">
          <w:instrText xml:space="preserve"> PAGE </w:instrText>
        </w:r>
        <w:r w:rsidR="00B61358" w:rsidRPr="005E3688">
          <w:fldChar w:fldCharType="separate"/>
        </w:r>
        <w:r w:rsidR="00780D90">
          <w:t>2</w:t>
        </w:r>
        <w:r w:rsidR="00B61358" w:rsidRPr="005E3688">
          <w:fldChar w:fldCharType="end"/>
        </w:r>
        <w:r w:rsidR="00B61358" w:rsidRPr="005E3688">
          <w:t xml:space="preserve"> of </w:t>
        </w:r>
        <w:r w:rsidR="00B61358" w:rsidRPr="005E3688">
          <w:fldChar w:fldCharType="begin"/>
        </w:r>
        <w:r w:rsidR="00B61358" w:rsidRPr="005E3688">
          <w:instrText xml:space="preserve"> NUMPAGES  </w:instrText>
        </w:r>
        <w:r w:rsidR="00B61358" w:rsidRPr="005E3688">
          <w:fldChar w:fldCharType="separate"/>
        </w:r>
        <w:r w:rsidR="00780D90">
          <w:t>2</w:t>
        </w:r>
        <w:r w:rsidR="00B61358" w:rsidRPr="005E3688">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7CB3" w14:textId="792210C5" w:rsidR="00B61358" w:rsidRPr="000E73BC" w:rsidRDefault="00B61358"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separate"/>
    </w:r>
    <w:r w:rsidR="001570CC">
      <w:rPr>
        <w:b/>
      </w:rPr>
      <w:t>Australian</w: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sidR="001570CC">
      <w:rPr>
        <w:rStyle w:val="Blue"/>
        <w:b/>
      </w:rPr>
      <w:t>Health Practitioner</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sidR="001570CC">
      <w:rPr>
        <w:b/>
      </w:rPr>
      <w:t>Regulation Agency</w:t>
    </w:r>
    <w:r w:rsidRPr="000E73BC">
      <w:rPr>
        <w:b/>
      </w:rPr>
      <w:fldChar w:fldCharType="end"/>
    </w:r>
  </w:p>
  <w:p w14:paraId="429799FF" w14:textId="02462889" w:rsidR="00B61358" w:rsidRPr="004746DB" w:rsidRDefault="00B61358" w:rsidP="00FD77AB">
    <w:pPr>
      <w:pStyle w:val="Footer"/>
      <w:ind w:right="-15"/>
    </w:pPr>
    <w:r w:rsidRPr="003251B0">
      <w:t xml:space="preserve">G.P.O. Box 9958   </w:t>
    </w:r>
    <w:r w:rsidRPr="003251B0">
      <w:rPr>
        <w:b/>
        <w:color w:val="007DC3"/>
      </w:rPr>
      <w:t>|</w:t>
    </w:r>
    <w:r w:rsidRPr="003251B0">
      <w:t xml:space="preserve">   </w:t>
    </w:r>
    <w:r w:rsidR="001570CC">
      <w:fldChar w:fldCharType="begin"/>
    </w:r>
    <w:r w:rsidR="001570CC">
      <w:instrText xml:space="preserve"> DOCPROPERTY  xOffice  \* MERGEFORMAT </w:instrText>
    </w:r>
    <w:r w:rsidR="001570CC">
      <w:fldChar w:fldCharType="separate"/>
    </w:r>
    <w:r w:rsidR="001570CC">
      <w:t>Melbourne VIC 3001</w:t>
    </w:r>
    <w:r w:rsidR="001570CC">
      <w:fldChar w:fldCharType="end"/>
    </w:r>
    <w:r w:rsidRPr="003251B0">
      <w:t xml:space="preserve">   </w:t>
    </w:r>
    <w:r w:rsidRPr="003251B0">
      <w:rPr>
        <w:b/>
        <w:color w:val="007DC3"/>
      </w:rPr>
      <w:t>|</w:t>
    </w:r>
    <w:r w:rsidRPr="003251B0">
      <w:t xml:space="preserve">   </w:t>
    </w:r>
    <w:r w:rsidR="001570CC">
      <w:fldChar w:fldCharType="begin"/>
    </w:r>
    <w:r w:rsidR="001570CC">
      <w:instrText xml:space="preserve"> DOCPROPERTY  xWeb  \* MERGEFORMAT </w:instrText>
    </w:r>
    <w:r w:rsidR="001570CC">
      <w:fldChar w:fldCharType="separate"/>
    </w:r>
    <w:r w:rsidR="001570CC">
      <w:t>www.ahpra.gov.au</w:t>
    </w:r>
    <w:r w:rsidR="001570CC">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D115" w14:textId="77777777" w:rsidR="00B61358" w:rsidRDefault="00B61358" w:rsidP="000E7E28">
      <w:r>
        <w:separator/>
      </w:r>
    </w:p>
    <w:p w14:paraId="31A60439" w14:textId="77777777" w:rsidR="00B61358" w:rsidRDefault="00B61358"/>
    <w:p w14:paraId="48FCC045" w14:textId="77777777" w:rsidR="00B61358" w:rsidRDefault="00B61358"/>
  </w:footnote>
  <w:footnote w:type="continuationSeparator" w:id="0">
    <w:p w14:paraId="0B8FEA39" w14:textId="77777777" w:rsidR="00B61358" w:rsidRDefault="00B61358" w:rsidP="00FC2881">
      <w:r>
        <w:continuationSeparator/>
      </w:r>
    </w:p>
    <w:p w14:paraId="2B1954A4" w14:textId="77777777" w:rsidR="00B61358" w:rsidRDefault="00B61358"/>
    <w:p w14:paraId="05D0D972" w14:textId="77777777" w:rsidR="00B61358" w:rsidRDefault="00B61358"/>
    <w:p w14:paraId="383290EE" w14:textId="77777777" w:rsidR="00B61358" w:rsidRDefault="00B61358"/>
  </w:footnote>
  <w:footnote w:type="continuationNotice" w:id="1">
    <w:p w14:paraId="0FAA49CF" w14:textId="77777777" w:rsidR="00B61358" w:rsidRDefault="00B61358"/>
    <w:p w14:paraId="12DE3DFA" w14:textId="77777777" w:rsidR="00B61358" w:rsidRDefault="00B61358"/>
    <w:p w14:paraId="72FC6700" w14:textId="77777777" w:rsidR="00B61358" w:rsidRDefault="00B61358"/>
  </w:footnote>
  <w:footnote w:id="2">
    <w:p w14:paraId="22ADAC67" w14:textId="77777777" w:rsidR="00B65D53" w:rsidRPr="00D75474" w:rsidRDefault="00B65D53" w:rsidP="00B65D53">
      <w:pPr>
        <w:pStyle w:val="FootnoteText"/>
        <w:rPr>
          <w:rFonts w:cs="Arial"/>
          <w:szCs w:val="18"/>
        </w:rPr>
      </w:pPr>
      <w:r w:rsidRPr="00D75474">
        <w:rPr>
          <w:rStyle w:val="FootnoteReference"/>
          <w:rFonts w:cs="Arial"/>
          <w:szCs w:val="18"/>
        </w:rPr>
        <w:footnoteRef/>
      </w:r>
      <w:r w:rsidRPr="00D75474">
        <w:rPr>
          <w:rFonts w:cs="Arial"/>
          <w:szCs w:val="18"/>
        </w:rPr>
        <w:t xml:space="preserve"> The </w:t>
      </w:r>
      <w:r w:rsidRPr="00D75474">
        <w:rPr>
          <w:rFonts w:cs="Arial"/>
          <w:i/>
          <w:szCs w:val="18"/>
        </w:rPr>
        <w:t>National Health Practitioner Regulation Law</w:t>
      </w:r>
      <w:r w:rsidRPr="00D75474">
        <w:rPr>
          <w:rFonts w:cs="Arial"/>
          <w:szCs w:val="18"/>
        </w:rPr>
        <w:t xml:space="preserve"> as in force in each state and territory.</w:t>
      </w:r>
    </w:p>
  </w:footnote>
  <w:footnote w:id="3">
    <w:p w14:paraId="3454E2BD" w14:textId="77777777" w:rsidR="00B65D53" w:rsidRPr="00D75474" w:rsidRDefault="00B65D53" w:rsidP="00B65D53">
      <w:pPr>
        <w:pStyle w:val="FootnoteText"/>
        <w:spacing w:after="100"/>
        <w:rPr>
          <w:rFonts w:cs="Arial"/>
          <w:szCs w:val="18"/>
        </w:rPr>
      </w:pPr>
      <w:r w:rsidRPr="00D75474">
        <w:rPr>
          <w:rStyle w:val="FootnoteReference"/>
          <w:rFonts w:cs="Arial"/>
          <w:szCs w:val="18"/>
        </w:rPr>
        <w:footnoteRef/>
      </w:r>
      <w:r w:rsidRPr="00D75474">
        <w:rPr>
          <w:rFonts w:cs="Arial"/>
          <w:szCs w:val="18"/>
        </w:rPr>
        <w:t xml:space="preserve"> The National Registration and Accreditation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C062" w14:textId="77777777" w:rsidR="00B61358" w:rsidRDefault="00B61358" w:rsidP="002A000E">
    <w:pPr>
      <w:pStyle w:val="Header"/>
      <w:spacing w:after="0"/>
      <w:ind w:right="-3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DB08" w14:textId="4751C13A" w:rsidR="00B61358" w:rsidRDefault="00193CEE" w:rsidP="00193CEE">
    <w:pPr>
      <w:pStyle w:val="Header"/>
      <w:tabs>
        <w:tab w:val="left" w:pos="6885"/>
        <w:tab w:val="right" w:pos="9781"/>
      </w:tabs>
      <w:jc w:val="left"/>
    </w:pPr>
    <w:r>
      <w:tab/>
    </w:r>
    <w:r>
      <w:tab/>
    </w:r>
    <w:r w:rsidR="00B61358" w:rsidRPr="00D043FE">
      <w:rPr>
        <w:lang w:eastAsia="en-AU"/>
      </w:rPr>
      <w:drawing>
        <wp:anchor distT="0" distB="0" distL="114300" distR="114300" simplePos="0" relativeHeight="251658240" behindDoc="1" locked="0" layoutInCell="1" allowOverlap="1" wp14:anchorId="23BA3466" wp14:editId="26C32830">
          <wp:simplePos x="0" y="0"/>
          <wp:positionH relativeFrom="column">
            <wp:align>right</wp:align>
          </wp:positionH>
          <wp:positionV relativeFrom="paragraph">
            <wp:posOffset>0</wp:posOffset>
          </wp:positionV>
          <wp:extent cx="2707200" cy="1008000"/>
          <wp:effectExtent l="0" t="0" r="0" b="0"/>
          <wp:wrapNone/>
          <wp:docPr id="35" name="Picture 35"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34A3D"/>
    <w:multiLevelType w:val="hybridMultilevel"/>
    <w:tmpl w:val="9D5EAD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E326A1"/>
    <w:multiLevelType w:val="hybridMultilevel"/>
    <w:tmpl w:val="3260F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4"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5"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0"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7"/>
  </w:num>
  <w:num w:numId="2">
    <w:abstractNumId w:val="22"/>
  </w:num>
  <w:num w:numId="3">
    <w:abstractNumId w:val="14"/>
  </w:num>
  <w:num w:numId="4">
    <w:abstractNumId w:val="29"/>
  </w:num>
  <w:num w:numId="5">
    <w:abstractNumId w:val="23"/>
  </w:num>
  <w:num w:numId="6">
    <w:abstractNumId w:val="10"/>
  </w:num>
  <w:num w:numId="7">
    <w:abstractNumId w:val="15"/>
  </w:num>
  <w:num w:numId="8">
    <w:abstractNumId w:val="19"/>
  </w:num>
  <w:num w:numId="9">
    <w:abstractNumId w:val="30"/>
  </w:num>
  <w:num w:numId="10">
    <w:abstractNumId w:val="24"/>
  </w:num>
  <w:num w:numId="11">
    <w:abstractNumId w:val="13"/>
  </w:num>
  <w:num w:numId="12">
    <w:abstractNumId w:val="12"/>
  </w:num>
  <w:num w:numId="13">
    <w:abstractNumId w:val="31"/>
  </w:num>
  <w:num w:numId="14">
    <w:abstractNumId w:val="26"/>
  </w:num>
  <w:num w:numId="15">
    <w:abstractNumId w:val="25"/>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8"/>
  </w:num>
  <w:num w:numId="41">
    <w:abstractNumId w:val="17"/>
  </w:num>
  <w:num w:numId="42">
    <w:abstractNumId w:val="20"/>
  </w:num>
  <w:num w:numId="4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C9420D"/>
    <w:rsid w:val="00000033"/>
    <w:rsid w:val="000002E9"/>
    <w:rsid w:val="0000133C"/>
    <w:rsid w:val="0000161A"/>
    <w:rsid w:val="00006922"/>
    <w:rsid w:val="00015810"/>
    <w:rsid w:val="00017F92"/>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570CC"/>
    <w:rsid w:val="001602DD"/>
    <w:rsid w:val="001612BA"/>
    <w:rsid w:val="001612C7"/>
    <w:rsid w:val="00162013"/>
    <w:rsid w:val="00164F0C"/>
    <w:rsid w:val="001765D0"/>
    <w:rsid w:val="00193CEE"/>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1BBB"/>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240"/>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219D1"/>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B6D0C"/>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2810"/>
    <w:rsid w:val="004B5E85"/>
    <w:rsid w:val="004B747B"/>
    <w:rsid w:val="004C28C6"/>
    <w:rsid w:val="004C6889"/>
    <w:rsid w:val="004D64B2"/>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6043"/>
    <w:rsid w:val="00617D0C"/>
    <w:rsid w:val="00620ADC"/>
    <w:rsid w:val="00623CAA"/>
    <w:rsid w:val="00624930"/>
    <w:rsid w:val="006277AF"/>
    <w:rsid w:val="00627B20"/>
    <w:rsid w:val="00627E73"/>
    <w:rsid w:val="00630DEE"/>
    <w:rsid w:val="00634760"/>
    <w:rsid w:val="0064047A"/>
    <w:rsid w:val="00640B2C"/>
    <w:rsid w:val="0064245E"/>
    <w:rsid w:val="006549DA"/>
    <w:rsid w:val="00654FC8"/>
    <w:rsid w:val="00661D95"/>
    <w:rsid w:val="00662594"/>
    <w:rsid w:val="00667CAD"/>
    <w:rsid w:val="006804B9"/>
    <w:rsid w:val="00681BC6"/>
    <w:rsid w:val="00681D5E"/>
    <w:rsid w:val="0068203A"/>
    <w:rsid w:val="0068314E"/>
    <w:rsid w:val="0068396D"/>
    <w:rsid w:val="0069168C"/>
    <w:rsid w:val="006951A5"/>
    <w:rsid w:val="006A32D2"/>
    <w:rsid w:val="006A466A"/>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0D90"/>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7F26E0"/>
    <w:rsid w:val="00801E9C"/>
    <w:rsid w:val="008022D6"/>
    <w:rsid w:val="00803F46"/>
    <w:rsid w:val="008104C2"/>
    <w:rsid w:val="008110C8"/>
    <w:rsid w:val="00812DED"/>
    <w:rsid w:val="00813B57"/>
    <w:rsid w:val="00824427"/>
    <w:rsid w:val="00825AE0"/>
    <w:rsid w:val="008338F7"/>
    <w:rsid w:val="0083440F"/>
    <w:rsid w:val="00836397"/>
    <w:rsid w:val="00845054"/>
    <w:rsid w:val="0084692E"/>
    <w:rsid w:val="00852D1C"/>
    <w:rsid w:val="008531C9"/>
    <w:rsid w:val="00853A6B"/>
    <w:rsid w:val="00856147"/>
    <w:rsid w:val="008567AE"/>
    <w:rsid w:val="00860F40"/>
    <w:rsid w:val="008615C9"/>
    <w:rsid w:val="00862C03"/>
    <w:rsid w:val="00864020"/>
    <w:rsid w:val="0086693C"/>
    <w:rsid w:val="0087000E"/>
    <w:rsid w:val="00870052"/>
    <w:rsid w:val="00877659"/>
    <w:rsid w:val="008811D6"/>
    <w:rsid w:val="008850DC"/>
    <w:rsid w:val="00887B0A"/>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0633"/>
    <w:rsid w:val="00962BBE"/>
    <w:rsid w:val="00967F43"/>
    <w:rsid w:val="0097049B"/>
    <w:rsid w:val="00975A29"/>
    <w:rsid w:val="009777D3"/>
    <w:rsid w:val="00981019"/>
    <w:rsid w:val="009859E6"/>
    <w:rsid w:val="00996BFC"/>
    <w:rsid w:val="009A0A5D"/>
    <w:rsid w:val="009B1A04"/>
    <w:rsid w:val="009B2EB5"/>
    <w:rsid w:val="009B3558"/>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4F2C"/>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AF63C1"/>
    <w:rsid w:val="00B00D5D"/>
    <w:rsid w:val="00B024B0"/>
    <w:rsid w:val="00B0286D"/>
    <w:rsid w:val="00B0321C"/>
    <w:rsid w:val="00B0484F"/>
    <w:rsid w:val="00B07433"/>
    <w:rsid w:val="00B11E76"/>
    <w:rsid w:val="00B12B91"/>
    <w:rsid w:val="00B15642"/>
    <w:rsid w:val="00B16755"/>
    <w:rsid w:val="00B2529B"/>
    <w:rsid w:val="00B26D66"/>
    <w:rsid w:val="00B3239A"/>
    <w:rsid w:val="00B34EDA"/>
    <w:rsid w:val="00B41762"/>
    <w:rsid w:val="00B473EF"/>
    <w:rsid w:val="00B47520"/>
    <w:rsid w:val="00B51748"/>
    <w:rsid w:val="00B57198"/>
    <w:rsid w:val="00B61358"/>
    <w:rsid w:val="00B61F0F"/>
    <w:rsid w:val="00B65D53"/>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04744"/>
    <w:rsid w:val="00C20513"/>
    <w:rsid w:val="00C35DE1"/>
    <w:rsid w:val="00C35DF3"/>
    <w:rsid w:val="00C3795C"/>
    <w:rsid w:val="00C524AA"/>
    <w:rsid w:val="00C54689"/>
    <w:rsid w:val="00C76587"/>
    <w:rsid w:val="00C808E4"/>
    <w:rsid w:val="00C81B3A"/>
    <w:rsid w:val="00C92CC8"/>
    <w:rsid w:val="00C93A3E"/>
    <w:rsid w:val="00C9420D"/>
    <w:rsid w:val="00C9657C"/>
    <w:rsid w:val="00CA71A1"/>
    <w:rsid w:val="00CB26F9"/>
    <w:rsid w:val="00CB585F"/>
    <w:rsid w:val="00CB6949"/>
    <w:rsid w:val="00CB6C08"/>
    <w:rsid w:val="00CD0DCA"/>
    <w:rsid w:val="00CD2031"/>
    <w:rsid w:val="00CD7EB8"/>
    <w:rsid w:val="00CE48A5"/>
    <w:rsid w:val="00CE7759"/>
    <w:rsid w:val="00CF53B1"/>
    <w:rsid w:val="00CF7A38"/>
    <w:rsid w:val="00D02326"/>
    <w:rsid w:val="00D027F0"/>
    <w:rsid w:val="00D043FE"/>
    <w:rsid w:val="00D12F61"/>
    <w:rsid w:val="00D16224"/>
    <w:rsid w:val="00D201C6"/>
    <w:rsid w:val="00D20413"/>
    <w:rsid w:val="00D2091C"/>
    <w:rsid w:val="00D23C0C"/>
    <w:rsid w:val="00D23D07"/>
    <w:rsid w:val="00D31835"/>
    <w:rsid w:val="00D33992"/>
    <w:rsid w:val="00D4503B"/>
    <w:rsid w:val="00D638E0"/>
    <w:rsid w:val="00D716BA"/>
    <w:rsid w:val="00D73083"/>
    <w:rsid w:val="00D75474"/>
    <w:rsid w:val="00D80E9A"/>
    <w:rsid w:val="00D828BD"/>
    <w:rsid w:val="00D8404D"/>
    <w:rsid w:val="00D934A4"/>
    <w:rsid w:val="00D93AE3"/>
    <w:rsid w:val="00D975C3"/>
    <w:rsid w:val="00DA3013"/>
    <w:rsid w:val="00DA33BB"/>
    <w:rsid w:val="00DA69A8"/>
    <w:rsid w:val="00DA707C"/>
    <w:rsid w:val="00DB1963"/>
    <w:rsid w:val="00DB1F80"/>
    <w:rsid w:val="00DB4AD5"/>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AAF"/>
    <w:rsid w:val="00E15BF6"/>
    <w:rsid w:val="00E165A9"/>
    <w:rsid w:val="00E27505"/>
    <w:rsid w:val="00E37FB9"/>
    <w:rsid w:val="00E40577"/>
    <w:rsid w:val="00E5170F"/>
    <w:rsid w:val="00E555C7"/>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9535D"/>
    <w:rsid w:val="00EA18D5"/>
    <w:rsid w:val="00EA3B57"/>
    <w:rsid w:val="00EB2EE1"/>
    <w:rsid w:val="00ED210E"/>
    <w:rsid w:val="00ED56F0"/>
    <w:rsid w:val="00ED61A9"/>
    <w:rsid w:val="00EE2563"/>
    <w:rsid w:val="00EF1AA8"/>
    <w:rsid w:val="00EF22D0"/>
    <w:rsid w:val="00F10E67"/>
    <w:rsid w:val="00F13ED2"/>
    <w:rsid w:val="00F154E5"/>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2344"/>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8ABF1A"/>
  <w15:docId w15:val="{53BE8F26-6206-4AD5-9853-1459FCCC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rsid w:val="00094E04"/>
    <w:rPr>
      <w:noProof/>
      <w:sz w:val="18"/>
      <w:lang w:val="en-AU"/>
    </w:rPr>
  </w:style>
  <w:style w:type="character" w:styleId="FootnoteReference">
    <w:name w:val="footnote reference"/>
    <w:basedOn w:val="DefaultParagraphFont"/>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99"/>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942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420D"/>
    <w:rPr>
      <w:rFonts w:eastAsia="Times New Roman" w:cs="Arial"/>
      <w:noProof/>
      <w:sz w:val="16"/>
      <w:szCs w:val="16"/>
      <w:lang w:val="en-AU" w:eastAsia="en-AU"/>
    </w:rPr>
  </w:style>
  <w:style w:type="paragraph" w:customStyle="1" w:styleId="Default">
    <w:name w:val="Default"/>
    <w:rsid w:val="00C9420D"/>
    <w:pPr>
      <w:autoSpaceDE w:val="0"/>
      <w:autoSpaceDN w:val="0"/>
      <w:adjustRightInd w:val="0"/>
    </w:pPr>
    <w:rPr>
      <w:rFonts w:cs="Arial"/>
      <w:color w:val="000000"/>
      <w:sz w:val="24"/>
      <w:szCs w:val="24"/>
      <w:lang w:val="en-AU"/>
    </w:rPr>
  </w:style>
  <w:style w:type="character" w:customStyle="1" w:styleId="ListParagraphChar">
    <w:name w:val="List Paragraph Char"/>
    <w:link w:val="ListParagraph"/>
    <w:uiPriority w:val="99"/>
    <w:locked/>
    <w:rsid w:val="00C9420D"/>
    <w:rPr>
      <w:rFonts w:eastAsia="Times New Roman" w:cs="Arial"/>
      <w:noProof/>
      <w:sz w:val="22"/>
      <w:szCs w:val="24"/>
      <w:lang w:val="en-AU" w:eastAsia="en-AU"/>
    </w:rPr>
  </w:style>
  <w:style w:type="paragraph" w:customStyle="1" w:styleId="AHPRAHeadline">
    <w:name w:val="AHPRA Headline"/>
    <w:basedOn w:val="Normal"/>
    <w:qFormat/>
    <w:rsid w:val="00C9420D"/>
    <w:pPr>
      <w:spacing w:after="200"/>
      <w:jc w:val="left"/>
    </w:pPr>
    <w:rPr>
      <w:rFonts w:eastAsia="Cambria" w:cs="Times New Roman"/>
      <w:noProof w:val="0"/>
      <w:color w:val="008EC4"/>
      <w:sz w:val="28"/>
      <w:lang w:eastAsia="en-US"/>
    </w:rPr>
  </w:style>
  <w:style w:type="paragraph" w:styleId="CommentText">
    <w:name w:val="annotation text"/>
    <w:basedOn w:val="Normal"/>
    <w:link w:val="CommentTextChar"/>
    <w:uiPriority w:val="1"/>
    <w:semiHidden/>
    <w:unhideWhenUsed/>
    <w:rsid w:val="009B3558"/>
    <w:rPr>
      <w:sz w:val="20"/>
      <w:szCs w:val="20"/>
    </w:rPr>
  </w:style>
  <w:style w:type="character" w:customStyle="1" w:styleId="CommentTextChar">
    <w:name w:val="Comment Text Char"/>
    <w:basedOn w:val="DefaultParagraphFont"/>
    <w:link w:val="CommentText"/>
    <w:uiPriority w:val="1"/>
    <w:semiHidden/>
    <w:rsid w:val="009B3558"/>
    <w:rPr>
      <w:rFonts w:eastAsia="Times New Roman" w:cs="Arial"/>
      <w:noProof/>
      <w:lang w:val="en-AU" w:eastAsia="en-AU"/>
    </w:rPr>
  </w:style>
  <w:style w:type="paragraph" w:styleId="Revision">
    <w:name w:val="Revision"/>
    <w:hidden/>
    <w:semiHidden/>
    <w:rsid w:val="00E15AAF"/>
    <w:rPr>
      <w:rFonts w:eastAsia="Times New Roman" w:cs="Arial"/>
      <w:noProof/>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AAE3-3F32-43C3-BEEC-C1CFBD1E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2</Pages>
  <Words>748</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Consultation report: Recency of practice (RoP)</vt:lpstr>
    </vt:vector>
  </TitlesOfParts>
  <Company>Johanna Villani Design</Company>
  <LinksUpToDate>false</LinksUpToDate>
  <CharactersWithSpaces>5148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Recency of practice (RoP)</dc:title>
  <dc:subject>Report</dc:subject>
  <dc:creator>AHPRA</dc:creator>
  <cp:lastModifiedBy>Fumi Goto</cp:lastModifiedBy>
  <cp:revision>4</cp:revision>
  <cp:lastPrinted>2019-07-29T05:35:00Z</cp:lastPrinted>
  <dcterms:created xsi:type="dcterms:W3CDTF">2019-07-25T00:51:00Z</dcterms:created>
  <dcterms:modified xsi:type="dcterms:W3CDTF">2019-07-29T05:36:00Z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