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5330A7" w:rsidRDefault="000616C2" w:rsidP="00512558">
      <w:pPr>
        <w:pStyle w:val="AHPRADocumenttitle"/>
      </w:pPr>
      <w:bookmarkStart w:id="0" w:name="_GoBack"/>
      <w:bookmarkEnd w:id="0"/>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95pt;margin-top:34.3pt;width:252.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pJ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tJ4tUr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"/>
        </w:pict>
      </w:r>
      <w:r w:rsidR="00F26D5B">
        <w:rPr>
          <w:noProof/>
          <w:lang w:val="en-GB" w:eastAsia="en-GB"/>
        </w:rPr>
        <w:t>AHPRA Management Policy – Regulatory Operations</w:t>
      </w:r>
    </w:p>
    <w:p w:rsidR="008424C4" w:rsidRDefault="00F26D5B" w:rsidP="00CC4083">
      <w:pPr>
        <w:pStyle w:val="AHPRADocumentsubheading"/>
        <w:spacing w:before="360" w:after="0"/>
      </w:pPr>
      <w:r>
        <w:t xml:space="preserve">Operational Policy:  </w:t>
      </w:r>
      <w:r w:rsidR="00814C59" w:rsidRPr="00816992">
        <w:rPr>
          <w:szCs w:val="28"/>
        </w:rPr>
        <w:t xml:space="preserve">Monitoring </w:t>
      </w:r>
      <w:r w:rsidR="0097244D">
        <w:rPr>
          <w:szCs w:val="28"/>
        </w:rPr>
        <w:t xml:space="preserve">prohibited </w:t>
      </w:r>
      <w:r w:rsidR="009F7AE7">
        <w:rPr>
          <w:szCs w:val="28"/>
        </w:rPr>
        <w:t>registrants</w:t>
      </w:r>
      <w:r w:rsidR="00F5556F">
        <w:rPr>
          <w:szCs w:val="28"/>
        </w:rPr>
        <w:t xml:space="preserve"> </w:t>
      </w:r>
    </w:p>
    <w:p w:rsidR="007B1255" w:rsidRDefault="000616C2" w:rsidP="007B1255">
      <w:pPr>
        <w:pStyle w:val="AHPRAbody"/>
      </w:pPr>
      <w:r>
        <w:pict>
          <v:rect id="_x0000_i1025" style="width:0;height:1.5pt" o:hralign="center" o:hrstd="t" o:hr="t" fillcolor="#a0a0a0" stroked="f"/>
        </w:pict>
      </w:r>
    </w:p>
    <w:p w:rsidR="00FD2AEF" w:rsidRDefault="00814C59" w:rsidP="00FD2AEF">
      <w:pPr>
        <w:pStyle w:val="AHPRASubheading"/>
        <w:spacing w:before="120" w:after="120"/>
      </w:pPr>
      <w:r>
        <w:t>Division</w:t>
      </w:r>
    </w:p>
    <w:p w:rsidR="00CC4083" w:rsidRPr="00CC4083" w:rsidRDefault="00CC4083" w:rsidP="00260015">
      <w:pPr>
        <w:pStyle w:val="AHPRASubheading"/>
        <w:spacing w:before="120" w:after="120"/>
        <w:rPr>
          <w:b w:val="0"/>
        </w:rPr>
      </w:pPr>
      <w:r w:rsidRPr="00CC4083">
        <w:rPr>
          <w:rFonts w:cs="Arial"/>
          <w:b w:val="0"/>
          <w:color w:val="auto"/>
        </w:rPr>
        <w:t>Compliance</w:t>
      </w:r>
    </w:p>
    <w:p w:rsidR="007B1255" w:rsidRDefault="005C73D1" w:rsidP="00260015">
      <w:pPr>
        <w:pStyle w:val="AHPRASubheading"/>
        <w:spacing w:before="120" w:after="120"/>
      </w:pPr>
      <w:r>
        <w:t>Purpose</w:t>
      </w:r>
      <w:r w:rsidR="00B5265B">
        <w:t xml:space="preserve">  </w:t>
      </w:r>
    </w:p>
    <w:p w:rsidR="006E44FA" w:rsidRPr="006E44FA" w:rsidRDefault="006A6A15" w:rsidP="006E44FA">
      <w:pPr>
        <w:rPr>
          <w:rFonts w:cs="Arial"/>
          <w:sz w:val="20"/>
          <w:szCs w:val="20"/>
        </w:rPr>
      </w:pPr>
      <w:r>
        <w:rPr>
          <w:rFonts w:cs="Arial"/>
          <w:sz w:val="20"/>
          <w:szCs w:val="20"/>
        </w:rPr>
        <w:t xml:space="preserve">The purpose of this policy is to </w:t>
      </w:r>
      <w:r w:rsidR="0097244D">
        <w:rPr>
          <w:rFonts w:cs="Arial"/>
          <w:sz w:val="20"/>
          <w:szCs w:val="20"/>
        </w:rPr>
        <w:t>ensure tha</w:t>
      </w:r>
      <w:r w:rsidR="006E44FA">
        <w:rPr>
          <w:rFonts w:cs="Arial"/>
          <w:sz w:val="20"/>
          <w:szCs w:val="20"/>
        </w:rPr>
        <w:t>t a consistent and appropriate approach is taken to monitoring</w:t>
      </w:r>
      <w:r w:rsidR="00F57513">
        <w:rPr>
          <w:rFonts w:cs="Arial"/>
          <w:sz w:val="20"/>
          <w:szCs w:val="20"/>
        </w:rPr>
        <w:t xml:space="preserve"> </w:t>
      </w:r>
      <w:r w:rsidR="00BB694C">
        <w:rPr>
          <w:rFonts w:cs="Arial"/>
          <w:sz w:val="20"/>
          <w:szCs w:val="20"/>
        </w:rPr>
        <w:t>registrant’s</w:t>
      </w:r>
      <w:r w:rsidR="006E44FA">
        <w:rPr>
          <w:rFonts w:cs="Arial"/>
          <w:sz w:val="20"/>
          <w:szCs w:val="20"/>
        </w:rPr>
        <w:t xml:space="preserve"> compliance with restrictions that prohibit them from practising and </w:t>
      </w:r>
      <w:r>
        <w:rPr>
          <w:rFonts w:cs="Arial"/>
          <w:sz w:val="20"/>
          <w:szCs w:val="20"/>
        </w:rPr>
        <w:t xml:space="preserve">to the </w:t>
      </w:r>
      <w:r w:rsidR="006E44FA">
        <w:rPr>
          <w:rFonts w:cs="Arial"/>
          <w:sz w:val="20"/>
          <w:szCs w:val="20"/>
        </w:rPr>
        <w:t xml:space="preserve">reporting and managing </w:t>
      </w:r>
      <w:r>
        <w:rPr>
          <w:rFonts w:cs="Arial"/>
          <w:sz w:val="20"/>
          <w:szCs w:val="20"/>
        </w:rPr>
        <w:t xml:space="preserve">of </w:t>
      </w:r>
      <w:r w:rsidR="006E44FA">
        <w:rPr>
          <w:rFonts w:cs="Arial"/>
          <w:sz w:val="20"/>
          <w:szCs w:val="20"/>
        </w:rPr>
        <w:t>suspected non-compliance and non-compliance</w:t>
      </w:r>
      <w:r>
        <w:rPr>
          <w:rFonts w:cs="Arial"/>
          <w:sz w:val="20"/>
          <w:szCs w:val="20"/>
        </w:rPr>
        <w:t xml:space="preserve"> with these restrictions</w:t>
      </w:r>
      <w:r w:rsidR="006E44FA">
        <w:rPr>
          <w:rFonts w:cs="Arial"/>
          <w:sz w:val="20"/>
          <w:szCs w:val="20"/>
        </w:rPr>
        <w:t>. This policy ensure</w:t>
      </w:r>
      <w:r>
        <w:rPr>
          <w:rFonts w:cs="Arial"/>
          <w:sz w:val="20"/>
          <w:szCs w:val="20"/>
        </w:rPr>
        <w:t>s</w:t>
      </w:r>
      <w:r w:rsidR="006E44FA">
        <w:rPr>
          <w:rFonts w:cs="Arial"/>
          <w:sz w:val="20"/>
          <w:szCs w:val="20"/>
        </w:rPr>
        <w:t xml:space="preserve"> that:</w:t>
      </w:r>
    </w:p>
    <w:p w:rsidR="0097244D" w:rsidRPr="0097244D" w:rsidRDefault="0097244D" w:rsidP="0097244D">
      <w:pPr>
        <w:pStyle w:val="AHPRABulletlevel1"/>
        <w:rPr>
          <w:szCs w:val="20"/>
        </w:rPr>
      </w:pPr>
      <w:r w:rsidRPr="0097244D">
        <w:rPr>
          <w:szCs w:val="20"/>
        </w:rPr>
        <w:t>practitioners who are subject to a cancellation order, surrender of registration or change to non-practising registration in lieu of further Part 8 action</w:t>
      </w:r>
      <w:r w:rsidRPr="0097244D">
        <w:rPr>
          <w:rStyle w:val="FootnoteReference"/>
          <w:szCs w:val="20"/>
          <w:vertAlign w:val="baseline"/>
        </w:rPr>
        <w:footnoteReference w:id="1"/>
      </w:r>
      <w:r w:rsidRPr="0097244D">
        <w:rPr>
          <w:szCs w:val="20"/>
        </w:rPr>
        <w:t>, suspension or restriction not to practise</w:t>
      </w:r>
      <w:r w:rsidRPr="0097244D">
        <w:t xml:space="preserve"> do not practice the profession, and</w:t>
      </w:r>
    </w:p>
    <w:p w:rsidR="007320FD" w:rsidRPr="0097244D" w:rsidRDefault="00816992" w:rsidP="0097244D">
      <w:pPr>
        <w:pStyle w:val="AHPRABulletlevel1"/>
        <w:rPr>
          <w:szCs w:val="20"/>
        </w:rPr>
      </w:pPr>
      <w:r w:rsidRPr="0097244D">
        <w:rPr>
          <w:szCs w:val="20"/>
        </w:rPr>
        <w:t xml:space="preserve">students who are subject to suspension of registration or a restriction not to undertake clinical training have ceased the course or have been withdrawn from clinical training. </w:t>
      </w:r>
    </w:p>
    <w:p w:rsidR="007B1255" w:rsidRDefault="005C73D1" w:rsidP="00260015">
      <w:pPr>
        <w:pStyle w:val="AHPRASubheading"/>
        <w:spacing w:before="120" w:after="120"/>
      </w:pPr>
      <w:r>
        <w:t>Policy statement</w:t>
      </w:r>
    </w:p>
    <w:p w:rsidR="006E44FA" w:rsidRPr="006E44FA" w:rsidRDefault="006E44FA" w:rsidP="0097244D">
      <w:pPr>
        <w:rPr>
          <w:rFonts w:cs="Arial"/>
          <w:b/>
          <w:sz w:val="20"/>
          <w:szCs w:val="20"/>
        </w:rPr>
      </w:pPr>
      <w:r>
        <w:rPr>
          <w:rFonts w:cs="Arial"/>
          <w:b/>
          <w:sz w:val="20"/>
          <w:szCs w:val="20"/>
        </w:rPr>
        <w:t xml:space="preserve">Practitioners </w:t>
      </w:r>
    </w:p>
    <w:p w:rsidR="006A6A15" w:rsidRDefault="0097244D" w:rsidP="0097244D">
      <w:pPr>
        <w:rPr>
          <w:rFonts w:cs="Arial"/>
          <w:bCs/>
          <w:sz w:val="20"/>
          <w:szCs w:val="20"/>
        </w:rPr>
      </w:pPr>
      <w:r w:rsidRPr="00814C59">
        <w:rPr>
          <w:rFonts w:cs="Arial"/>
          <w:sz w:val="20"/>
          <w:szCs w:val="20"/>
        </w:rPr>
        <w:t>All practitioners who are prohibited from practising will be monitored to ensure they have ceased practice and</w:t>
      </w:r>
      <w:r>
        <w:rPr>
          <w:rFonts w:cs="Arial"/>
          <w:sz w:val="20"/>
          <w:szCs w:val="20"/>
        </w:rPr>
        <w:t>/or</w:t>
      </w:r>
      <w:r w:rsidR="00556B1A">
        <w:rPr>
          <w:rFonts w:cs="Arial"/>
          <w:sz w:val="20"/>
          <w:szCs w:val="20"/>
        </w:rPr>
        <w:t xml:space="preserve"> do not</w:t>
      </w:r>
      <w:r>
        <w:rPr>
          <w:rFonts w:cs="Arial"/>
          <w:sz w:val="20"/>
          <w:szCs w:val="20"/>
        </w:rPr>
        <w:t xml:space="preserve"> </w:t>
      </w:r>
      <w:r w:rsidRPr="00814C59">
        <w:rPr>
          <w:rFonts w:cs="Arial"/>
          <w:sz w:val="20"/>
          <w:szCs w:val="20"/>
        </w:rPr>
        <w:t xml:space="preserve">continue to </w:t>
      </w:r>
      <w:proofErr w:type="spellStart"/>
      <w:r w:rsidRPr="00814C59">
        <w:rPr>
          <w:rFonts w:cs="Arial"/>
          <w:sz w:val="20"/>
          <w:szCs w:val="20"/>
        </w:rPr>
        <w:t>practise</w:t>
      </w:r>
      <w:proofErr w:type="spellEnd"/>
      <w:r w:rsidRPr="00814C59">
        <w:rPr>
          <w:rFonts w:cs="Arial"/>
          <w:sz w:val="20"/>
          <w:szCs w:val="20"/>
        </w:rPr>
        <w:t xml:space="preserve"> the profession. </w:t>
      </w:r>
      <w:r w:rsidRPr="00814C59">
        <w:rPr>
          <w:rFonts w:cs="Arial"/>
          <w:b/>
          <w:bCs/>
          <w:sz w:val="20"/>
          <w:szCs w:val="20"/>
        </w:rPr>
        <w:t xml:space="preserve">Practice </w:t>
      </w:r>
      <w:r w:rsidRPr="00814C59">
        <w:rPr>
          <w:rFonts w:cs="Arial"/>
          <w:bCs/>
          <w:sz w:val="20"/>
          <w:szCs w:val="20"/>
        </w:rPr>
        <w:t>is</w:t>
      </w:r>
      <w:r>
        <w:rPr>
          <w:rFonts w:cs="Arial"/>
          <w:b/>
          <w:bCs/>
          <w:sz w:val="20"/>
          <w:szCs w:val="20"/>
        </w:rPr>
        <w:t xml:space="preserve"> </w:t>
      </w:r>
      <w:r>
        <w:rPr>
          <w:rFonts w:cs="Arial"/>
          <w:bCs/>
          <w:sz w:val="20"/>
          <w:szCs w:val="20"/>
        </w:rPr>
        <w:t>as defined in the restrictions</w:t>
      </w:r>
      <w:r w:rsidR="006A6A15">
        <w:rPr>
          <w:rFonts w:cs="Arial"/>
          <w:bCs/>
          <w:sz w:val="20"/>
          <w:szCs w:val="20"/>
        </w:rPr>
        <w:t xml:space="preserve">.  </w:t>
      </w:r>
    </w:p>
    <w:p w:rsidR="006A6A15" w:rsidRDefault="006A6A15" w:rsidP="0097244D">
      <w:pPr>
        <w:rPr>
          <w:rFonts w:cs="Arial"/>
          <w:bCs/>
          <w:sz w:val="20"/>
          <w:szCs w:val="20"/>
        </w:rPr>
      </w:pPr>
      <w:r>
        <w:rPr>
          <w:rFonts w:cs="Arial"/>
          <w:bCs/>
          <w:sz w:val="20"/>
          <w:szCs w:val="20"/>
        </w:rPr>
        <w:t xml:space="preserve">If practice is </w:t>
      </w:r>
      <w:r w:rsidR="0097244D">
        <w:rPr>
          <w:rFonts w:cs="Arial"/>
          <w:bCs/>
          <w:sz w:val="20"/>
          <w:szCs w:val="20"/>
        </w:rPr>
        <w:t xml:space="preserve">not defined </w:t>
      </w:r>
      <w:r>
        <w:rPr>
          <w:rFonts w:cs="Arial"/>
          <w:bCs/>
          <w:sz w:val="20"/>
          <w:szCs w:val="20"/>
        </w:rPr>
        <w:t xml:space="preserve">in the restrictions </w:t>
      </w:r>
      <w:r w:rsidR="0097244D">
        <w:rPr>
          <w:rFonts w:cs="Arial"/>
          <w:bCs/>
          <w:sz w:val="20"/>
          <w:szCs w:val="20"/>
        </w:rPr>
        <w:t>for</w:t>
      </w:r>
      <w:r>
        <w:rPr>
          <w:rFonts w:cs="Arial"/>
          <w:bCs/>
          <w:sz w:val="20"/>
          <w:szCs w:val="20"/>
        </w:rPr>
        <w:t xml:space="preserve"> a medical practitioner the meaning is as stated in the Medical Board statement on ‘Medical Registration – What does it mean?’</w:t>
      </w:r>
    </w:p>
    <w:p w:rsidR="0097244D" w:rsidRDefault="006A6A15" w:rsidP="0097244D">
      <w:pPr>
        <w:rPr>
          <w:rFonts w:cs="Arial"/>
          <w:bCs/>
          <w:sz w:val="20"/>
          <w:szCs w:val="20"/>
        </w:rPr>
      </w:pPr>
      <w:r>
        <w:rPr>
          <w:rFonts w:cs="Arial"/>
          <w:bCs/>
          <w:sz w:val="20"/>
          <w:szCs w:val="20"/>
        </w:rPr>
        <w:t>For all other practitioners the definition is as follows</w:t>
      </w:r>
      <w:r w:rsidR="0097244D">
        <w:rPr>
          <w:rFonts w:cs="Arial"/>
          <w:bCs/>
          <w:sz w:val="20"/>
          <w:szCs w:val="20"/>
        </w:rPr>
        <w:t>:</w:t>
      </w:r>
    </w:p>
    <w:p w:rsidR="0097244D" w:rsidRDefault="0097244D" w:rsidP="0097244D">
      <w:pPr>
        <w:autoSpaceDE w:val="0"/>
        <w:autoSpaceDN w:val="0"/>
        <w:adjustRightInd w:val="0"/>
        <w:spacing w:after="0"/>
        <w:rPr>
          <w:rFonts w:cs="Arial"/>
          <w:bCs/>
          <w:sz w:val="20"/>
          <w:szCs w:val="20"/>
        </w:rPr>
      </w:pPr>
    </w:p>
    <w:p w:rsidR="0097244D" w:rsidRDefault="0097244D" w:rsidP="006E44FA">
      <w:pPr>
        <w:autoSpaceDE w:val="0"/>
        <w:autoSpaceDN w:val="0"/>
        <w:adjustRightInd w:val="0"/>
        <w:spacing w:after="0"/>
        <w:rPr>
          <w:b/>
        </w:rPr>
      </w:pPr>
      <w:r w:rsidRPr="00814C59">
        <w:rPr>
          <w:rFonts w:cs="Arial"/>
          <w:b/>
          <w:bCs/>
          <w:sz w:val="20"/>
          <w:szCs w:val="20"/>
        </w:rPr>
        <w:t>Practice</w:t>
      </w:r>
      <w:r>
        <w:rPr>
          <w:rFonts w:cs="Arial"/>
          <w:bCs/>
          <w:sz w:val="20"/>
          <w:szCs w:val="20"/>
        </w:rPr>
        <w:t xml:space="preserve"> </w:t>
      </w:r>
      <w:r w:rsidR="005C1561" w:rsidRPr="005C1561">
        <w:rPr>
          <w:rFonts w:cs="Arial"/>
          <w:bCs/>
          <w:i/>
          <w:sz w:val="20"/>
          <w:szCs w:val="20"/>
        </w:rPr>
        <w:t>means any role, whether remunerated or not</w:t>
      </w:r>
      <w:r w:rsidR="005C1561" w:rsidRPr="005C1561">
        <w:rPr>
          <w:rFonts w:cs="Arial"/>
          <w:b/>
          <w:bCs/>
          <w:i/>
          <w:sz w:val="20"/>
          <w:szCs w:val="20"/>
        </w:rPr>
        <w:t xml:space="preserve">, </w:t>
      </w:r>
      <w:r w:rsidR="005C1561" w:rsidRPr="005C1561">
        <w:rPr>
          <w:rFonts w:cs="Arial"/>
          <w:bCs/>
          <w:i/>
          <w:sz w:val="20"/>
          <w:szCs w:val="20"/>
        </w:rPr>
        <w:t>in which the individual uses their skills and knowledge as health practitioner in their profession. For the purposes of this policy, practice is not restricted to the provision of direct clinical care. It also includes using professional knowledge in a direct nonclinical relationship with clients, working in management, administration, education, research, advisory, regulatory or policy development roles that impact on safe, effective delivery of services in the relevant profession.</w:t>
      </w:r>
    </w:p>
    <w:p w:rsidR="0097244D" w:rsidRDefault="0097244D" w:rsidP="006E44FA">
      <w:pPr>
        <w:autoSpaceDE w:val="0"/>
        <w:autoSpaceDN w:val="0"/>
        <w:adjustRightInd w:val="0"/>
        <w:spacing w:after="0"/>
        <w:rPr>
          <w:b/>
        </w:rPr>
      </w:pPr>
    </w:p>
    <w:p w:rsidR="00843059" w:rsidRDefault="006E44FA" w:rsidP="00843059">
      <w:pPr>
        <w:pStyle w:val="ListParagraph"/>
        <w:numPr>
          <w:ilvl w:val="0"/>
          <w:numId w:val="21"/>
        </w:numPr>
        <w:rPr>
          <w:rFonts w:cs="Arial"/>
          <w:sz w:val="20"/>
          <w:szCs w:val="20"/>
        </w:rPr>
      </w:pPr>
      <w:r>
        <w:rPr>
          <w:rFonts w:cs="Arial"/>
          <w:sz w:val="20"/>
          <w:szCs w:val="20"/>
        </w:rPr>
        <w:t xml:space="preserve">When </w:t>
      </w:r>
      <w:r w:rsidR="006A6A15">
        <w:rPr>
          <w:rFonts w:cs="Arial"/>
          <w:sz w:val="20"/>
          <w:szCs w:val="20"/>
        </w:rPr>
        <w:t xml:space="preserve">monitoring prohibited practitioners compliance activity must be undertaken as outlined in the guideline, ‘Monitoring prohibited practitioners and students’ (the guideline).  </w:t>
      </w:r>
    </w:p>
    <w:p w:rsidR="00843059" w:rsidRPr="00843059" w:rsidRDefault="00843059" w:rsidP="00843059">
      <w:pPr>
        <w:pStyle w:val="AHPRAbody"/>
      </w:pPr>
      <w:r>
        <w:t xml:space="preserve">Where restrictions </w:t>
      </w:r>
      <w:r w:rsidR="006A6A15">
        <w:t xml:space="preserve">not to practice </w:t>
      </w:r>
      <w:r w:rsidR="00561E93">
        <w:t xml:space="preserve">are not as drafted in the </w:t>
      </w:r>
      <w:r w:rsidR="00556B1A">
        <w:t xml:space="preserve">National Restrictions Library (the </w:t>
      </w:r>
      <w:r w:rsidR="00561E93">
        <w:t>library</w:t>
      </w:r>
      <w:r w:rsidR="00556B1A">
        <w:t>)</w:t>
      </w:r>
      <w:r>
        <w:t xml:space="preserve"> all the activities detailed in the guidelines, where they are enabled under the restrictions, should be undertaken</w:t>
      </w:r>
    </w:p>
    <w:p w:rsidR="00561E93" w:rsidRDefault="00561E93">
      <w:pPr>
        <w:spacing w:after="0"/>
        <w:rPr>
          <w:rFonts w:cs="Arial"/>
          <w:b/>
          <w:sz w:val="20"/>
          <w:szCs w:val="20"/>
        </w:rPr>
      </w:pPr>
      <w:r>
        <w:rPr>
          <w:rFonts w:cs="Arial"/>
          <w:b/>
          <w:sz w:val="20"/>
          <w:szCs w:val="20"/>
        </w:rPr>
        <w:br w:type="page"/>
      </w:r>
    </w:p>
    <w:p w:rsidR="00843059" w:rsidRDefault="00843059" w:rsidP="006E44FA">
      <w:pPr>
        <w:rPr>
          <w:rFonts w:cs="Arial"/>
          <w:b/>
          <w:sz w:val="20"/>
          <w:szCs w:val="20"/>
        </w:rPr>
      </w:pPr>
    </w:p>
    <w:p w:rsidR="006E44FA" w:rsidRPr="006E44FA" w:rsidRDefault="006E44FA" w:rsidP="006E44FA">
      <w:pPr>
        <w:rPr>
          <w:rFonts w:cs="Arial"/>
          <w:b/>
          <w:sz w:val="20"/>
          <w:szCs w:val="20"/>
        </w:rPr>
      </w:pPr>
      <w:r w:rsidRPr="006E44FA">
        <w:rPr>
          <w:rFonts w:cs="Arial"/>
          <w:b/>
          <w:sz w:val="20"/>
          <w:szCs w:val="20"/>
        </w:rPr>
        <w:t xml:space="preserve">Students </w:t>
      </w:r>
    </w:p>
    <w:p w:rsidR="00816992" w:rsidRDefault="00816992" w:rsidP="00816992">
      <w:pPr>
        <w:rPr>
          <w:rFonts w:cs="Arial"/>
          <w:sz w:val="20"/>
          <w:szCs w:val="20"/>
        </w:rPr>
      </w:pPr>
      <w:r w:rsidRPr="00816992">
        <w:rPr>
          <w:rFonts w:cs="Arial"/>
          <w:sz w:val="20"/>
          <w:szCs w:val="20"/>
        </w:rPr>
        <w:t xml:space="preserve">All students who have their registration suspended or </w:t>
      </w:r>
      <w:r w:rsidR="00BB694C">
        <w:rPr>
          <w:rFonts w:cs="Arial"/>
          <w:sz w:val="20"/>
          <w:szCs w:val="20"/>
        </w:rPr>
        <w:t xml:space="preserve">who </w:t>
      </w:r>
      <w:r w:rsidRPr="00816992">
        <w:rPr>
          <w:rFonts w:cs="Arial"/>
          <w:sz w:val="20"/>
          <w:szCs w:val="20"/>
        </w:rPr>
        <w:t xml:space="preserve">are </w:t>
      </w:r>
      <w:r w:rsidR="00BB694C">
        <w:rPr>
          <w:rFonts w:cs="Arial"/>
          <w:sz w:val="20"/>
          <w:szCs w:val="20"/>
        </w:rPr>
        <w:t xml:space="preserve">otherwise </w:t>
      </w:r>
      <w:r w:rsidRPr="00816992">
        <w:rPr>
          <w:rFonts w:cs="Arial"/>
          <w:sz w:val="20"/>
          <w:szCs w:val="20"/>
        </w:rPr>
        <w:t>prohibited from undertaking clinical training will be monitored</w:t>
      </w:r>
      <w:r w:rsidR="006E44FA">
        <w:rPr>
          <w:rFonts w:cs="Arial"/>
          <w:sz w:val="20"/>
          <w:szCs w:val="20"/>
        </w:rPr>
        <w:t xml:space="preserve"> in accordance with the guideline</w:t>
      </w:r>
      <w:r w:rsidRPr="00816992">
        <w:rPr>
          <w:rFonts w:cs="Arial"/>
          <w:sz w:val="20"/>
          <w:szCs w:val="20"/>
        </w:rPr>
        <w:t xml:space="preserve"> to ensure they have ceased the course or been withdrawn from clinical training. </w:t>
      </w:r>
    </w:p>
    <w:p w:rsidR="00843059" w:rsidRDefault="00843059" w:rsidP="00843059">
      <w:r>
        <w:rPr>
          <w:rFonts w:cs="Arial"/>
          <w:sz w:val="20"/>
          <w:szCs w:val="20"/>
        </w:rPr>
        <w:t>When monitoring</w:t>
      </w:r>
      <w:r w:rsidR="00BB694C">
        <w:rPr>
          <w:rFonts w:cs="Arial"/>
          <w:sz w:val="20"/>
          <w:szCs w:val="20"/>
        </w:rPr>
        <w:t xml:space="preserve"> </w:t>
      </w:r>
      <w:proofErr w:type="gramStart"/>
      <w:r w:rsidR="00BB694C">
        <w:rPr>
          <w:rFonts w:cs="Arial"/>
          <w:sz w:val="20"/>
          <w:szCs w:val="20"/>
        </w:rPr>
        <w:t>students</w:t>
      </w:r>
      <w:proofErr w:type="gramEnd"/>
      <w:r w:rsidR="00BB694C">
        <w:rPr>
          <w:rFonts w:cs="Arial"/>
          <w:sz w:val="20"/>
          <w:szCs w:val="20"/>
        </w:rPr>
        <w:t xml:space="preserve"> </w:t>
      </w:r>
      <w:r>
        <w:rPr>
          <w:rFonts w:cs="Arial"/>
          <w:sz w:val="20"/>
          <w:szCs w:val="20"/>
        </w:rPr>
        <w:t xml:space="preserve">compliance activities must be undertaken as </w:t>
      </w:r>
      <w:r w:rsidR="00BB694C">
        <w:rPr>
          <w:rFonts w:cs="Arial"/>
          <w:sz w:val="20"/>
          <w:szCs w:val="20"/>
        </w:rPr>
        <w:t xml:space="preserve">outlined in </w:t>
      </w:r>
      <w:r>
        <w:rPr>
          <w:rFonts w:cs="Arial"/>
          <w:sz w:val="20"/>
          <w:szCs w:val="20"/>
        </w:rPr>
        <w:t>the guideline</w:t>
      </w:r>
      <w:r w:rsidR="006A6A15">
        <w:rPr>
          <w:rFonts w:cs="Arial"/>
          <w:sz w:val="20"/>
          <w:szCs w:val="20"/>
        </w:rPr>
        <w:t xml:space="preserve"> </w:t>
      </w:r>
      <w:r>
        <w:rPr>
          <w:rFonts w:cs="Arial"/>
          <w:sz w:val="20"/>
          <w:szCs w:val="20"/>
        </w:rPr>
        <w:t xml:space="preserve">and at a minimum will include notifying the education provider. </w:t>
      </w:r>
    </w:p>
    <w:p w:rsidR="006E44FA" w:rsidRDefault="006E44FA" w:rsidP="006E44FA">
      <w:pPr>
        <w:pStyle w:val="AHPRAbody"/>
      </w:pPr>
      <w:r>
        <w:t xml:space="preserve">Where restrictions </w:t>
      </w:r>
      <w:r w:rsidR="00BB694C">
        <w:t xml:space="preserve">not to undertake clinical training are not as drafted in the library, </w:t>
      </w:r>
      <w:r>
        <w:t>all the activities detailed in the guidelines, where they are enabled under the restrictions, should be undertaken</w:t>
      </w:r>
    </w:p>
    <w:p w:rsidR="006E44FA" w:rsidRDefault="00561E93" w:rsidP="006E44FA">
      <w:pPr>
        <w:pStyle w:val="AHPRAbody"/>
        <w:rPr>
          <w:b/>
        </w:rPr>
      </w:pPr>
      <w:r>
        <w:rPr>
          <w:b/>
        </w:rPr>
        <w:t xml:space="preserve">Critical compliance events </w:t>
      </w:r>
    </w:p>
    <w:p w:rsidR="006E44FA" w:rsidRDefault="00561E93" w:rsidP="006E44FA">
      <w:pPr>
        <w:pStyle w:val="AHPRAbody"/>
      </w:pPr>
      <w:r>
        <w:t xml:space="preserve">All suspected and actual critical compliance events </w:t>
      </w:r>
      <w:r w:rsidR="006E44FA" w:rsidRPr="00273D09">
        <w:t xml:space="preserve">will be identified </w:t>
      </w:r>
      <w:r w:rsidR="006E44FA">
        <w:t xml:space="preserve">and reported </w:t>
      </w:r>
      <w:r w:rsidR="006E44FA" w:rsidRPr="00273D09">
        <w:t>by case officers in accordance with the</w:t>
      </w:r>
      <w:r w:rsidR="006E44FA">
        <w:t xml:space="preserve"> following: </w:t>
      </w:r>
    </w:p>
    <w:p w:rsidR="006F345E" w:rsidRDefault="00561E93" w:rsidP="006F345E">
      <w:pPr>
        <w:pStyle w:val="AHPRABulletlevel1"/>
      </w:pPr>
      <w:r>
        <w:t>O</w:t>
      </w:r>
      <w:r w:rsidR="006F345E">
        <w:t xml:space="preserve">perational policy: </w:t>
      </w:r>
      <w:r w:rsidR="00F57513">
        <w:t xml:space="preserve">Managing </w:t>
      </w:r>
      <w:r>
        <w:t>critical compliance events</w:t>
      </w:r>
      <w:r w:rsidR="006F345E">
        <w:t xml:space="preserve">, and </w:t>
      </w:r>
    </w:p>
    <w:p w:rsidR="006E44FA" w:rsidRDefault="00561E93" w:rsidP="006E44FA">
      <w:pPr>
        <w:pStyle w:val="AHPRABulletlevel1"/>
      </w:pPr>
      <w:r>
        <w:t>G</w:t>
      </w:r>
      <w:r w:rsidR="00F57513">
        <w:t>uidelines: M</w:t>
      </w:r>
      <w:r w:rsidR="006E44FA">
        <w:t xml:space="preserve">onitoring prohibited </w:t>
      </w:r>
      <w:r w:rsidR="00F57513">
        <w:t>registrants</w:t>
      </w:r>
    </w:p>
    <w:p w:rsidR="006E44FA" w:rsidRDefault="006E44FA" w:rsidP="006E44FA">
      <w:pPr>
        <w:pStyle w:val="AHPRABulletlevel1"/>
        <w:numPr>
          <w:ilvl w:val="0"/>
          <w:numId w:val="0"/>
        </w:numPr>
        <w:ind w:left="369"/>
      </w:pPr>
    </w:p>
    <w:p w:rsidR="006E44FA" w:rsidRDefault="006E44FA" w:rsidP="006E44FA">
      <w:pPr>
        <w:rPr>
          <w:rFonts w:cs="Arial"/>
          <w:sz w:val="20"/>
          <w:szCs w:val="20"/>
        </w:rPr>
      </w:pPr>
      <w:r>
        <w:rPr>
          <w:rFonts w:cs="Arial"/>
          <w:sz w:val="20"/>
          <w:szCs w:val="20"/>
        </w:rPr>
        <w:t xml:space="preserve">All suspected and confirmed critical compliance events relating to </w:t>
      </w:r>
      <w:r w:rsidR="006A6A15">
        <w:rPr>
          <w:rFonts w:cs="Arial"/>
          <w:sz w:val="20"/>
          <w:szCs w:val="20"/>
        </w:rPr>
        <w:t xml:space="preserve">prohibited practitioners </w:t>
      </w:r>
      <w:r>
        <w:rPr>
          <w:rFonts w:cs="Arial"/>
          <w:sz w:val="20"/>
          <w:szCs w:val="20"/>
        </w:rPr>
        <w:t xml:space="preserve">will be prioritised as high priority risk management activity. </w:t>
      </w:r>
    </w:p>
    <w:p w:rsidR="006E44FA" w:rsidRPr="00843059" w:rsidRDefault="006E44FA" w:rsidP="00843059">
      <w:pPr>
        <w:rPr>
          <w:rFonts w:cs="Arial"/>
          <w:sz w:val="20"/>
          <w:szCs w:val="20"/>
        </w:rPr>
      </w:pPr>
      <w:r>
        <w:rPr>
          <w:rFonts w:cs="Arial"/>
          <w:sz w:val="20"/>
          <w:szCs w:val="20"/>
        </w:rPr>
        <w:t xml:space="preserve">Risk management activities will be undertaken in accordance with the </w:t>
      </w:r>
      <w:r w:rsidR="00843059">
        <w:rPr>
          <w:rFonts w:cs="Arial"/>
          <w:sz w:val="20"/>
          <w:szCs w:val="20"/>
        </w:rPr>
        <w:t>g</w:t>
      </w:r>
      <w:r>
        <w:rPr>
          <w:rFonts w:cs="Arial"/>
          <w:sz w:val="20"/>
          <w:szCs w:val="20"/>
        </w:rPr>
        <w:t>uideline</w:t>
      </w:r>
      <w:r w:rsidR="00843059">
        <w:rPr>
          <w:rFonts w:cs="Arial"/>
          <w:sz w:val="20"/>
          <w:szCs w:val="20"/>
        </w:rPr>
        <w:t>.</w:t>
      </w:r>
      <w:r>
        <w:rPr>
          <w:rFonts w:cs="Arial"/>
          <w:sz w:val="20"/>
          <w:szCs w:val="20"/>
        </w:rPr>
        <w:t xml:space="preserve"> </w:t>
      </w:r>
    </w:p>
    <w:p w:rsidR="00FD2AEF" w:rsidRPr="00A14995" w:rsidRDefault="00FD2AEF" w:rsidP="00FD2AEF">
      <w:pPr>
        <w:pStyle w:val="AHPRASubheading"/>
        <w:spacing w:before="120" w:after="120"/>
      </w:pPr>
      <w:r>
        <w:t>Scope</w:t>
      </w:r>
      <w:r w:rsidRPr="00A14995">
        <w:t>, evaluation and review</w:t>
      </w:r>
    </w:p>
    <w:p w:rsidR="006F345E" w:rsidRPr="00BB65C0" w:rsidRDefault="00FD2AEF" w:rsidP="00BB65C0">
      <w:pPr>
        <w:pStyle w:val="AHPRAbody"/>
        <w:spacing w:after="120"/>
        <w:rPr>
          <w:i/>
        </w:rPr>
      </w:pPr>
      <w:r w:rsidRPr="009F39A2">
        <w:t xml:space="preserve">This </w:t>
      </w:r>
      <w:r>
        <w:t xml:space="preserve">operational </w:t>
      </w:r>
      <w:r w:rsidRPr="009F39A2">
        <w:t xml:space="preserve">policy </w:t>
      </w:r>
      <w:r>
        <w:t xml:space="preserve">is established in accordance with </w:t>
      </w:r>
      <w:r w:rsidRPr="003B11CA">
        <w:rPr>
          <w:i/>
        </w:rPr>
        <w:t>Operational Guidance Framework</w:t>
      </w:r>
      <w:r>
        <w:t xml:space="preserve">. It must be used </w:t>
      </w:r>
      <w:r w:rsidRPr="009F39A2">
        <w:t>and complied with by all relevant Regulatory Operations staff</w:t>
      </w:r>
      <w:r>
        <w:t xml:space="preserve"> and decision makers</w:t>
      </w:r>
      <w:r>
        <w:rPr>
          <w:i/>
        </w:rPr>
        <w:t xml:space="preserve">. </w:t>
      </w:r>
      <w:r>
        <w:t xml:space="preserve">This operational policy will be reviewed </w:t>
      </w:r>
      <w:r w:rsidR="00814C59">
        <w:t>annually.</w:t>
      </w:r>
    </w:p>
    <w:p w:rsidR="006F345E" w:rsidRDefault="006F345E" w:rsidP="00260015">
      <w:pPr>
        <w:pStyle w:val="AHPRASubheading"/>
        <w:spacing w:before="120" w:after="120"/>
      </w:pPr>
      <w:r>
        <w:t>References</w:t>
      </w:r>
    </w:p>
    <w:p w:rsidR="006F345E" w:rsidRDefault="00561E93" w:rsidP="006F345E">
      <w:pPr>
        <w:pStyle w:val="AHPRABulletlevel1"/>
      </w:pPr>
      <w:r>
        <w:t>O</w:t>
      </w:r>
      <w:r w:rsidR="006F345E">
        <w:t xml:space="preserve">perational </w:t>
      </w:r>
      <w:r>
        <w:t>P</w:t>
      </w:r>
      <w:r w:rsidR="006F345E">
        <w:t xml:space="preserve">olicy: </w:t>
      </w:r>
      <w:r>
        <w:t>Responding to critical compliance events</w:t>
      </w:r>
      <w:r w:rsidR="006F345E">
        <w:t xml:space="preserve"> </w:t>
      </w:r>
    </w:p>
    <w:p w:rsidR="006F345E" w:rsidRDefault="00561E93" w:rsidP="006F345E">
      <w:pPr>
        <w:pStyle w:val="AHPRABulletlevel1"/>
      </w:pPr>
      <w:r>
        <w:t>G</w:t>
      </w:r>
      <w:r w:rsidR="006F345E">
        <w:t xml:space="preserve">uidelines: </w:t>
      </w:r>
      <w:r>
        <w:t>M</w:t>
      </w:r>
      <w:r w:rsidR="006F345E">
        <w:t>onitoring prohibited practitioners and students</w:t>
      </w:r>
    </w:p>
    <w:p w:rsidR="006F345E" w:rsidRDefault="006F345E" w:rsidP="006F345E">
      <w:pPr>
        <w:pStyle w:val="AHPRABulletlevel1"/>
        <w:numPr>
          <w:ilvl w:val="0"/>
          <w:numId w:val="0"/>
        </w:numPr>
        <w:ind w:left="369"/>
      </w:pPr>
    </w:p>
    <w:p w:rsidR="00A14995" w:rsidRDefault="0008071C" w:rsidP="00260015">
      <w:pPr>
        <w:pStyle w:val="AHPRASubheading"/>
        <w:spacing w:before="120" w:after="120"/>
      </w:pPr>
      <w:r>
        <w:t>Policy Sponsor</w:t>
      </w:r>
    </w:p>
    <w:p w:rsidR="009F39A2" w:rsidRDefault="009F39A2" w:rsidP="00260015">
      <w:pPr>
        <w:pStyle w:val="AHPRASubheading"/>
        <w:spacing w:before="120" w:after="0"/>
      </w:pPr>
      <w:r w:rsidRPr="009F39A2">
        <w:rPr>
          <w:rFonts w:cs="Arial"/>
          <w:b w:val="0"/>
          <w:color w:val="auto"/>
        </w:rPr>
        <w:t>National Director</w:t>
      </w:r>
      <w:r w:rsidRPr="00814C59">
        <w:rPr>
          <w:rFonts w:cs="Arial"/>
          <w:b w:val="0"/>
          <w:color w:val="auto"/>
        </w:rPr>
        <w:t>, Compliance</w:t>
      </w:r>
      <w:r w:rsidRPr="00814C59">
        <w:rPr>
          <w:color w:val="auto"/>
        </w:rPr>
        <w:t xml:space="preserve"> </w:t>
      </w:r>
    </w:p>
    <w:p w:rsidR="00A14995" w:rsidRDefault="00A14995" w:rsidP="00260015">
      <w:pPr>
        <w:pStyle w:val="AHPRASubheading"/>
        <w:spacing w:before="120" w:after="120"/>
      </w:pPr>
      <w:r>
        <w:t>Approved by</w:t>
      </w:r>
    </w:p>
    <w:p w:rsidR="00A14995" w:rsidRPr="009F39A2" w:rsidRDefault="00A14995" w:rsidP="00260015">
      <w:pPr>
        <w:pStyle w:val="AHPRASubheading"/>
        <w:spacing w:before="120" w:after="0"/>
        <w:rPr>
          <w:rFonts w:cs="Arial"/>
          <w:b w:val="0"/>
          <w:color w:val="auto"/>
        </w:rPr>
      </w:pPr>
      <w:r w:rsidRPr="009F39A2">
        <w:rPr>
          <w:rFonts w:cs="Arial"/>
          <w:b w:val="0"/>
          <w:color w:val="auto"/>
        </w:rPr>
        <w:t xml:space="preserve">Executive </w:t>
      </w:r>
      <w:r w:rsidR="009F39A2" w:rsidRPr="009F39A2">
        <w:rPr>
          <w:rFonts w:cs="Arial"/>
          <w:b w:val="0"/>
          <w:color w:val="auto"/>
        </w:rPr>
        <w:t>Director</w:t>
      </w:r>
      <w:r w:rsidRPr="009F39A2">
        <w:rPr>
          <w:rFonts w:cs="Arial"/>
          <w:b w:val="0"/>
          <w:color w:val="auto"/>
        </w:rPr>
        <w:t xml:space="preserve">, </w:t>
      </w:r>
      <w:r w:rsidR="009F39A2" w:rsidRPr="009F39A2">
        <w:rPr>
          <w:rFonts w:cs="Arial"/>
          <w:b w:val="0"/>
          <w:color w:val="auto"/>
        </w:rPr>
        <w:t>Regulatory</w:t>
      </w:r>
      <w:r w:rsidRPr="009F39A2">
        <w:rPr>
          <w:rFonts w:cs="Arial"/>
          <w:b w:val="0"/>
          <w:color w:val="auto"/>
        </w:rPr>
        <w:t xml:space="preserve"> Operations</w:t>
      </w:r>
    </w:p>
    <w:p w:rsidR="009F39A2" w:rsidRPr="00A14995" w:rsidRDefault="00260015" w:rsidP="00260015">
      <w:pPr>
        <w:pStyle w:val="AHPRASubheading"/>
        <w:spacing w:before="120" w:after="120"/>
      </w:pPr>
      <w:r>
        <w:t>Effective date</w:t>
      </w:r>
    </w:p>
    <w:p w:rsidR="001C4D36" w:rsidRDefault="00260015" w:rsidP="00CC4083">
      <w:pPr>
        <w:pStyle w:val="AHPRASubheading"/>
        <w:spacing w:before="120" w:after="0"/>
        <w:rPr>
          <w:i/>
        </w:rPr>
      </w:pPr>
      <w:r w:rsidRPr="00260015">
        <w:rPr>
          <w:rFonts w:cs="Arial"/>
          <w:b w:val="0"/>
          <w:color w:val="auto"/>
        </w:rPr>
        <w:t xml:space="preserve">This policy is effective </w:t>
      </w:r>
      <w:r w:rsidR="00816992">
        <w:rPr>
          <w:rFonts w:cs="Arial"/>
          <w:b w:val="0"/>
          <w:color w:val="auto"/>
        </w:rPr>
        <w:t xml:space="preserve">from </w:t>
      </w:r>
      <w:r w:rsidR="00F57513">
        <w:rPr>
          <w:rFonts w:cs="Arial"/>
          <w:b w:val="0"/>
          <w:color w:val="auto"/>
        </w:rPr>
        <w:t>October 2015, and was amended July 2018</w:t>
      </w:r>
    </w:p>
    <w:p w:rsidR="00816992" w:rsidRDefault="00816992" w:rsidP="00CC4083">
      <w:pPr>
        <w:rPr>
          <w:b/>
        </w:rPr>
      </w:pPr>
    </w:p>
    <w:p w:rsidR="00816992" w:rsidRDefault="00816992" w:rsidP="00CC4083">
      <w:pPr>
        <w:rPr>
          <w:b/>
        </w:rPr>
      </w:pPr>
    </w:p>
    <w:p w:rsidR="00816992" w:rsidRDefault="00816992" w:rsidP="00CC4083">
      <w:pPr>
        <w:rPr>
          <w:b/>
        </w:rPr>
      </w:pPr>
    </w:p>
    <w:sectPr w:rsidR="00816992" w:rsidSect="00260015">
      <w:headerReference w:type="default" r:id="rId8"/>
      <w:footerReference w:type="even" r:id="rId9"/>
      <w:footerReference w:type="default" r:id="rId10"/>
      <w:headerReference w:type="first" r:id="rId11"/>
      <w:footerReference w:type="first" r:id="rId12"/>
      <w:pgSz w:w="11900" w:h="16840"/>
      <w:pgMar w:top="1382" w:right="1268" w:bottom="1134" w:left="1134" w:header="34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6C2" w:rsidRDefault="000616C2" w:rsidP="00FC2881">
      <w:pPr>
        <w:spacing w:after="0"/>
      </w:pPr>
      <w:r>
        <w:separator/>
      </w:r>
    </w:p>
    <w:p w:rsidR="000616C2" w:rsidRDefault="000616C2"/>
  </w:endnote>
  <w:endnote w:type="continuationSeparator" w:id="0">
    <w:p w:rsidR="000616C2" w:rsidRDefault="000616C2" w:rsidP="00FC2881">
      <w:pPr>
        <w:spacing w:after="0"/>
      </w:pPr>
      <w:r>
        <w:continuationSeparator/>
      </w:r>
    </w:p>
    <w:p w:rsidR="000616C2" w:rsidRDefault="00061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1A" w:rsidRDefault="009B4CC9" w:rsidP="00FC2881">
    <w:pPr>
      <w:pStyle w:val="Footer"/>
      <w:framePr w:wrap="around" w:vAnchor="text" w:hAnchor="margin" w:xAlign="right" w:y="1"/>
    </w:pPr>
    <w:r>
      <w:fldChar w:fldCharType="begin"/>
    </w:r>
    <w:r w:rsidR="00556B1A">
      <w:instrText xml:space="preserve">PAGE  </w:instrText>
    </w:r>
    <w:r>
      <w:fldChar w:fldCharType="end"/>
    </w:r>
  </w:p>
  <w:p w:rsidR="00556B1A" w:rsidRDefault="00556B1A" w:rsidP="00FC2881">
    <w:pPr>
      <w:pStyle w:val="Footer"/>
      <w:ind w:right="360"/>
    </w:pPr>
  </w:p>
  <w:p w:rsidR="00556B1A" w:rsidRDefault="00556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1A" w:rsidRPr="001F5D09" w:rsidRDefault="000616C2" w:rsidP="001F5D09">
    <w:pPr>
      <w:pStyle w:val="AHPRApagenumber"/>
      <w:jc w:val="right"/>
      <w:rPr>
        <w:b w:val="0"/>
      </w:rPr>
    </w:pPr>
    <w:sdt>
      <w:sdtPr>
        <w:id w:val="-968424057"/>
        <w:docPartObj>
          <w:docPartGallery w:val="Page Numbers (Top of Page)"/>
          <w:docPartUnique/>
        </w:docPartObj>
      </w:sdtPr>
      <w:sdtEndPr>
        <w:rPr>
          <w:b w:val="0"/>
        </w:rPr>
      </w:sdtEndPr>
      <w:sdtContent>
        <w:r w:rsidR="009B4CC9" w:rsidRPr="001F5D09">
          <w:rPr>
            <w:b w:val="0"/>
          </w:rPr>
          <w:fldChar w:fldCharType="begin"/>
        </w:r>
        <w:r w:rsidR="00556B1A" w:rsidRPr="001F5D09">
          <w:rPr>
            <w:b w:val="0"/>
          </w:rPr>
          <w:instrText xml:space="preserve"> PAGE </w:instrText>
        </w:r>
        <w:r w:rsidR="009B4CC9" w:rsidRPr="001F5D09">
          <w:rPr>
            <w:b w:val="0"/>
          </w:rPr>
          <w:fldChar w:fldCharType="separate"/>
        </w:r>
        <w:r w:rsidR="007D44F5">
          <w:rPr>
            <w:b w:val="0"/>
            <w:noProof/>
          </w:rPr>
          <w:t>2</w:t>
        </w:r>
        <w:r w:rsidR="009B4CC9" w:rsidRPr="001F5D09">
          <w:rPr>
            <w:b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1A" w:rsidRPr="001F5D09" w:rsidRDefault="00556B1A" w:rsidP="00260015">
    <w:pPr>
      <w:pStyle w:val="AHPRApagenumber"/>
      <w:jc w:val="left"/>
      <w:rPr>
        <w:b w:val="0"/>
      </w:rPr>
    </w:pPr>
    <w:r w:rsidRPr="00260015">
      <w:rPr>
        <w:b w:val="0"/>
      </w:rPr>
      <w:t>Regulatory Operations Directorate: Operational Policy</w:t>
    </w:r>
    <w:sdt>
      <w:sdtPr>
        <w:id w:val="16333165"/>
        <w:docPartObj>
          <w:docPartGallery w:val="Page Numbers (Top of Page)"/>
          <w:docPartUnique/>
        </w:docPartObj>
      </w:sdtPr>
      <w:sdtEndPr>
        <w:rPr>
          <w:b w:val="0"/>
        </w:rPr>
      </w:sdtEndPr>
      <w:sdtContent>
        <w:r>
          <w:tab/>
        </w:r>
        <w:r>
          <w:tab/>
        </w:r>
        <w:r>
          <w:tab/>
        </w:r>
        <w:r>
          <w:tab/>
        </w:r>
        <w:r>
          <w:tab/>
        </w:r>
        <w:r>
          <w:tab/>
        </w:r>
        <w:r>
          <w:tab/>
        </w:r>
        <w:r w:rsidR="009B4CC9" w:rsidRPr="001F5D09">
          <w:rPr>
            <w:b w:val="0"/>
          </w:rPr>
          <w:fldChar w:fldCharType="begin"/>
        </w:r>
        <w:r w:rsidRPr="001F5D09">
          <w:rPr>
            <w:b w:val="0"/>
          </w:rPr>
          <w:instrText xml:space="preserve"> PAGE </w:instrText>
        </w:r>
        <w:r w:rsidR="009B4CC9" w:rsidRPr="001F5D09">
          <w:rPr>
            <w:b w:val="0"/>
          </w:rPr>
          <w:fldChar w:fldCharType="separate"/>
        </w:r>
        <w:r w:rsidR="007D44F5">
          <w:rPr>
            <w:b w:val="0"/>
            <w:noProof/>
          </w:rPr>
          <w:t>1</w:t>
        </w:r>
        <w:r w:rsidR="009B4CC9" w:rsidRPr="001F5D09">
          <w:rPr>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6C2" w:rsidRDefault="000616C2" w:rsidP="00FC2881">
      <w:pPr>
        <w:spacing w:after="0"/>
      </w:pPr>
      <w:r>
        <w:separator/>
      </w:r>
    </w:p>
    <w:p w:rsidR="000616C2" w:rsidRDefault="000616C2"/>
  </w:footnote>
  <w:footnote w:type="continuationSeparator" w:id="0">
    <w:p w:rsidR="000616C2" w:rsidRDefault="000616C2" w:rsidP="00FC2881">
      <w:pPr>
        <w:spacing w:after="0"/>
      </w:pPr>
      <w:r>
        <w:continuationSeparator/>
      </w:r>
    </w:p>
    <w:p w:rsidR="000616C2" w:rsidRDefault="000616C2"/>
  </w:footnote>
  <w:footnote w:id="1">
    <w:p w:rsidR="00556B1A" w:rsidRDefault="00556B1A" w:rsidP="0097244D">
      <w:pPr>
        <w:pStyle w:val="FootnoteText"/>
      </w:pPr>
      <w:r>
        <w:rPr>
          <w:rStyle w:val="FootnoteReference"/>
        </w:rPr>
        <w:footnoteRef/>
      </w:r>
      <w:r>
        <w:t xml:space="preserve"> Where the registration was surrendered under s137, s155 or changed to non-practising in lieu of the Board progressing further action under Part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1A" w:rsidRPr="00315933" w:rsidRDefault="00556B1A" w:rsidP="00CC4083">
    <w:pPr>
      <w:ind w:left="-1134" w:right="-567"/>
      <w:jc w:val="right"/>
    </w:pPr>
    <w:r>
      <w:tab/>
    </w:r>
    <w:r>
      <w:tab/>
    </w:r>
    <w:r>
      <w:tab/>
    </w:r>
    <w:r>
      <w:tab/>
    </w:r>
    <w:r w:rsidRPr="00CC4083">
      <w:t xml:space="preserve"> </w:t>
    </w:r>
  </w:p>
  <w:p w:rsidR="00556B1A" w:rsidRDefault="00556B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1A" w:rsidRDefault="00556B1A" w:rsidP="00E844A0">
    <w:r>
      <w:rPr>
        <w:noProof/>
      </w:rPr>
      <w:drawing>
        <wp:anchor distT="0" distB="0" distL="114300" distR="114300" simplePos="0" relativeHeight="251657216" behindDoc="1" locked="0" layoutInCell="1" allowOverlap="1">
          <wp:simplePos x="0" y="0"/>
          <wp:positionH relativeFrom="column">
            <wp:posOffset>3194685</wp:posOffset>
          </wp:positionH>
          <wp:positionV relativeFrom="paragraph">
            <wp:posOffset>-8255</wp:posOffset>
          </wp:positionV>
          <wp:extent cx="3524250" cy="1076325"/>
          <wp:effectExtent l="0" t="0" r="0" b="0"/>
          <wp:wrapNone/>
          <wp:docPr id="2" name="Picture 1" descr="AHPRA and National Boards logo. "/>
          <wp:cNvGraphicFramePr/>
          <a:graphic xmlns:a="http://schemas.openxmlformats.org/drawingml/2006/main">
            <a:graphicData uri="http://schemas.openxmlformats.org/drawingml/2006/picture">
              <pic:pic xmlns:pic="http://schemas.openxmlformats.org/drawingml/2006/picture">
                <pic:nvPicPr>
                  <pic:cNvPr id="3" name="Picture 2" descr="C:\Users\lbattenhaussen\AppData\Local\Microsoft\Windows\Temporary Internet Files\Content.Outlook\ZW7MYLST\Logos AHPRA + 14 Boards Colour JP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0" cy="1076325"/>
                  </a:xfrm>
                  <a:prstGeom prst="rect">
                    <a:avLst/>
                  </a:prstGeom>
                  <a:noFill/>
                  <a:ln w="9525">
                    <a:noFill/>
                    <a:miter lim="800000"/>
                    <a:headEnd/>
                    <a:tailEnd/>
                  </a:ln>
                </pic:spPr>
              </pic:pic>
            </a:graphicData>
          </a:graphic>
        </wp:anchor>
      </w:drawing>
    </w:r>
  </w:p>
  <w:p w:rsidR="00556B1A" w:rsidRDefault="00556B1A" w:rsidP="000F7DD4">
    <w:pPr>
      <w:tabs>
        <w:tab w:val="left" w:pos="6720"/>
      </w:tabs>
    </w:pPr>
    <w:r>
      <w:tab/>
    </w:r>
  </w:p>
  <w:p w:rsidR="00556B1A" w:rsidRDefault="00556B1A" w:rsidP="00E844A0"/>
  <w:p w:rsidR="00556B1A" w:rsidRDefault="00556B1A"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74C8BB40"/>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62165"/>
    <w:multiLevelType w:val="multilevel"/>
    <w:tmpl w:val="AF26D25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b/>
        <w:i w:val="0"/>
        <w:color w:val="auto"/>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70C507A"/>
    <w:multiLevelType w:val="multilevel"/>
    <w:tmpl w:val="74C8BB40"/>
    <w:numStyleLink w:val="AHPRANumberedlist"/>
  </w:abstractNum>
  <w:abstractNum w:abstractNumId="4" w15:restartNumberingAfterBreak="0">
    <w:nsid w:val="18C147DC"/>
    <w:multiLevelType w:val="hybridMultilevel"/>
    <w:tmpl w:val="2F38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71549"/>
    <w:multiLevelType w:val="hybridMultilevel"/>
    <w:tmpl w:val="6DBE9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C7FC9"/>
    <w:multiLevelType w:val="hybridMultilevel"/>
    <w:tmpl w:val="94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2308B"/>
    <w:multiLevelType w:val="hybridMultilevel"/>
    <w:tmpl w:val="E97A6B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B6B5DD7"/>
    <w:multiLevelType w:val="hybridMultilevel"/>
    <w:tmpl w:val="9E96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679CA"/>
    <w:multiLevelType w:val="hybridMultilevel"/>
    <w:tmpl w:val="1312F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DC179C"/>
    <w:multiLevelType w:val="hybridMultilevel"/>
    <w:tmpl w:val="BBD6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F31103"/>
    <w:multiLevelType w:val="hybridMultilevel"/>
    <w:tmpl w:val="C6C87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369A4"/>
    <w:multiLevelType w:val="hybridMultilevel"/>
    <w:tmpl w:val="4D006268"/>
    <w:lvl w:ilvl="0" w:tplc="A5624F62">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9683EEC"/>
    <w:multiLevelType w:val="hybridMultilevel"/>
    <w:tmpl w:val="4CF0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7854D3"/>
    <w:multiLevelType w:val="hybridMultilevel"/>
    <w:tmpl w:val="8640B630"/>
    <w:lvl w:ilvl="0" w:tplc="4F42F13E">
      <w:start w:val="1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21704C"/>
    <w:multiLevelType w:val="hybridMultilevel"/>
    <w:tmpl w:val="AFD4E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15"/>
  </w:num>
  <w:num w:numId="11">
    <w:abstractNumId w:val="13"/>
  </w:num>
  <w:num w:numId="12">
    <w:abstractNumId w:val="8"/>
  </w:num>
  <w:num w:numId="13">
    <w:abstractNumId w:val="9"/>
  </w:num>
  <w:num w:numId="14">
    <w:abstractNumId w:val="14"/>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5"/>
  </w:num>
  <w:num w:numId="20">
    <w:abstractNumId w:val="7"/>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1C2D"/>
    <w:rsid w:val="00000033"/>
    <w:rsid w:val="00001830"/>
    <w:rsid w:val="00006922"/>
    <w:rsid w:val="00020C5E"/>
    <w:rsid w:val="00023B2D"/>
    <w:rsid w:val="000334D7"/>
    <w:rsid w:val="0004149A"/>
    <w:rsid w:val="000414F5"/>
    <w:rsid w:val="000616C2"/>
    <w:rsid w:val="00063E37"/>
    <w:rsid w:val="00064B4C"/>
    <w:rsid w:val="00071439"/>
    <w:rsid w:val="0007422B"/>
    <w:rsid w:val="0008071C"/>
    <w:rsid w:val="000945FB"/>
    <w:rsid w:val="000A6BF7"/>
    <w:rsid w:val="000D7CFA"/>
    <w:rsid w:val="000F7DD4"/>
    <w:rsid w:val="0010139F"/>
    <w:rsid w:val="001017A4"/>
    <w:rsid w:val="00114F51"/>
    <w:rsid w:val="00120D61"/>
    <w:rsid w:val="00144DEF"/>
    <w:rsid w:val="001706EB"/>
    <w:rsid w:val="0017334B"/>
    <w:rsid w:val="00195912"/>
    <w:rsid w:val="001A6F49"/>
    <w:rsid w:val="001B1CCA"/>
    <w:rsid w:val="001B1CD1"/>
    <w:rsid w:val="001B486C"/>
    <w:rsid w:val="001B5AE1"/>
    <w:rsid w:val="001C425C"/>
    <w:rsid w:val="001C4D36"/>
    <w:rsid w:val="001E1E31"/>
    <w:rsid w:val="001E2849"/>
    <w:rsid w:val="001E4A94"/>
    <w:rsid w:val="001E5621"/>
    <w:rsid w:val="001F4455"/>
    <w:rsid w:val="001F5D09"/>
    <w:rsid w:val="001F7ED7"/>
    <w:rsid w:val="00220A3B"/>
    <w:rsid w:val="00227882"/>
    <w:rsid w:val="00227CDB"/>
    <w:rsid w:val="00234BFA"/>
    <w:rsid w:val="00243FC3"/>
    <w:rsid w:val="00253654"/>
    <w:rsid w:val="00260015"/>
    <w:rsid w:val="00265015"/>
    <w:rsid w:val="0028013F"/>
    <w:rsid w:val="0028404A"/>
    <w:rsid w:val="00295B44"/>
    <w:rsid w:val="00295C3E"/>
    <w:rsid w:val="00297EC3"/>
    <w:rsid w:val="002A51EC"/>
    <w:rsid w:val="002B13F3"/>
    <w:rsid w:val="002B2D48"/>
    <w:rsid w:val="002C08FB"/>
    <w:rsid w:val="002C34EA"/>
    <w:rsid w:val="002D37A5"/>
    <w:rsid w:val="00303BE1"/>
    <w:rsid w:val="00305AFC"/>
    <w:rsid w:val="00311047"/>
    <w:rsid w:val="003112BC"/>
    <w:rsid w:val="00315592"/>
    <w:rsid w:val="003260ED"/>
    <w:rsid w:val="003354E4"/>
    <w:rsid w:val="003403AF"/>
    <w:rsid w:val="0038131A"/>
    <w:rsid w:val="003C610F"/>
    <w:rsid w:val="003D476C"/>
    <w:rsid w:val="003D6DBD"/>
    <w:rsid w:val="003E00B5"/>
    <w:rsid w:val="003E17AB"/>
    <w:rsid w:val="003E17FE"/>
    <w:rsid w:val="003E1925"/>
    <w:rsid w:val="003E3268"/>
    <w:rsid w:val="003F2F06"/>
    <w:rsid w:val="00405C0A"/>
    <w:rsid w:val="00412CEE"/>
    <w:rsid w:val="00413C58"/>
    <w:rsid w:val="00414034"/>
    <w:rsid w:val="00414F2C"/>
    <w:rsid w:val="00444AC2"/>
    <w:rsid w:val="00450B34"/>
    <w:rsid w:val="00457B61"/>
    <w:rsid w:val="004606A7"/>
    <w:rsid w:val="0047520C"/>
    <w:rsid w:val="004A042D"/>
    <w:rsid w:val="004A5E5D"/>
    <w:rsid w:val="004B5025"/>
    <w:rsid w:val="004B747B"/>
    <w:rsid w:val="004C3C5B"/>
    <w:rsid w:val="004C64E0"/>
    <w:rsid w:val="004D1BA5"/>
    <w:rsid w:val="004D3F5A"/>
    <w:rsid w:val="004D7537"/>
    <w:rsid w:val="004F5C05"/>
    <w:rsid w:val="00512558"/>
    <w:rsid w:val="005130DA"/>
    <w:rsid w:val="00515572"/>
    <w:rsid w:val="005330A7"/>
    <w:rsid w:val="00553A4C"/>
    <w:rsid w:val="00554335"/>
    <w:rsid w:val="005565CE"/>
    <w:rsid w:val="00556B1A"/>
    <w:rsid w:val="00561E93"/>
    <w:rsid w:val="005708AE"/>
    <w:rsid w:val="005A0FA9"/>
    <w:rsid w:val="005B63E6"/>
    <w:rsid w:val="005C1561"/>
    <w:rsid w:val="005C5932"/>
    <w:rsid w:val="005C6817"/>
    <w:rsid w:val="005C73D1"/>
    <w:rsid w:val="005F2D3B"/>
    <w:rsid w:val="005F3168"/>
    <w:rsid w:val="00615A12"/>
    <w:rsid w:val="00616043"/>
    <w:rsid w:val="00617993"/>
    <w:rsid w:val="00627044"/>
    <w:rsid w:val="006341F2"/>
    <w:rsid w:val="0063520E"/>
    <w:rsid w:val="006353C3"/>
    <w:rsid w:val="00640441"/>
    <w:rsid w:val="00640B2C"/>
    <w:rsid w:val="00643157"/>
    <w:rsid w:val="00654346"/>
    <w:rsid w:val="006567F8"/>
    <w:rsid w:val="00662563"/>
    <w:rsid w:val="00667CAD"/>
    <w:rsid w:val="00681D5E"/>
    <w:rsid w:val="00683E13"/>
    <w:rsid w:val="006A6A15"/>
    <w:rsid w:val="006B529E"/>
    <w:rsid w:val="006C0257"/>
    <w:rsid w:val="006C0E29"/>
    <w:rsid w:val="006C4046"/>
    <w:rsid w:val="006C7B3D"/>
    <w:rsid w:val="006D1BB7"/>
    <w:rsid w:val="006D30FE"/>
    <w:rsid w:val="006D3757"/>
    <w:rsid w:val="006D4D49"/>
    <w:rsid w:val="006E44FA"/>
    <w:rsid w:val="006F2A67"/>
    <w:rsid w:val="006F345E"/>
    <w:rsid w:val="006F7348"/>
    <w:rsid w:val="006F796D"/>
    <w:rsid w:val="0070155F"/>
    <w:rsid w:val="00705F76"/>
    <w:rsid w:val="0070622C"/>
    <w:rsid w:val="00706C1E"/>
    <w:rsid w:val="007320FD"/>
    <w:rsid w:val="007372A4"/>
    <w:rsid w:val="00741B04"/>
    <w:rsid w:val="0076115C"/>
    <w:rsid w:val="007617A8"/>
    <w:rsid w:val="007664F3"/>
    <w:rsid w:val="00770C9E"/>
    <w:rsid w:val="00775C86"/>
    <w:rsid w:val="007775E2"/>
    <w:rsid w:val="00796FFD"/>
    <w:rsid w:val="007A35B9"/>
    <w:rsid w:val="007B1255"/>
    <w:rsid w:val="007B77D6"/>
    <w:rsid w:val="007C0B6E"/>
    <w:rsid w:val="007C492D"/>
    <w:rsid w:val="007D19F1"/>
    <w:rsid w:val="007D397A"/>
    <w:rsid w:val="007D44F5"/>
    <w:rsid w:val="007D4836"/>
    <w:rsid w:val="007E2C84"/>
    <w:rsid w:val="007F0095"/>
    <w:rsid w:val="007F1E4A"/>
    <w:rsid w:val="0080709F"/>
    <w:rsid w:val="0081449A"/>
    <w:rsid w:val="00814C59"/>
    <w:rsid w:val="00816992"/>
    <w:rsid w:val="00825089"/>
    <w:rsid w:val="008338F7"/>
    <w:rsid w:val="00836397"/>
    <w:rsid w:val="008424C4"/>
    <w:rsid w:val="00843059"/>
    <w:rsid w:val="00845054"/>
    <w:rsid w:val="00852D1C"/>
    <w:rsid w:val="008533DD"/>
    <w:rsid w:val="00856147"/>
    <w:rsid w:val="00857470"/>
    <w:rsid w:val="00860F40"/>
    <w:rsid w:val="008615C9"/>
    <w:rsid w:val="00864020"/>
    <w:rsid w:val="00870F49"/>
    <w:rsid w:val="008956BA"/>
    <w:rsid w:val="008979D5"/>
    <w:rsid w:val="008A318D"/>
    <w:rsid w:val="008A4C3B"/>
    <w:rsid w:val="008B2AD7"/>
    <w:rsid w:val="008C12F8"/>
    <w:rsid w:val="008C461E"/>
    <w:rsid w:val="008D022C"/>
    <w:rsid w:val="008D6B7E"/>
    <w:rsid w:val="008D7845"/>
    <w:rsid w:val="008E129C"/>
    <w:rsid w:val="00900D61"/>
    <w:rsid w:val="0090134D"/>
    <w:rsid w:val="00902938"/>
    <w:rsid w:val="00923B23"/>
    <w:rsid w:val="00925A59"/>
    <w:rsid w:val="009364D7"/>
    <w:rsid w:val="00936D43"/>
    <w:rsid w:val="00937ED0"/>
    <w:rsid w:val="00944B06"/>
    <w:rsid w:val="009458A7"/>
    <w:rsid w:val="00952797"/>
    <w:rsid w:val="0097244D"/>
    <w:rsid w:val="009777D3"/>
    <w:rsid w:val="009859E6"/>
    <w:rsid w:val="00995D4D"/>
    <w:rsid w:val="009A0A5D"/>
    <w:rsid w:val="009B4CC9"/>
    <w:rsid w:val="009C6933"/>
    <w:rsid w:val="009D4DED"/>
    <w:rsid w:val="009E07FB"/>
    <w:rsid w:val="009F06B7"/>
    <w:rsid w:val="009F39A2"/>
    <w:rsid w:val="009F7AE7"/>
    <w:rsid w:val="00A04C7A"/>
    <w:rsid w:val="00A058E5"/>
    <w:rsid w:val="00A10002"/>
    <w:rsid w:val="00A10C1A"/>
    <w:rsid w:val="00A14995"/>
    <w:rsid w:val="00A2072E"/>
    <w:rsid w:val="00A21B5C"/>
    <w:rsid w:val="00A224A9"/>
    <w:rsid w:val="00A237BB"/>
    <w:rsid w:val="00A47DFC"/>
    <w:rsid w:val="00A616B1"/>
    <w:rsid w:val="00A82078"/>
    <w:rsid w:val="00A838C8"/>
    <w:rsid w:val="00A91C42"/>
    <w:rsid w:val="00A9516B"/>
    <w:rsid w:val="00A9780A"/>
    <w:rsid w:val="00AA00AF"/>
    <w:rsid w:val="00AA2FC9"/>
    <w:rsid w:val="00AB1C2D"/>
    <w:rsid w:val="00AB283D"/>
    <w:rsid w:val="00AB6EC5"/>
    <w:rsid w:val="00AC3765"/>
    <w:rsid w:val="00AD1F33"/>
    <w:rsid w:val="00AD312E"/>
    <w:rsid w:val="00AE3EAF"/>
    <w:rsid w:val="00AE778F"/>
    <w:rsid w:val="00B024B0"/>
    <w:rsid w:val="00B1757A"/>
    <w:rsid w:val="00B27AFE"/>
    <w:rsid w:val="00B51748"/>
    <w:rsid w:val="00B5265B"/>
    <w:rsid w:val="00B57198"/>
    <w:rsid w:val="00B85023"/>
    <w:rsid w:val="00B96B65"/>
    <w:rsid w:val="00BA469B"/>
    <w:rsid w:val="00BB3DB0"/>
    <w:rsid w:val="00BB4A5B"/>
    <w:rsid w:val="00BB65C0"/>
    <w:rsid w:val="00BB694C"/>
    <w:rsid w:val="00BD1299"/>
    <w:rsid w:val="00BF0641"/>
    <w:rsid w:val="00BF2534"/>
    <w:rsid w:val="00BF3D13"/>
    <w:rsid w:val="00BF79DC"/>
    <w:rsid w:val="00C16E95"/>
    <w:rsid w:val="00C35DE1"/>
    <w:rsid w:val="00C47488"/>
    <w:rsid w:val="00C524AA"/>
    <w:rsid w:val="00C54689"/>
    <w:rsid w:val="00C61726"/>
    <w:rsid w:val="00C81B3A"/>
    <w:rsid w:val="00CB59A9"/>
    <w:rsid w:val="00CB6C08"/>
    <w:rsid w:val="00CB7B71"/>
    <w:rsid w:val="00CC4083"/>
    <w:rsid w:val="00CD0DCA"/>
    <w:rsid w:val="00CF1025"/>
    <w:rsid w:val="00CF5D5B"/>
    <w:rsid w:val="00D12F61"/>
    <w:rsid w:val="00D201C6"/>
    <w:rsid w:val="00D53CE6"/>
    <w:rsid w:val="00D638E0"/>
    <w:rsid w:val="00D716BA"/>
    <w:rsid w:val="00D8404D"/>
    <w:rsid w:val="00D86986"/>
    <w:rsid w:val="00DC2952"/>
    <w:rsid w:val="00DC7942"/>
    <w:rsid w:val="00DD6C22"/>
    <w:rsid w:val="00DF1AB7"/>
    <w:rsid w:val="00DF7798"/>
    <w:rsid w:val="00E07C02"/>
    <w:rsid w:val="00E12B06"/>
    <w:rsid w:val="00E15BF6"/>
    <w:rsid w:val="00E32C60"/>
    <w:rsid w:val="00E51C5A"/>
    <w:rsid w:val="00E5394E"/>
    <w:rsid w:val="00E71CB9"/>
    <w:rsid w:val="00E73698"/>
    <w:rsid w:val="00E8251C"/>
    <w:rsid w:val="00E844A0"/>
    <w:rsid w:val="00EA0826"/>
    <w:rsid w:val="00EA0E39"/>
    <w:rsid w:val="00EA141B"/>
    <w:rsid w:val="00EA402D"/>
    <w:rsid w:val="00EA4172"/>
    <w:rsid w:val="00EB0ED0"/>
    <w:rsid w:val="00EF0600"/>
    <w:rsid w:val="00F13ED2"/>
    <w:rsid w:val="00F16C46"/>
    <w:rsid w:val="00F24007"/>
    <w:rsid w:val="00F26D5B"/>
    <w:rsid w:val="00F27ACB"/>
    <w:rsid w:val="00F3616F"/>
    <w:rsid w:val="00F4280B"/>
    <w:rsid w:val="00F5556F"/>
    <w:rsid w:val="00F57513"/>
    <w:rsid w:val="00F6618F"/>
    <w:rsid w:val="00F70DD5"/>
    <w:rsid w:val="00F73165"/>
    <w:rsid w:val="00F84916"/>
    <w:rsid w:val="00F90BCE"/>
    <w:rsid w:val="00F91267"/>
    <w:rsid w:val="00FA5A80"/>
    <w:rsid w:val="00FA6E71"/>
    <w:rsid w:val="00FB7E64"/>
    <w:rsid w:val="00FC2881"/>
    <w:rsid w:val="00FD2AEF"/>
    <w:rsid w:val="00FD7DC1"/>
    <w:rsid w:val="00FF39E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3"/>
      </o:rules>
    </o:shapelayout>
  </w:shapeDefaults>
  <w:decimalSymbol w:val="."/>
  <w:listSeparator w:val=","/>
  <w15:docId w15:val="{FBB82F5E-02D5-488A-B60C-9BD0ACC0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1E5621"/>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rsid w:val="00D8404D"/>
    <w:rPr>
      <w:b/>
    </w:rPr>
  </w:style>
  <w:style w:type="paragraph" w:customStyle="1" w:styleId="AHPRADocumentsubheading">
    <w:name w:val="AHPRA Document subheading"/>
    <w:basedOn w:val="Normal"/>
    <w:next w:val="Normal"/>
    <w:qFormat/>
    <w:rsid w:val="001E5621"/>
    <w:pPr>
      <w:outlineLvl w:val="0"/>
    </w:pPr>
    <w:rPr>
      <w:rFonts w:cs="Arial"/>
      <w:color w:val="5F5E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link w:val="AHPRABulletlevel1Char"/>
    <w:qFormat/>
    <w:rsid w:val="00D8404D"/>
    <w:pPr>
      <w:numPr>
        <w:numId w:val="2"/>
      </w:numPr>
      <w:spacing w:after="0"/>
      <w:ind w:left="369" w:hanging="369"/>
    </w:pPr>
    <w:rPr>
      <w:sz w:val="20"/>
    </w:rPr>
  </w:style>
  <w:style w:type="paragraph" w:customStyle="1" w:styleId="AHPRABulletlevel2">
    <w:name w:val="AHPRA Bullet level 2"/>
    <w:basedOn w:val="AHPRABulletlevel1"/>
    <w:rsid w:val="00A10C1A"/>
    <w:pPr>
      <w:numPr>
        <w:numId w:val="0"/>
      </w:numPr>
    </w:pPr>
  </w:style>
  <w:style w:type="paragraph" w:customStyle="1" w:styleId="AHPRABulletlevel3">
    <w:name w:val="AHPRA Bullet level 3"/>
    <w:basedOn w:val="AHPRABulletlevel2"/>
    <w:rsid w:val="001E5621"/>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rsid w:val="000D7CFA"/>
    <w:pPr>
      <w:numPr>
        <w:numId w:val="4"/>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8404D"/>
    <w:rPr>
      <w:b/>
      <w:szCs w:val="18"/>
    </w:r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semiHidden/>
    <w:unhideWhenUsed/>
    <w:rsid w:val="00E73698"/>
    <w:rPr>
      <w:vertAlign w:val="superscript"/>
    </w:rPr>
  </w:style>
  <w:style w:type="paragraph" w:customStyle="1" w:styleId="AHPRAfooter">
    <w:name w:val="AHPRA footer"/>
    <w:basedOn w:val="FootnoteText"/>
    <w:rsid w:val="00A47DFC"/>
    <w:pPr>
      <w:jc w:val="center"/>
    </w:pPr>
    <w:rPr>
      <w:rFonts w:cs="Arial"/>
      <w:color w:val="5F5E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1"/>
    <w:semiHidden/>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C16E95"/>
    <w:pPr>
      <w:numPr>
        <w:numId w:val="3"/>
      </w:numPr>
    </w:pPr>
  </w:style>
  <w:style w:type="numbering" w:customStyle="1" w:styleId="AHPRANumberedheadinglist">
    <w:name w:val="AHPRA Numbered heading list"/>
    <w:uiPriority w:val="99"/>
    <w:rsid w:val="000D7CFA"/>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rsid w:val="00D8404D"/>
    <w:rPr>
      <w:b w:val="0"/>
      <w:i/>
    </w:rPr>
  </w:style>
  <w:style w:type="paragraph" w:customStyle="1" w:styleId="AHPRAbodyunderline">
    <w:name w:val="AHPRA body underline"/>
    <w:basedOn w:val="AHPRAbodyitalics"/>
    <w:rsid w:val="00D8404D"/>
    <w:rPr>
      <w:i w:val="0"/>
      <w:u w:val="single"/>
    </w:rPr>
  </w:style>
  <w:style w:type="paragraph" w:customStyle="1" w:styleId="AHPRAfirstpagefooter">
    <w:name w:val="AHPRA first page footer"/>
    <w:basedOn w:val="AHPRAfooter"/>
    <w:rsid w:val="00A47DFC"/>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C16E95"/>
    <w:pPr>
      <w:numPr>
        <w:numId w:val="5"/>
      </w:numPr>
    </w:pPr>
  </w:style>
  <w:style w:type="paragraph" w:customStyle="1" w:styleId="AHPRANumberedlistlevel3">
    <w:name w:val="AHPRA Numbered list level 3"/>
    <w:basedOn w:val="AHPRANumberedlistlevel1"/>
    <w:rsid w:val="00A10C1A"/>
    <w:pPr>
      <w:numPr>
        <w:ilvl w:val="2"/>
      </w:numPr>
    </w:pPr>
  </w:style>
  <w:style w:type="paragraph" w:customStyle="1" w:styleId="AHPRANumberedsubheadinglevel2">
    <w:name w:val="AHPRA Numbered subheading level 2"/>
    <w:basedOn w:val="AHPRANumberedsubheadinglevel1"/>
    <w:rsid w:val="00A47DFC"/>
    <w:pPr>
      <w:numPr>
        <w:ilvl w:val="1"/>
      </w:numPr>
      <w:spacing w:before="0"/>
      <w:ind w:left="738"/>
    </w:pPr>
    <w:rPr>
      <w:b w:val="0"/>
      <w:color w:val="auto"/>
    </w:rPr>
  </w:style>
  <w:style w:type="paragraph" w:customStyle="1" w:styleId="AHPRANumberedsubheadinglevel3">
    <w:name w:val="AHPRA Numbered subheading level 3"/>
    <w:basedOn w:val="AHPRANumberedsubheadinglevel2"/>
    <w:rsid w:val="000D7CFA"/>
    <w:pPr>
      <w:numPr>
        <w:ilvl w:val="2"/>
      </w:numPr>
      <w:ind w:left="1106"/>
    </w:p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A47DFC"/>
    <w:rPr>
      <w:rFonts w:cs="Arial"/>
      <w:szCs w:val="24"/>
    </w:rPr>
  </w:style>
  <w:style w:type="character" w:customStyle="1" w:styleId="AHPRAbodyboldChar">
    <w:name w:val="AHPRA body bold Char"/>
    <w:basedOn w:val="AHPRAbodyChar"/>
    <w:link w:val="AHPRAbodybold"/>
    <w:rsid w:val="00A47DFC"/>
    <w:rPr>
      <w:rFonts w:cs="Arial"/>
      <w:b/>
      <w:szCs w:val="24"/>
    </w:rPr>
  </w:style>
  <w:style w:type="character" w:customStyle="1" w:styleId="AHPRAbodyitalicsChar">
    <w:name w:val="AHPRA body italics Char"/>
    <w:basedOn w:val="AHPRAbodyboldChar"/>
    <w:link w:val="AHPRAbodyitalics"/>
    <w:rsid w:val="00A47DFC"/>
    <w:rPr>
      <w:rFonts w:cs="Arial"/>
      <w:b/>
      <w:i/>
      <w:szCs w:val="24"/>
    </w:rPr>
  </w:style>
  <w:style w:type="character" w:styleId="CommentReference">
    <w:name w:val="annotation reference"/>
    <w:basedOn w:val="DefaultParagraphFont"/>
    <w:uiPriority w:val="99"/>
    <w:semiHidden/>
    <w:unhideWhenUsed/>
    <w:rsid w:val="007320FD"/>
    <w:rPr>
      <w:sz w:val="16"/>
      <w:szCs w:val="16"/>
    </w:rPr>
  </w:style>
  <w:style w:type="paragraph" w:styleId="CommentText">
    <w:name w:val="annotation text"/>
    <w:basedOn w:val="Normal"/>
    <w:link w:val="CommentTextChar"/>
    <w:uiPriority w:val="99"/>
    <w:semiHidden/>
    <w:unhideWhenUsed/>
    <w:rsid w:val="007320FD"/>
    <w:rPr>
      <w:sz w:val="20"/>
      <w:szCs w:val="20"/>
    </w:rPr>
  </w:style>
  <w:style w:type="character" w:customStyle="1" w:styleId="CommentTextChar">
    <w:name w:val="Comment Text Char"/>
    <w:basedOn w:val="DefaultParagraphFont"/>
    <w:link w:val="CommentText"/>
    <w:uiPriority w:val="99"/>
    <w:semiHidden/>
    <w:rsid w:val="007320FD"/>
  </w:style>
  <w:style w:type="paragraph" w:styleId="CommentSubject">
    <w:name w:val="annotation subject"/>
    <w:basedOn w:val="CommentText"/>
    <w:next w:val="CommentText"/>
    <w:link w:val="CommentSubjectChar"/>
    <w:uiPriority w:val="1"/>
    <w:semiHidden/>
    <w:unhideWhenUsed/>
    <w:rsid w:val="007320FD"/>
    <w:rPr>
      <w:b/>
      <w:bCs/>
    </w:rPr>
  </w:style>
  <w:style w:type="character" w:customStyle="1" w:styleId="CommentSubjectChar">
    <w:name w:val="Comment Subject Char"/>
    <w:basedOn w:val="CommentTextChar"/>
    <w:link w:val="CommentSubject"/>
    <w:uiPriority w:val="1"/>
    <w:semiHidden/>
    <w:rsid w:val="007320FD"/>
    <w:rPr>
      <w:b/>
      <w:bCs/>
    </w:rPr>
  </w:style>
  <w:style w:type="paragraph" w:styleId="ListParagraph">
    <w:name w:val="List Paragraph"/>
    <w:basedOn w:val="Normal"/>
    <w:uiPriority w:val="34"/>
    <w:unhideWhenUsed/>
    <w:qFormat/>
    <w:rsid w:val="00814C59"/>
    <w:pPr>
      <w:ind w:left="720"/>
      <w:contextualSpacing/>
    </w:pPr>
  </w:style>
  <w:style w:type="paragraph" w:customStyle="1" w:styleId="AHPRAbodyContextparanumbered">
    <w:name w:val="AHPRA body 'Context' para numbered"/>
    <w:uiPriority w:val="1"/>
    <w:qFormat/>
    <w:rsid w:val="00457B61"/>
    <w:pPr>
      <w:numPr>
        <w:numId w:val="17"/>
      </w:numPr>
      <w:spacing w:after="200"/>
      <w:ind w:left="0" w:hanging="425"/>
    </w:pPr>
    <w:rPr>
      <w:rFonts w:cs="Arial"/>
      <w:szCs w:val="24"/>
      <w:lang w:val="en-AU"/>
    </w:rPr>
  </w:style>
  <w:style w:type="character" w:customStyle="1" w:styleId="AHPRABulletlevel1Char">
    <w:name w:val="AHPRA Bullet level 1 Char"/>
    <w:basedOn w:val="DefaultParagraphFont"/>
    <w:link w:val="AHPRABulletlevel1"/>
    <w:rsid w:val="00EA0826"/>
    <w:rPr>
      <w:szCs w:val="24"/>
    </w:rPr>
  </w:style>
  <w:style w:type="character" w:styleId="Emphasis">
    <w:name w:val="Emphasis"/>
    <w:basedOn w:val="DefaultParagraphFont"/>
    <w:uiPriority w:val="20"/>
    <w:qFormat/>
    <w:rsid w:val="00EA0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511795005">
      <w:bodyDiv w:val="1"/>
      <w:marLeft w:val="0"/>
      <w:marRight w:val="0"/>
      <w:marTop w:val="0"/>
      <w:marBottom w:val="0"/>
      <w:divBdr>
        <w:top w:val="none" w:sz="0" w:space="0" w:color="auto"/>
        <w:left w:val="none" w:sz="0" w:space="0" w:color="auto"/>
        <w:bottom w:val="none" w:sz="0" w:space="0" w:color="auto"/>
        <w:right w:val="none" w:sz="0" w:space="0" w:color="auto"/>
      </w:divBdr>
    </w:div>
    <w:div w:id="1684277951">
      <w:bodyDiv w:val="1"/>
      <w:marLeft w:val="0"/>
      <w:marRight w:val="0"/>
      <w:marTop w:val="0"/>
      <w:marBottom w:val="0"/>
      <w:divBdr>
        <w:top w:val="none" w:sz="0" w:space="0" w:color="auto"/>
        <w:left w:val="none" w:sz="0" w:space="0" w:color="auto"/>
        <w:bottom w:val="none" w:sz="0" w:space="0" w:color="auto"/>
        <w:right w:val="none" w:sz="0" w:space="0" w:color="auto"/>
      </w:divBdr>
    </w:div>
    <w:div w:id="18058097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binson\AppData\Local\Microsoft\Windows\Temporary%20Internet%20Files\Content.Outlook\JZK2LRMC\Agenda%20item_template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A1AF-FBF7-4932-AFC6-D72DC935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item_template2 (2).dotx</Template>
  <TotalTime>0</TotalTime>
  <Pages>2</Pages>
  <Words>616</Words>
  <Characters>3392</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Operational Policy:  Monitoring students who are suspended or prohibited from clinical training</vt:lpstr>
    </vt:vector>
  </TitlesOfParts>
  <Company/>
  <LinksUpToDate>false</LinksUpToDate>
  <CharactersWithSpaces>3964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Policy:  Monitoring students who are suspended or prohibited from clinical training</dc:title>
  <dc:subject>Policy</dc:subject>
  <dc:creator>AHPRA</dc:creator>
  <cp:lastModifiedBy>Brett Cremer</cp:lastModifiedBy>
  <cp:revision>2</cp:revision>
  <cp:lastPrinted>2010-06-23T03:38:00Z</cp:lastPrinted>
  <dcterms:created xsi:type="dcterms:W3CDTF">2019-05-13T23:38:00Z</dcterms:created>
  <dcterms:modified xsi:type="dcterms:W3CDTF">2019-05-13T23:38:00Z</dcterms:modified>
</cp:coreProperties>
</file>