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D8" w:rsidRDefault="00CE6DD8" w:rsidP="00CE6DD8">
      <w:pPr>
        <w:pStyle w:val="AHPRADocumenttitle"/>
        <w:rPr>
          <w:noProof/>
          <w:lang w:eastAsia="en-AU"/>
        </w:rPr>
      </w:pPr>
    </w:p>
    <w:p w:rsidR="00D819A5" w:rsidRDefault="00D819A5" w:rsidP="00CE6DD8">
      <w:pPr>
        <w:pStyle w:val="AHPRADocumenttitle"/>
        <w:rPr>
          <w:noProof/>
          <w:lang w:eastAsia="en-AU"/>
        </w:rPr>
      </w:pPr>
    </w:p>
    <w:p w:rsidR="00D819A5" w:rsidRDefault="00D819A5" w:rsidP="00CE6DD8">
      <w:pPr>
        <w:pStyle w:val="AHPRADocumenttitle"/>
        <w:rPr>
          <w:noProof/>
          <w:lang w:eastAsia="en-AU"/>
        </w:rPr>
      </w:pPr>
    </w:p>
    <w:p w:rsidR="00443180" w:rsidRPr="00A60B6E" w:rsidRDefault="002B4699" w:rsidP="00CE6DD8">
      <w:pPr>
        <w:pStyle w:val="AHPRADocumenttitle"/>
      </w:pPr>
      <w:r>
        <w:rPr>
          <w:noProof/>
          <w:lang w:eastAsia="en-AU"/>
        </w:rPr>
        <w:pict w14:anchorId="2FE9BCBF">
          <v:shapetype id="_x0000_t32" coordsize="21600,21600" o:spt="32" o:oned="t" path="m,l21600,21600e" filled="f">
            <v:path arrowok="t" fillok="f" o:connecttype="none"/>
            <o:lock v:ext="edit" shapetype="t"/>
          </v:shapetype>
          <v:shape id="AutoShape 3" o:spid="_x0000_s1026" type="#_x0000_t32" style="position:absolute;margin-left:-72.9pt;margin-top:26.7pt;width:201.25pt;height:0;z-index:251658240;visibility:visible;mso-wrap-distance-top:-1e-4mm;mso-wrap-distance-bottom:-1e-4mm"/>
        </w:pict>
      </w:r>
      <w:r w:rsidR="001063C0" w:rsidRPr="00A60B6E">
        <w:rPr>
          <w:noProof/>
          <w:lang w:eastAsia="en-AU"/>
        </w:rPr>
        <w:t>Common Protocol</w:t>
      </w:r>
    </w:p>
    <w:p w:rsidR="00443180" w:rsidRDefault="00443180" w:rsidP="00443180">
      <w:pPr>
        <w:outlineLvl w:val="0"/>
      </w:pPr>
    </w:p>
    <w:p w:rsidR="00DC2471" w:rsidRPr="00A60B6E" w:rsidRDefault="001063C0" w:rsidP="00CE6DD8">
      <w:pPr>
        <w:pStyle w:val="AHPRADocumentsubheading"/>
      </w:pPr>
      <w:r w:rsidRPr="00A60B6E">
        <w:t xml:space="preserve">Informing </w:t>
      </w:r>
      <w:r w:rsidR="006B6257">
        <w:t>notifiers</w:t>
      </w:r>
      <w:r w:rsidR="006B6257" w:rsidRPr="00A60B6E">
        <w:t xml:space="preserve"> </w:t>
      </w:r>
      <w:r w:rsidR="00A85EB4" w:rsidRPr="00A60B6E">
        <w:t>about the reasons for</w:t>
      </w:r>
      <w:r w:rsidRPr="00A60B6E">
        <w:t xml:space="preserve"> National Board decision</w:t>
      </w:r>
      <w:r w:rsidR="00A85EB4" w:rsidRPr="00A60B6E">
        <w:t>s</w:t>
      </w:r>
    </w:p>
    <w:p w:rsidR="00065E52" w:rsidRDefault="00065E52" w:rsidP="00443180">
      <w:pPr>
        <w:pStyle w:val="AHPRAbody"/>
      </w:pPr>
    </w:p>
    <w:p w:rsidR="00443180" w:rsidRPr="00154A7C" w:rsidRDefault="004A5D5C" w:rsidP="00443180">
      <w:pPr>
        <w:pStyle w:val="AHPRAbody"/>
      </w:pPr>
      <w:r>
        <w:t>Version 1.0</w:t>
      </w:r>
      <w:r w:rsidR="00CE1F72" w:rsidRPr="00154A7C">
        <w:t xml:space="preserve"> </w:t>
      </w:r>
      <w:r w:rsidR="00443180">
        <w:t>–</w:t>
      </w:r>
      <w:r>
        <w:t xml:space="preserve"> 1 August</w:t>
      </w:r>
      <w:r w:rsidR="00443180" w:rsidRPr="00154A7C">
        <w:t xml:space="preserve"> 201</w:t>
      </w:r>
      <w:r w:rsidR="00B0704D">
        <w:t>8</w:t>
      </w:r>
    </w:p>
    <w:p w:rsidR="00065E52" w:rsidRDefault="00065E52" w:rsidP="00443180">
      <w:pPr>
        <w:rPr>
          <w:rFonts w:cs="Arial"/>
          <w:b/>
        </w:rPr>
      </w:pPr>
    </w:p>
    <w:p w:rsidR="00065E52" w:rsidRDefault="00065E52" w:rsidP="00443180">
      <w:pPr>
        <w:rPr>
          <w:rFonts w:cs="Arial"/>
          <w:b/>
        </w:rPr>
      </w:pPr>
      <w:bookmarkStart w:id="0" w:name="_GoBack"/>
      <w:bookmarkEnd w:id="0"/>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065E52" w:rsidRDefault="00065E52" w:rsidP="00443180">
      <w:pPr>
        <w:rPr>
          <w:rFonts w:cs="Arial"/>
          <w:b/>
        </w:rPr>
      </w:pPr>
    </w:p>
    <w:p w:rsidR="00F91014" w:rsidRDefault="00F91014" w:rsidP="00065E52">
      <w:pPr>
        <w:pStyle w:val="AHPRADocumenttitle"/>
        <w:rPr>
          <w:rFonts w:asciiTheme="minorHAnsi" w:eastAsiaTheme="minorHAnsi" w:hAnsiTheme="minorHAnsi"/>
          <w:b/>
          <w:color w:val="auto"/>
          <w:sz w:val="22"/>
          <w:szCs w:val="22"/>
        </w:rPr>
      </w:pPr>
    </w:p>
    <w:p w:rsidR="00F65DA8" w:rsidRDefault="00F65DA8" w:rsidP="00443180">
      <w:pPr>
        <w:rPr>
          <w:rFonts w:ascii="Arial" w:eastAsia="Cambria" w:hAnsi="Arial" w:cs="Arial"/>
          <w:b/>
          <w:color w:val="00BCE4"/>
          <w:sz w:val="32"/>
          <w:szCs w:val="32"/>
        </w:rPr>
      </w:pPr>
    </w:p>
    <w:p w:rsidR="00D819A5" w:rsidRDefault="00D819A5">
      <w:pPr>
        <w:rPr>
          <w:b/>
          <w:color w:val="7F7F7F" w:themeColor="text1" w:themeTint="80"/>
          <w:sz w:val="28"/>
          <w:szCs w:val="28"/>
        </w:rPr>
      </w:pPr>
      <w:r>
        <w:rPr>
          <w:b/>
          <w:color w:val="7F7F7F" w:themeColor="text1" w:themeTint="80"/>
          <w:sz w:val="28"/>
          <w:szCs w:val="28"/>
        </w:rPr>
        <w:br w:type="page"/>
      </w:r>
    </w:p>
    <w:p w:rsidR="00D91365" w:rsidRDefault="00D91365" w:rsidP="00CE6DD8">
      <w:pPr>
        <w:pStyle w:val="AHPRANumberedsubheadinglevel1"/>
      </w:pPr>
      <w:r>
        <w:lastRenderedPageBreak/>
        <w:t>About the Common Protocol</w:t>
      </w:r>
    </w:p>
    <w:p w:rsidR="00C503ED" w:rsidRDefault="00E546B4" w:rsidP="00CE6DD8">
      <w:pPr>
        <w:pStyle w:val="AHPRAbody"/>
      </w:pPr>
      <w:r>
        <w:t>I</w:t>
      </w:r>
      <w:r w:rsidR="00F30142">
        <w:t xml:space="preserve">n September 2017, legislation was passed in the Queensland Parliament to amend the </w:t>
      </w:r>
      <w:r>
        <w:t xml:space="preserve">Health Practitioner Regulation </w:t>
      </w:r>
      <w:r w:rsidR="00F30142">
        <w:t xml:space="preserve">National Law </w:t>
      </w:r>
      <w:r>
        <w:t xml:space="preserve">(National Law) </w:t>
      </w:r>
      <w:r w:rsidR="00F30142">
        <w:t xml:space="preserve">to </w:t>
      </w:r>
      <w:r>
        <w:t xml:space="preserve">enable people who raise concerns about registered health practitioners (notifiers) to receive more information about how their matter is dealt with. Specifically, the amendments </w:t>
      </w:r>
      <w:r w:rsidR="00F30142">
        <w:t xml:space="preserve">allow </w:t>
      </w:r>
      <w:r>
        <w:t xml:space="preserve">notifiers to be informed at </w:t>
      </w:r>
      <w:r w:rsidR="00F30142">
        <w:t xml:space="preserve">key milestones in the notification process and to </w:t>
      </w:r>
      <w:r>
        <w:t xml:space="preserve">be </w:t>
      </w:r>
      <w:r w:rsidR="00F30142">
        <w:t>provide</w:t>
      </w:r>
      <w:r>
        <w:t>d with</w:t>
      </w:r>
      <w:r w:rsidR="00F30142">
        <w:t xml:space="preserve"> reasons for </w:t>
      </w:r>
      <w:r>
        <w:t>a National</w:t>
      </w:r>
      <w:r w:rsidR="00D91365">
        <w:t xml:space="preserve"> </w:t>
      </w:r>
      <w:r>
        <w:t>Board</w:t>
      </w:r>
      <w:r w:rsidR="00F30142">
        <w:t xml:space="preserve"> decision</w:t>
      </w:r>
      <w:r>
        <w:t>s in response to their concerns</w:t>
      </w:r>
      <w:r w:rsidR="00F30142">
        <w:t>.</w:t>
      </w:r>
      <w:r w:rsidR="00525FB9">
        <w:t xml:space="preserve"> </w:t>
      </w:r>
      <w:r w:rsidR="00F30142">
        <w:t xml:space="preserve"> The</w:t>
      </w:r>
      <w:r>
        <w:t>se</w:t>
      </w:r>
      <w:r w:rsidR="00F30142">
        <w:t xml:space="preserve"> amendments enable National Boards to </w:t>
      </w:r>
      <w:r>
        <w:t xml:space="preserve">meet </w:t>
      </w:r>
      <w:r w:rsidR="002C0D7C">
        <w:t xml:space="preserve">their </w:t>
      </w:r>
      <w:r>
        <w:t>regulatory responsibilities</w:t>
      </w:r>
      <w:r w:rsidR="00F30142">
        <w:t xml:space="preserve"> with greater transparency </w:t>
      </w:r>
      <w:r w:rsidR="00525FB9">
        <w:t>whil</w:t>
      </w:r>
      <w:r>
        <w:t>e continuing to</w:t>
      </w:r>
      <w:r w:rsidR="00525FB9">
        <w:t xml:space="preserve"> </w:t>
      </w:r>
      <w:r>
        <w:t xml:space="preserve">respect </w:t>
      </w:r>
      <w:r w:rsidR="00F30142">
        <w:t xml:space="preserve">the </w:t>
      </w:r>
      <w:r w:rsidR="00D91365">
        <w:t xml:space="preserve">privacy </w:t>
      </w:r>
      <w:r>
        <w:t>interests</w:t>
      </w:r>
      <w:r w:rsidR="00D91365">
        <w:t xml:space="preserve"> of practitioners.  </w:t>
      </w:r>
    </w:p>
    <w:p w:rsidR="00C503ED" w:rsidRDefault="00B54F4F" w:rsidP="00CE6DD8">
      <w:pPr>
        <w:pStyle w:val="AHPRAbody"/>
      </w:pPr>
      <w:r>
        <w:t>This</w:t>
      </w:r>
      <w:r w:rsidR="00D91365">
        <w:t xml:space="preserve"> </w:t>
      </w:r>
      <w:r>
        <w:t>C</w:t>
      </w:r>
      <w:r w:rsidR="00D91365">
        <w:t xml:space="preserve">ommon </w:t>
      </w:r>
      <w:r>
        <w:t>P</w:t>
      </w:r>
      <w:r w:rsidR="00D91365">
        <w:t xml:space="preserve">rotocol has been developed </w:t>
      </w:r>
      <w:r>
        <w:t>by the National Boards to explain the circumstances in which notifiers will be informed about the reasons for National Board decisions</w:t>
      </w:r>
      <w:r w:rsidR="002A5DA5">
        <w:t xml:space="preserve">. </w:t>
      </w:r>
      <w:r>
        <w:t xml:space="preserve">The Common Protocol also explains how information privacy considerations relating to practitioners and other people will be taken into </w:t>
      </w:r>
      <w:r w:rsidR="002C0D7C">
        <w:t xml:space="preserve">account </w:t>
      </w:r>
      <w:r>
        <w:t xml:space="preserve">in </w:t>
      </w:r>
      <w:r w:rsidR="00E546B4">
        <w:t>disclosing reasons for decisions to notifiers.</w:t>
      </w:r>
    </w:p>
    <w:p w:rsidR="00FB674E" w:rsidRDefault="00D35548" w:rsidP="00CE6DD8">
      <w:pPr>
        <w:pStyle w:val="AHPRANumberedsubheadinglevel1"/>
      </w:pPr>
      <w:r>
        <w:t>S</w:t>
      </w:r>
      <w:r w:rsidR="004D3CC2">
        <w:t xml:space="preserve">haring reasons for decisions with </w:t>
      </w:r>
      <w:r w:rsidR="00340993">
        <w:t>notifiers</w:t>
      </w:r>
      <w:r>
        <w:t xml:space="preserve"> under the National Law</w:t>
      </w:r>
    </w:p>
    <w:p w:rsidR="00996515" w:rsidRDefault="00491C85" w:rsidP="00CE6DD8">
      <w:pPr>
        <w:pStyle w:val="AHPRAbody"/>
      </w:pPr>
      <w:r>
        <w:t>In summary t</w:t>
      </w:r>
      <w:r w:rsidR="00996515">
        <w:t>he National Law</w:t>
      </w:r>
      <w:r>
        <w:t xml:space="preserve"> provides that notifiers</w:t>
      </w:r>
      <w:r w:rsidR="00996515">
        <w:t>:</w:t>
      </w:r>
    </w:p>
    <w:p w:rsidR="00C51C98" w:rsidRDefault="00996515" w:rsidP="00F04404">
      <w:pPr>
        <w:pStyle w:val="ListParagraph"/>
        <w:numPr>
          <w:ilvl w:val="0"/>
          <w:numId w:val="37"/>
        </w:numPr>
        <w:spacing w:after="60" w:line="240" w:lineRule="auto"/>
        <w:ind w:left="369" w:hanging="369"/>
        <w:contextualSpacing w:val="0"/>
        <w:rPr>
          <w:rFonts w:ascii="Arial" w:eastAsia="Cambria" w:hAnsi="Arial" w:cs="Arial"/>
          <w:sz w:val="20"/>
          <w:szCs w:val="20"/>
        </w:rPr>
      </w:pPr>
      <w:r>
        <w:rPr>
          <w:rFonts w:ascii="Arial" w:eastAsia="Cambria" w:hAnsi="Arial" w:cs="Arial"/>
          <w:sz w:val="20"/>
          <w:szCs w:val="20"/>
        </w:rPr>
        <w:t xml:space="preserve">must be provided with written notice of a decision to take no further action following an assessment </w:t>
      </w:r>
      <w:r w:rsidR="00491C85">
        <w:rPr>
          <w:rFonts w:ascii="Arial" w:eastAsia="Cambria" w:hAnsi="Arial" w:cs="Arial"/>
          <w:sz w:val="20"/>
          <w:szCs w:val="20"/>
        </w:rPr>
        <w:t xml:space="preserve">of a notification </w:t>
      </w:r>
      <w:r>
        <w:rPr>
          <w:rFonts w:ascii="Arial" w:eastAsia="Cambria" w:hAnsi="Arial" w:cs="Arial"/>
          <w:sz w:val="20"/>
          <w:szCs w:val="20"/>
        </w:rPr>
        <w:t>and the reason for that decision</w:t>
      </w:r>
      <w:r>
        <w:rPr>
          <w:rStyle w:val="FootnoteReference"/>
          <w:rFonts w:ascii="Arial" w:eastAsia="Cambria" w:hAnsi="Arial" w:cs="Arial"/>
          <w:sz w:val="20"/>
          <w:szCs w:val="20"/>
        </w:rPr>
        <w:footnoteReference w:id="1"/>
      </w:r>
    </w:p>
    <w:p w:rsidR="00456A6D" w:rsidRDefault="00456A6D" w:rsidP="00F04404">
      <w:pPr>
        <w:pStyle w:val="ListParagraph"/>
        <w:numPr>
          <w:ilvl w:val="0"/>
          <w:numId w:val="37"/>
        </w:numPr>
        <w:spacing w:after="60" w:line="240" w:lineRule="auto"/>
        <w:ind w:left="369" w:hanging="369"/>
        <w:contextualSpacing w:val="0"/>
        <w:rPr>
          <w:rFonts w:ascii="Arial" w:eastAsia="Cambria" w:hAnsi="Arial" w:cs="Arial"/>
          <w:sz w:val="20"/>
          <w:szCs w:val="20"/>
        </w:rPr>
      </w:pPr>
      <w:r>
        <w:rPr>
          <w:rFonts w:ascii="Arial" w:eastAsia="Cambria" w:hAnsi="Arial" w:cs="Arial"/>
          <w:sz w:val="20"/>
          <w:szCs w:val="20"/>
        </w:rPr>
        <w:t>must be provided with written notice of a decision to take re</w:t>
      </w:r>
      <w:r w:rsidR="00855243">
        <w:rPr>
          <w:rFonts w:ascii="Arial" w:eastAsia="Cambria" w:hAnsi="Arial" w:cs="Arial"/>
          <w:sz w:val="20"/>
          <w:szCs w:val="20"/>
        </w:rPr>
        <w:t xml:space="preserve">levant action in response to a </w:t>
      </w:r>
      <w:r w:rsidR="00491C85">
        <w:rPr>
          <w:rFonts w:ascii="Arial" w:eastAsia="Cambria" w:hAnsi="Arial" w:cs="Arial"/>
          <w:sz w:val="20"/>
          <w:szCs w:val="20"/>
        </w:rPr>
        <w:t>notification</w:t>
      </w:r>
      <w:r w:rsidR="00855243">
        <w:rPr>
          <w:rFonts w:ascii="Arial" w:eastAsia="Cambria" w:hAnsi="Arial" w:cs="Arial"/>
          <w:sz w:val="20"/>
          <w:szCs w:val="20"/>
        </w:rPr>
        <w:t xml:space="preserve">.  The National Board has a discretion about whether to provide the </w:t>
      </w:r>
      <w:r w:rsidR="00491C85">
        <w:rPr>
          <w:rFonts w:ascii="Arial" w:eastAsia="Cambria" w:hAnsi="Arial" w:cs="Arial"/>
          <w:sz w:val="20"/>
          <w:szCs w:val="20"/>
        </w:rPr>
        <w:t xml:space="preserve">notifier </w:t>
      </w:r>
      <w:r w:rsidR="00855243">
        <w:rPr>
          <w:rFonts w:ascii="Arial" w:eastAsia="Cambria" w:hAnsi="Arial" w:cs="Arial"/>
          <w:sz w:val="20"/>
          <w:szCs w:val="20"/>
        </w:rPr>
        <w:t>with the reasons for the decision</w:t>
      </w:r>
      <w:r w:rsidR="00855243">
        <w:rPr>
          <w:rStyle w:val="FootnoteReference"/>
          <w:rFonts w:ascii="Arial" w:eastAsia="Cambria" w:hAnsi="Arial" w:cs="Arial"/>
          <w:sz w:val="20"/>
          <w:szCs w:val="20"/>
        </w:rPr>
        <w:footnoteReference w:id="2"/>
      </w:r>
    </w:p>
    <w:p w:rsidR="00996515" w:rsidRDefault="00996515" w:rsidP="00F04404">
      <w:pPr>
        <w:pStyle w:val="ListParagraph"/>
        <w:numPr>
          <w:ilvl w:val="0"/>
          <w:numId w:val="37"/>
        </w:numPr>
        <w:spacing w:after="60" w:line="240" w:lineRule="auto"/>
        <w:ind w:left="369" w:hanging="369"/>
        <w:contextualSpacing w:val="0"/>
        <w:rPr>
          <w:rFonts w:ascii="Arial" w:eastAsia="Cambria" w:hAnsi="Arial" w:cs="Arial"/>
          <w:sz w:val="20"/>
          <w:szCs w:val="20"/>
        </w:rPr>
      </w:pPr>
      <w:r>
        <w:rPr>
          <w:rFonts w:ascii="Arial" w:eastAsia="Cambria" w:hAnsi="Arial" w:cs="Arial"/>
          <w:sz w:val="20"/>
          <w:szCs w:val="20"/>
        </w:rPr>
        <w:t xml:space="preserve">may be provided with notice of a decision to take immediate action </w:t>
      </w:r>
      <w:r w:rsidR="00757D9F">
        <w:rPr>
          <w:rFonts w:ascii="Arial" w:eastAsia="Cambria" w:hAnsi="Arial" w:cs="Arial"/>
          <w:sz w:val="20"/>
          <w:szCs w:val="20"/>
        </w:rPr>
        <w:t xml:space="preserve">that arises from the notification </w:t>
      </w:r>
      <w:r>
        <w:rPr>
          <w:rFonts w:ascii="Arial" w:eastAsia="Cambria" w:hAnsi="Arial" w:cs="Arial"/>
          <w:sz w:val="20"/>
          <w:szCs w:val="20"/>
        </w:rPr>
        <w:t xml:space="preserve">and the </w:t>
      </w:r>
      <w:r w:rsidR="00462CE0">
        <w:rPr>
          <w:rFonts w:ascii="Arial" w:eastAsia="Cambria" w:hAnsi="Arial" w:cs="Arial"/>
          <w:sz w:val="20"/>
          <w:szCs w:val="20"/>
        </w:rPr>
        <w:t>reasons for that decision</w:t>
      </w:r>
      <w:r>
        <w:rPr>
          <w:rStyle w:val="FootnoteReference"/>
          <w:rFonts w:ascii="Arial" w:eastAsia="Cambria" w:hAnsi="Arial" w:cs="Arial"/>
          <w:sz w:val="20"/>
          <w:szCs w:val="20"/>
        </w:rPr>
        <w:footnoteReference w:id="3"/>
      </w:r>
    </w:p>
    <w:p w:rsidR="00996515" w:rsidRDefault="00456A6D" w:rsidP="00F04404">
      <w:pPr>
        <w:pStyle w:val="ListParagraph"/>
        <w:numPr>
          <w:ilvl w:val="0"/>
          <w:numId w:val="37"/>
        </w:numPr>
        <w:spacing w:after="60" w:line="240" w:lineRule="auto"/>
        <w:ind w:left="369" w:hanging="369"/>
        <w:contextualSpacing w:val="0"/>
        <w:rPr>
          <w:rFonts w:ascii="Arial" w:eastAsia="Cambria" w:hAnsi="Arial" w:cs="Arial"/>
          <w:sz w:val="20"/>
          <w:szCs w:val="20"/>
        </w:rPr>
      </w:pPr>
      <w:r>
        <w:rPr>
          <w:rFonts w:ascii="Arial" w:eastAsia="Cambria" w:hAnsi="Arial" w:cs="Arial"/>
          <w:sz w:val="20"/>
          <w:szCs w:val="20"/>
        </w:rPr>
        <w:t xml:space="preserve">may be provided with notice of a decision made in relation to their </w:t>
      </w:r>
      <w:r w:rsidR="00491C85">
        <w:rPr>
          <w:rFonts w:ascii="Arial" w:eastAsia="Cambria" w:hAnsi="Arial" w:cs="Arial"/>
          <w:sz w:val="20"/>
          <w:szCs w:val="20"/>
        </w:rPr>
        <w:t>notification</w:t>
      </w:r>
      <w:r>
        <w:rPr>
          <w:rFonts w:ascii="Arial" w:eastAsia="Cambria" w:hAnsi="Arial" w:cs="Arial"/>
          <w:sz w:val="20"/>
          <w:szCs w:val="20"/>
        </w:rPr>
        <w:t>, and the reasons for that decision, following an investigation</w:t>
      </w:r>
      <w:r>
        <w:rPr>
          <w:rStyle w:val="FootnoteReference"/>
          <w:rFonts w:ascii="Arial" w:eastAsia="Cambria" w:hAnsi="Arial" w:cs="Arial"/>
          <w:sz w:val="20"/>
          <w:szCs w:val="20"/>
        </w:rPr>
        <w:footnoteReference w:id="4"/>
      </w:r>
    </w:p>
    <w:p w:rsidR="00456A6D" w:rsidRDefault="00456A6D" w:rsidP="00F04404">
      <w:pPr>
        <w:pStyle w:val="ListParagraph"/>
        <w:numPr>
          <w:ilvl w:val="0"/>
          <w:numId w:val="37"/>
        </w:numPr>
        <w:spacing w:after="60" w:line="240" w:lineRule="auto"/>
        <w:ind w:left="369" w:hanging="369"/>
        <w:contextualSpacing w:val="0"/>
        <w:rPr>
          <w:rFonts w:ascii="Arial" w:eastAsia="Cambria" w:hAnsi="Arial" w:cs="Arial"/>
          <w:sz w:val="20"/>
          <w:szCs w:val="20"/>
        </w:rPr>
      </w:pPr>
      <w:r>
        <w:rPr>
          <w:rFonts w:ascii="Arial" w:eastAsia="Cambria" w:hAnsi="Arial" w:cs="Arial"/>
          <w:sz w:val="20"/>
          <w:szCs w:val="20"/>
        </w:rPr>
        <w:t xml:space="preserve">may be provided with notice of a decision made in relation to their </w:t>
      </w:r>
      <w:r w:rsidR="00491C85">
        <w:rPr>
          <w:rFonts w:ascii="Arial" w:eastAsia="Cambria" w:hAnsi="Arial" w:cs="Arial"/>
          <w:sz w:val="20"/>
          <w:szCs w:val="20"/>
        </w:rPr>
        <w:t xml:space="preserve">notification, </w:t>
      </w:r>
      <w:r>
        <w:rPr>
          <w:rFonts w:ascii="Arial" w:eastAsia="Cambria" w:hAnsi="Arial" w:cs="Arial"/>
          <w:sz w:val="20"/>
          <w:szCs w:val="20"/>
        </w:rPr>
        <w:t>and the reasons for that decision, following a health</w:t>
      </w:r>
      <w:r w:rsidR="00757D9F">
        <w:rPr>
          <w:rStyle w:val="FootnoteReference"/>
          <w:rFonts w:ascii="Arial" w:eastAsia="Cambria" w:hAnsi="Arial" w:cs="Arial"/>
          <w:sz w:val="20"/>
          <w:szCs w:val="20"/>
        </w:rPr>
        <w:footnoteReference w:id="5"/>
      </w:r>
      <w:r>
        <w:rPr>
          <w:rFonts w:ascii="Arial" w:eastAsia="Cambria" w:hAnsi="Arial" w:cs="Arial"/>
          <w:sz w:val="20"/>
          <w:szCs w:val="20"/>
        </w:rPr>
        <w:t xml:space="preserve"> or performance assessment</w:t>
      </w:r>
      <w:r w:rsidR="00D819A5">
        <w:rPr>
          <w:rFonts w:ascii="Arial" w:eastAsia="Cambria" w:hAnsi="Arial" w:cs="Arial"/>
          <w:sz w:val="20"/>
          <w:szCs w:val="20"/>
        </w:rPr>
        <w:t>,</w:t>
      </w:r>
      <w:r>
        <w:rPr>
          <w:rStyle w:val="FootnoteReference"/>
          <w:rFonts w:ascii="Arial" w:eastAsia="Cambria" w:hAnsi="Arial" w:cs="Arial"/>
          <w:sz w:val="20"/>
          <w:szCs w:val="20"/>
        </w:rPr>
        <w:footnoteReference w:id="6"/>
      </w:r>
      <w:r w:rsidR="00C26888">
        <w:rPr>
          <w:rFonts w:ascii="Arial" w:eastAsia="Cambria" w:hAnsi="Arial" w:cs="Arial"/>
          <w:sz w:val="20"/>
          <w:szCs w:val="20"/>
        </w:rPr>
        <w:t xml:space="preserve"> and</w:t>
      </w:r>
    </w:p>
    <w:p w:rsidR="00C26888" w:rsidRPr="00C26888" w:rsidRDefault="00E10D9D" w:rsidP="00CE6DD8">
      <w:pPr>
        <w:pStyle w:val="ListParagraph"/>
        <w:numPr>
          <w:ilvl w:val="0"/>
          <w:numId w:val="37"/>
        </w:numPr>
        <w:spacing w:after="120" w:line="240" w:lineRule="auto"/>
        <w:ind w:left="369" w:hanging="369"/>
        <w:contextualSpacing w:val="0"/>
        <w:rPr>
          <w:rFonts w:ascii="Arial" w:eastAsia="Cambria" w:hAnsi="Arial" w:cs="Arial"/>
          <w:sz w:val="20"/>
          <w:szCs w:val="20"/>
        </w:rPr>
      </w:pPr>
      <w:r>
        <w:rPr>
          <w:rFonts w:ascii="Arial" w:eastAsia="Cambria" w:hAnsi="Arial" w:cs="Arial"/>
          <w:sz w:val="20"/>
          <w:szCs w:val="20"/>
        </w:rPr>
        <w:t xml:space="preserve">must be provided with written notice of a decision made by a Health Panel or a Performance and Professional Standards Panel in response to their </w:t>
      </w:r>
      <w:r w:rsidR="00491C85">
        <w:rPr>
          <w:rFonts w:ascii="Arial" w:eastAsia="Cambria" w:hAnsi="Arial" w:cs="Arial"/>
          <w:sz w:val="20"/>
          <w:szCs w:val="20"/>
        </w:rPr>
        <w:t>notification</w:t>
      </w:r>
      <w:r>
        <w:rPr>
          <w:rFonts w:ascii="Arial" w:eastAsia="Cambria" w:hAnsi="Arial" w:cs="Arial"/>
          <w:sz w:val="20"/>
          <w:szCs w:val="20"/>
        </w:rPr>
        <w:t xml:space="preserve">.  The National Board has discretion about whether to provide a </w:t>
      </w:r>
      <w:r w:rsidR="00491C85">
        <w:rPr>
          <w:rFonts w:ascii="Arial" w:eastAsia="Cambria" w:hAnsi="Arial" w:cs="Arial"/>
          <w:sz w:val="20"/>
          <w:szCs w:val="20"/>
        </w:rPr>
        <w:t xml:space="preserve">notifier </w:t>
      </w:r>
      <w:r>
        <w:rPr>
          <w:rFonts w:ascii="Arial" w:eastAsia="Cambria" w:hAnsi="Arial" w:cs="Arial"/>
          <w:sz w:val="20"/>
          <w:szCs w:val="20"/>
        </w:rPr>
        <w:t>with the reasons for a panel decision</w:t>
      </w:r>
      <w:r w:rsidR="00C26888">
        <w:rPr>
          <w:rFonts w:ascii="Arial" w:eastAsia="Cambria" w:hAnsi="Arial" w:cs="Arial"/>
          <w:sz w:val="20"/>
          <w:szCs w:val="20"/>
        </w:rPr>
        <w:t>.</w:t>
      </w:r>
      <w:r>
        <w:rPr>
          <w:rStyle w:val="FootnoteReference"/>
          <w:rFonts w:ascii="Arial" w:eastAsia="Cambria" w:hAnsi="Arial" w:cs="Arial"/>
          <w:sz w:val="20"/>
          <w:szCs w:val="20"/>
        </w:rPr>
        <w:footnoteReference w:id="7"/>
      </w:r>
    </w:p>
    <w:p w:rsidR="003B3041" w:rsidRPr="00EF799B" w:rsidRDefault="008F28E7" w:rsidP="00CE6DD8">
      <w:pPr>
        <w:pStyle w:val="AHPRANumberedsubheadinglevel1"/>
      </w:pPr>
      <w:r>
        <w:t xml:space="preserve">Information </w:t>
      </w:r>
      <w:r w:rsidR="00CE6DD8">
        <w:t>p</w:t>
      </w:r>
      <w:r w:rsidR="004D3CC2">
        <w:t>rivacy</w:t>
      </w:r>
    </w:p>
    <w:p w:rsidR="008F28E7" w:rsidRPr="00974B8A" w:rsidRDefault="008F28E7" w:rsidP="00CE6DD8">
      <w:pPr>
        <w:pStyle w:val="AHPRAbody"/>
      </w:pPr>
      <w:r w:rsidRPr="00151959">
        <w:t xml:space="preserve">The way </w:t>
      </w:r>
      <w:r w:rsidR="007D09E1" w:rsidRPr="00151959">
        <w:t>National Board</w:t>
      </w:r>
      <w:r w:rsidRPr="00151959">
        <w:t xml:space="preserve">s and the Australian Health Practitioner Regulation Agency (AHPRA) collect, </w:t>
      </w:r>
      <w:r w:rsidR="002E0F0F" w:rsidRPr="00151959">
        <w:t>store</w:t>
      </w:r>
      <w:r w:rsidRPr="00151959">
        <w:t xml:space="preserve">, use and disclose </w:t>
      </w:r>
      <w:r w:rsidRPr="00974B8A">
        <w:t>personal information</w:t>
      </w:r>
      <w:r w:rsidR="000A611F" w:rsidRPr="00974B8A">
        <w:rPr>
          <w:rStyle w:val="FootnoteReference"/>
          <w:color w:val="000000" w:themeColor="text1"/>
          <w:szCs w:val="20"/>
        </w:rPr>
        <w:footnoteReference w:id="8"/>
      </w:r>
      <w:r w:rsidRPr="00974B8A">
        <w:t xml:space="preserve"> is regulated under the </w:t>
      </w:r>
      <w:r w:rsidRPr="00974B8A">
        <w:rPr>
          <w:i/>
        </w:rPr>
        <w:t xml:space="preserve">Privacy Act 1988 </w:t>
      </w:r>
      <w:r w:rsidRPr="00974B8A">
        <w:t>(Cth), the Austr</w:t>
      </w:r>
      <w:r w:rsidR="00474703" w:rsidRPr="00974B8A">
        <w:t>alian Privacy Principles</w:t>
      </w:r>
      <w:r w:rsidR="00F52D54" w:rsidRPr="00974B8A">
        <w:t>, the National Law</w:t>
      </w:r>
      <w:r w:rsidR="00E83AE3" w:rsidRPr="00974B8A">
        <w:rPr>
          <w:rStyle w:val="FootnoteReference"/>
          <w:color w:val="000000" w:themeColor="text1"/>
          <w:szCs w:val="20"/>
        </w:rPr>
        <w:footnoteReference w:id="9"/>
      </w:r>
      <w:r w:rsidR="00474703" w:rsidRPr="00974B8A">
        <w:t xml:space="preserve"> and</w:t>
      </w:r>
      <w:r w:rsidRPr="00974B8A">
        <w:t xml:space="preserve"> AHPRA</w:t>
      </w:r>
      <w:r w:rsidR="00474703" w:rsidRPr="00974B8A">
        <w:t>’s</w:t>
      </w:r>
      <w:r w:rsidRPr="00974B8A">
        <w:t xml:space="preserve"> Privacy Policy.</w:t>
      </w:r>
    </w:p>
    <w:p w:rsidR="008F28E7" w:rsidRPr="00974B8A" w:rsidRDefault="008F28E7" w:rsidP="00CE6DD8">
      <w:pPr>
        <w:pStyle w:val="AHPRAbody"/>
      </w:pPr>
      <w:r w:rsidRPr="00974B8A">
        <w:lastRenderedPageBreak/>
        <w:t xml:space="preserve">AHPRA and the National Boards often collect personal information about health practitioners, </w:t>
      </w:r>
      <w:r w:rsidR="000A611F" w:rsidRPr="00974B8A">
        <w:t>notifiers</w:t>
      </w:r>
      <w:r w:rsidRPr="00974B8A">
        <w:t>, patients and witnesses in order to respond to complaints made under the National Law.</w:t>
      </w:r>
      <w:r w:rsidR="002E0F0F" w:rsidRPr="00974B8A">
        <w:t xml:space="preserve">  This information is often of a sensitive nature.</w:t>
      </w:r>
    </w:p>
    <w:p w:rsidR="00325512" w:rsidRDefault="002E0F0F" w:rsidP="00CE6DD8">
      <w:pPr>
        <w:pStyle w:val="AHPRAbody"/>
      </w:pPr>
      <w:r w:rsidRPr="00974B8A">
        <w:t>The Australian Privacy Principles</w:t>
      </w:r>
      <w:r w:rsidR="00216AD6" w:rsidRPr="00974B8A">
        <w:t xml:space="preserve"> </w:t>
      </w:r>
      <w:r w:rsidR="00F52D54" w:rsidRPr="00974B8A">
        <w:t>facilitate</w:t>
      </w:r>
      <w:r w:rsidR="007D09E1" w:rsidRPr="00974B8A">
        <w:t xml:space="preserve"> </w:t>
      </w:r>
      <w:r w:rsidR="00216AD6" w:rsidRPr="00974B8A">
        <w:t>the</w:t>
      </w:r>
      <w:r w:rsidR="00216AD6" w:rsidRPr="00151959">
        <w:t xml:space="preserve"> disclosure of personal information as required or authorised by law.</w:t>
      </w:r>
      <w:r w:rsidR="00216AD6" w:rsidRPr="00151959">
        <w:rPr>
          <w:rStyle w:val="FootnoteReference"/>
          <w:color w:val="000000" w:themeColor="text1"/>
          <w:szCs w:val="20"/>
        </w:rPr>
        <w:footnoteReference w:id="10"/>
      </w:r>
      <w:r w:rsidR="00216AD6" w:rsidRPr="00151959">
        <w:t xml:space="preserve">  As outlined above, the National Law authorises that complainants be notified of the reasons for National Board decisions that relate to their concerns.  Reasons for National Board decisions may include personal information relating to practitioners, patients or witnesses.</w:t>
      </w:r>
    </w:p>
    <w:p w:rsidR="004B3744" w:rsidRDefault="004B3744" w:rsidP="00CE6DD8">
      <w:pPr>
        <w:pStyle w:val="AHPRAbody"/>
      </w:pPr>
      <w:r>
        <w:t xml:space="preserve">Personal information will only be disclosed where it is reasonably necessary in order for a </w:t>
      </w:r>
      <w:r w:rsidR="00C42055">
        <w:t xml:space="preserve">notifier </w:t>
      </w:r>
      <w:r>
        <w:t>to understand the basis of a National Board</w:t>
      </w:r>
      <w:r w:rsidR="00200ED6">
        <w:t>’</w:t>
      </w:r>
      <w:r>
        <w:t xml:space="preserve">s </w:t>
      </w:r>
      <w:r w:rsidR="00200ED6">
        <w:t>decision</w:t>
      </w:r>
      <w:r w:rsidR="000762A6">
        <w:t xml:space="preserve"> in response to the concerns that they raised</w:t>
      </w:r>
      <w:r>
        <w:t>.  In other circumstances</w:t>
      </w:r>
      <w:r w:rsidR="006B6257">
        <w:t>,</w:t>
      </w:r>
      <w:r>
        <w:t xml:space="preserve"> </w:t>
      </w:r>
      <w:r w:rsidR="000762A6">
        <w:t xml:space="preserve">the </w:t>
      </w:r>
      <w:r>
        <w:t>personal information contained within</w:t>
      </w:r>
      <w:r w:rsidR="000762A6">
        <w:t xml:space="preserve"> the</w:t>
      </w:r>
      <w:r>
        <w:t xml:space="preserve"> reasons for </w:t>
      </w:r>
      <w:r w:rsidR="000762A6">
        <w:t>a decision</w:t>
      </w:r>
      <w:r>
        <w:t xml:space="preserve"> may be provided </w:t>
      </w:r>
      <w:r w:rsidR="000762A6">
        <w:t xml:space="preserve">to </w:t>
      </w:r>
      <w:r w:rsidR="00C42055">
        <w:t>notifiers</w:t>
      </w:r>
      <w:r w:rsidR="000762A6">
        <w:t xml:space="preserve"> </w:t>
      </w:r>
      <w:r>
        <w:t>in a de-identified form.</w:t>
      </w:r>
    </w:p>
    <w:p w:rsidR="004E78AC" w:rsidRPr="00A60B6E" w:rsidRDefault="00693A36" w:rsidP="00CE6DD8">
      <w:pPr>
        <w:pStyle w:val="AHPRAbody"/>
      </w:pPr>
      <w:r>
        <w:t>Notifiers will be</w:t>
      </w:r>
      <w:r w:rsidR="004E78AC">
        <w:t xml:space="preserve"> asked to treat other </w:t>
      </w:r>
      <w:r w:rsidR="007E5468">
        <w:t>people’s</w:t>
      </w:r>
      <w:r w:rsidR="004E78AC">
        <w:t xml:space="preserve"> personal information confidentially and sensitively when it is disclosed to them as part of the reasons for a National Board’s decision.</w:t>
      </w:r>
      <w:r w:rsidR="004B3744">
        <w:t xml:space="preserve">  </w:t>
      </w:r>
      <w:r>
        <w:t>Notifiers</w:t>
      </w:r>
      <w:r w:rsidR="004B3744">
        <w:t xml:space="preserve"> </w:t>
      </w:r>
      <w:r>
        <w:t xml:space="preserve">will </w:t>
      </w:r>
      <w:r w:rsidR="001D4B81">
        <w:t>also</w:t>
      </w:r>
      <w:r>
        <w:t xml:space="preserve"> be</w:t>
      </w:r>
      <w:r w:rsidR="004B3744">
        <w:t xml:space="preserve"> reminded that Commonwealth, State or Territory laws may </w:t>
      </w:r>
      <w:r w:rsidR="000762A6">
        <w:t>restrict</w:t>
      </w:r>
      <w:r w:rsidR="004B3744">
        <w:t xml:space="preserve"> how they can use </w:t>
      </w:r>
      <w:r w:rsidR="000762A6">
        <w:t>other people’s</w:t>
      </w:r>
      <w:r w:rsidR="004B3744">
        <w:t xml:space="preserve"> personal information</w:t>
      </w:r>
      <w:r w:rsidR="00B85F45">
        <w:t>.</w:t>
      </w:r>
    </w:p>
    <w:p w:rsidR="00AF69E7" w:rsidRPr="00D35548" w:rsidRDefault="00AF69E7" w:rsidP="00CE6DD8">
      <w:pPr>
        <w:pStyle w:val="AHPRANumberedsubheadinglevel1"/>
      </w:pPr>
      <w:r w:rsidRPr="00D35548">
        <w:t xml:space="preserve">What information about a decision will be disclosed to a </w:t>
      </w:r>
      <w:r>
        <w:t>notifier</w:t>
      </w:r>
      <w:r w:rsidRPr="00D35548">
        <w:t>?</w:t>
      </w:r>
    </w:p>
    <w:p w:rsidR="00AF69E7" w:rsidRPr="00536E20" w:rsidRDefault="00AF69E7" w:rsidP="00CE6DD8">
      <w:pPr>
        <w:pStyle w:val="ListParagraph"/>
        <w:spacing w:after="120" w:line="240" w:lineRule="auto"/>
        <w:ind w:left="0"/>
        <w:contextualSpacing w:val="0"/>
        <w:rPr>
          <w:rFonts w:ascii="Arial" w:eastAsia="Cambria" w:hAnsi="Arial" w:cs="Arial"/>
          <w:color w:val="000000" w:themeColor="text1"/>
          <w:sz w:val="20"/>
          <w:szCs w:val="20"/>
        </w:rPr>
      </w:pPr>
      <w:r w:rsidRPr="00536E20">
        <w:rPr>
          <w:rFonts w:ascii="Arial" w:eastAsia="Cambria" w:hAnsi="Arial" w:cs="Arial"/>
          <w:color w:val="000000" w:themeColor="text1"/>
          <w:sz w:val="20"/>
          <w:szCs w:val="20"/>
        </w:rPr>
        <w:t xml:space="preserve">When a National Board decides to provide reasons for a decision to a </w:t>
      </w:r>
      <w:r>
        <w:rPr>
          <w:rFonts w:ascii="Arial" w:eastAsia="Cambria" w:hAnsi="Arial" w:cs="Arial"/>
          <w:color w:val="000000" w:themeColor="text1"/>
          <w:sz w:val="20"/>
          <w:szCs w:val="20"/>
        </w:rPr>
        <w:t xml:space="preserve">notifier </w:t>
      </w:r>
      <w:r w:rsidRPr="00536E20">
        <w:rPr>
          <w:rFonts w:ascii="Arial" w:eastAsia="Cambria" w:hAnsi="Arial" w:cs="Arial"/>
          <w:color w:val="000000" w:themeColor="text1"/>
          <w:sz w:val="20"/>
          <w:szCs w:val="20"/>
        </w:rPr>
        <w:t>the information disclosed will:</w:t>
      </w:r>
    </w:p>
    <w:p w:rsidR="00AF69E7" w:rsidRPr="00536E20" w:rsidRDefault="00AF69E7" w:rsidP="00F04404">
      <w:pPr>
        <w:pStyle w:val="ListParagraph"/>
        <w:numPr>
          <w:ilvl w:val="0"/>
          <w:numId w:val="39"/>
        </w:numPr>
        <w:spacing w:after="60" w:line="240" w:lineRule="auto"/>
        <w:ind w:left="369" w:hanging="369"/>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b</w:t>
      </w:r>
      <w:r w:rsidRPr="00536E20">
        <w:rPr>
          <w:rFonts w:ascii="Arial" w:eastAsia="Cambria" w:hAnsi="Arial" w:cs="Arial"/>
          <w:color w:val="000000" w:themeColor="text1"/>
          <w:sz w:val="20"/>
          <w:szCs w:val="20"/>
        </w:rPr>
        <w:t xml:space="preserve">e limited to responding to the concerns raised by the </w:t>
      </w:r>
      <w:r>
        <w:rPr>
          <w:rFonts w:ascii="Arial" w:eastAsia="Cambria" w:hAnsi="Arial" w:cs="Arial"/>
          <w:color w:val="000000" w:themeColor="text1"/>
          <w:sz w:val="20"/>
          <w:szCs w:val="20"/>
        </w:rPr>
        <w:t>notifier</w:t>
      </w:r>
      <w:r w:rsidRPr="00536E20">
        <w:rPr>
          <w:rFonts w:ascii="Arial" w:eastAsia="Cambria" w:hAnsi="Arial" w:cs="Arial"/>
          <w:color w:val="000000" w:themeColor="text1"/>
          <w:sz w:val="20"/>
          <w:szCs w:val="20"/>
        </w:rPr>
        <w:t xml:space="preserve"> and will not address any additional issues about the health practitioner identified by the National Board or a third party</w:t>
      </w:r>
    </w:p>
    <w:p w:rsidR="00AF69E7" w:rsidRPr="00536E20" w:rsidRDefault="00AF69E7" w:rsidP="00F04404">
      <w:pPr>
        <w:pStyle w:val="ListParagraph"/>
        <w:numPr>
          <w:ilvl w:val="0"/>
          <w:numId w:val="39"/>
        </w:numPr>
        <w:spacing w:after="60" w:line="240" w:lineRule="auto"/>
        <w:ind w:left="369" w:hanging="369"/>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de-identify personal information relating to other people unless it is reasonably necessary to disclose that information in order for a person to understand the basis on which a decision was made</w:t>
      </w:r>
    </w:p>
    <w:p w:rsidR="00AF69E7" w:rsidRDefault="00AF69E7" w:rsidP="00F04404">
      <w:pPr>
        <w:pStyle w:val="ListParagraph"/>
        <w:numPr>
          <w:ilvl w:val="0"/>
          <w:numId w:val="39"/>
        </w:numPr>
        <w:spacing w:after="60" w:line="240" w:lineRule="auto"/>
        <w:ind w:left="369" w:hanging="369"/>
        <w:contextualSpacing w:val="0"/>
        <w:rPr>
          <w:rFonts w:ascii="Arial" w:eastAsia="Cambria" w:hAnsi="Arial" w:cs="Arial"/>
          <w:color w:val="000000" w:themeColor="text1"/>
          <w:sz w:val="20"/>
          <w:szCs w:val="20"/>
        </w:rPr>
      </w:pPr>
      <w:r>
        <w:rPr>
          <w:rFonts w:ascii="Arial" w:eastAsia="Cambria" w:hAnsi="Arial" w:cs="Arial"/>
          <w:color w:val="000000" w:themeColor="text1"/>
          <w:sz w:val="20"/>
          <w:szCs w:val="20"/>
        </w:rPr>
        <w:t>provide a general overview of performance assessment processes and conclusions as they relate to the concerns raised by the notifier.  However, information provided about performance assessments will generally not provide detailed information about the care or treatment provided by a health practitioner to patients involved in the assessment</w:t>
      </w:r>
    </w:p>
    <w:p w:rsidR="00575144" w:rsidRDefault="00AF69E7" w:rsidP="00F04404">
      <w:pPr>
        <w:pStyle w:val="ListParagraph"/>
        <w:numPr>
          <w:ilvl w:val="0"/>
          <w:numId w:val="39"/>
        </w:numPr>
        <w:spacing w:after="60" w:line="240" w:lineRule="auto"/>
        <w:ind w:left="369" w:hanging="369"/>
        <w:contextualSpacing w:val="0"/>
        <w:rPr>
          <w:rFonts w:ascii="Arial" w:eastAsia="Cambria" w:hAnsi="Arial" w:cs="Arial"/>
          <w:color w:val="000000" w:themeColor="text1"/>
          <w:sz w:val="20"/>
          <w:szCs w:val="20"/>
        </w:rPr>
      </w:pPr>
      <w:r w:rsidRPr="00CA18A1">
        <w:rPr>
          <w:rFonts w:ascii="Arial" w:eastAsia="Cambria" w:hAnsi="Arial" w:cs="Arial"/>
          <w:color w:val="000000" w:themeColor="text1"/>
          <w:sz w:val="20"/>
          <w:szCs w:val="20"/>
          <w:u w:val="single"/>
        </w:rPr>
        <w:t>not</w:t>
      </w:r>
      <w:r w:rsidRPr="00536E20">
        <w:rPr>
          <w:rFonts w:ascii="Arial" w:eastAsia="Cambria" w:hAnsi="Arial" w:cs="Arial"/>
          <w:color w:val="000000" w:themeColor="text1"/>
          <w:sz w:val="20"/>
          <w:szCs w:val="20"/>
        </w:rPr>
        <w:t xml:space="preserve"> provide detailed information about </w:t>
      </w:r>
      <w:r>
        <w:rPr>
          <w:rFonts w:ascii="Arial" w:eastAsia="Cambria" w:hAnsi="Arial" w:cs="Arial"/>
          <w:color w:val="000000" w:themeColor="text1"/>
          <w:sz w:val="20"/>
          <w:szCs w:val="20"/>
        </w:rPr>
        <w:t xml:space="preserve">health assessment processes and conclusions.  Information provided to a notifier about a health assessment will usually be limited to the fact that the practitioner underwent a health assessment </w:t>
      </w:r>
      <w:r w:rsidRPr="0064275A">
        <w:rPr>
          <w:rFonts w:ascii="Arial" w:eastAsia="Cambria" w:hAnsi="Arial" w:cs="Arial"/>
          <w:color w:val="000000" w:themeColor="text1"/>
          <w:sz w:val="20"/>
          <w:szCs w:val="20"/>
        </w:rPr>
        <w:t>and whether the National Board consider</w:t>
      </w:r>
      <w:r w:rsidR="00D37D04" w:rsidRPr="0064275A">
        <w:rPr>
          <w:rFonts w:ascii="Arial" w:eastAsia="Cambria" w:hAnsi="Arial" w:cs="Arial"/>
          <w:color w:val="000000" w:themeColor="text1"/>
          <w:sz w:val="20"/>
          <w:szCs w:val="20"/>
        </w:rPr>
        <w:t xml:space="preserve">ed that action under </w:t>
      </w:r>
      <w:r w:rsidRPr="0064275A">
        <w:rPr>
          <w:rFonts w:ascii="Arial" w:eastAsia="Cambria" w:hAnsi="Arial" w:cs="Arial"/>
          <w:color w:val="000000" w:themeColor="text1"/>
          <w:sz w:val="20"/>
          <w:szCs w:val="20"/>
        </w:rPr>
        <w:t>the National Law</w:t>
      </w:r>
      <w:r w:rsidR="00D37D04" w:rsidRPr="0064275A">
        <w:rPr>
          <w:rFonts w:ascii="Arial" w:eastAsia="Cambria" w:hAnsi="Arial" w:cs="Arial"/>
          <w:color w:val="000000" w:themeColor="text1"/>
          <w:sz w:val="20"/>
          <w:szCs w:val="20"/>
        </w:rPr>
        <w:t xml:space="preserve"> was required to be taken to protect public safety after considering the health assessors report</w:t>
      </w:r>
      <w:r w:rsidR="00D819A5">
        <w:rPr>
          <w:rFonts w:ascii="Arial" w:eastAsia="Cambria" w:hAnsi="Arial" w:cs="Arial"/>
          <w:color w:val="000000" w:themeColor="text1"/>
          <w:sz w:val="20"/>
          <w:szCs w:val="20"/>
        </w:rPr>
        <w:t>,</w:t>
      </w:r>
      <w:r w:rsidR="00C8785D">
        <w:rPr>
          <w:rFonts w:ascii="Arial" w:eastAsia="Cambria" w:hAnsi="Arial" w:cs="Arial"/>
          <w:color w:val="000000" w:themeColor="text1"/>
          <w:sz w:val="20"/>
          <w:szCs w:val="20"/>
        </w:rPr>
        <w:t xml:space="preserve"> and</w:t>
      </w:r>
      <w:r w:rsidRPr="00536E20">
        <w:rPr>
          <w:rFonts w:ascii="Arial" w:eastAsia="Cambria" w:hAnsi="Arial" w:cs="Arial"/>
          <w:color w:val="000000" w:themeColor="text1"/>
          <w:sz w:val="20"/>
          <w:szCs w:val="20"/>
        </w:rPr>
        <w:t xml:space="preserve">  </w:t>
      </w:r>
    </w:p>
    <w:p w:rsidR="00AF69E7" w:rsidRPr="00575144" w:rsidRDefault="00AF69E7" w:rsidP="00D819A5">
      <w:pPr>
        <w:pStyle w:val="ListParagraph"/>
        <w:numPr>
          <w:ilvl w:val="0"/>
          <w:numId w:val="39"/>
        </w:numPr>
        <w:spacing w:after="120" w:line="240" w:lineRule="auto"/>
        <w:ind w:left="369" w:hanging="369"/>
        <w:contextualSpacing w:val="0"/>
        <w:rPr>
          <w:rFonts w:ascii="Arial" w:eastAsia="Cambria" w:hAnsi="Arial" w:cs="Arial"/>
          <w:color w:val="000000" w:themeColor="text1"/>
          <w:sz w:val="20"/>
          <w:szCs w:val="20"/>
        </w:rPr>
      </w:pPr>
      <w:r w:rsidRPr="00CA18A1">
        <w:rPr>
          <w:rFonts w:ascii="Arial" w:eastAsia="Cambria" w:hAnsi="Arial" w:cs="Arial"/>
          <w:color w:val="000000" w:themeColor="text1"/>
          <w:sz w:val="20"/>
          <w:szCs w:val="20"/>
          <w:u w:val="single"/>
        </w:rPr>
        <w:t>not</w:t>
      </w:r>
      <w:r w:rsidRPr="00575144">
        <w:rPr>
          <w:rFonts w:ascii="Arial" w:eastAsia="Cambria" w:hAnsi="Arial" w:cs="Arial"/>
          <w:color w:val="000000" w:themeColor="text1"/>
          <w:sz w:val="20"/>
          <w:szCs w:val="20"/>
        </w:rPr>
        <w:t xml:space="preserve"> provide information about a practitioner’s health.  Information about the nature of a medical condition or disability experienced by a health practitioner, as well as the practitioner’s prognosis and treatment, will not be provided to notifiers as part of the reasons for a National Board decision.</w:t>
      </w:r>
    </w:p>
    <w:p w:rsidR="00A60B6E" w:rsidRDefault="005B77F6" w:rsidP="00CE6DD8">
      <w:pPr>
        <w:pStyle w:val="AHPRANumberedsubheadinglevel1"/>
      </w:pPr>
      <w:r>
        <w:t>Notifier eligibility to receive reasons for a National Board decision</w:t>
      </w:r>
      <w:r w:rsidR="00A60B6E">
        <w:t xml:space="preserve"> </w:t>
      </w:r>
    </w:p>
    <w:p w:rsidR="00A60B6E" w:rsidRPr="00014445" w:rsidRDefault="000B6440" w:rsidP="00CE6DD8">
      <w:pPr>
        <w:pStyle w:val="AHPRAbody"/>
      </w:pPr>
      <w:r>
        <w:t xml:space="preserve">Notifiers </w:t>
      </w:r>
      <w:r w:rsidR="008F1488" w:rsidRPr="00014445">
        <w:t>will be informed about the reasons for a National Boar</w:t>
      </w:r>
      <w:r w:rsidR="002D384C">
        <w:t xml:space="preserve">d decision in response to the </w:t>
      </w:r>
      <w:r w:rsidR="008F1488" w:rsidRPr="00014445">
        <w:t xml:space="preserve">concerns </w:t>
      </w:r>
      <w:r w:rsidR="002D384C">
        <w:t>that they raised when</w:t>
      </w:r>
      <w:r w:rsidR="008F1488" w:rsidRPr="00014445">
        <w:t>:</w:t>
      </w:r>
    </w:p>
    <w:p w:rsidR="009134B0" w:rsidRDefault="006E3256" w:rsidP="00F04404">
      <w:pPr>
        <w:pStyle w:val="ListParagraph"/>
        <w:numPr>
          <w:ilvl w:val="0"/>
          <w:numId w:val="38"/>
        </w:numPr>
        <w:spacing w:after="60" w:line="240" w:lineRule="auto"/>
        <w:ind w:left="369" w:hanging="369"/>
        <w:contextualSpacing w:val="0"/>
        <w:rPr>
          <w:rFonts w:ascii="Arial" w:eastAsia="Cambria" w:hAnsi="Arial" w:cs="Arial"/>
          <w:sz w:val="20"/>
          <w:szCs w:val="20"/>
        </w:rPr>
      </w:pPr>
      <w:r>
        <w:rPr>
          <w:rFonts w:ascii="Arial" w:eastAsia="Cambria" w:hAnsi="Arial" w:cs="Arial"/>
          <w:sz w:val="20"/>
          <w:szCs w:val="20"/>
        </w:rPr>
        <w:t>t</w:t>
      </w:r>
      <w:r w:rsidR="009134B0">
        <w:rPr>
          <w:rFonts w:ascii="Arial" w:eastAsia="Cambria" w:hAnsi="Arial" w:cs="Arial"/>
          <w:sz w:val="20"/>
          <w:szCs w:val="20"/>
        </w:rPr>
        <w:t xml:space="preserve">he National </w:t>
      </w:r>
      <w:r w:rsidR="00C048A4">
        <w:rPr>
          <w:rFonts w:ascii="Arial" w:eastAsia="Cambria" w:hAnsi="Arial" w:cs="Arial"/>
          <w:sz w:val="20"/>
          <w:szCs w:val="20"/>
        </w:rPr>
        <w:t>Law requires</w:t>
      </w:r>
      <w:r w:rsidR="009134B0">
        <w:rPr>
          <w:rFonts w:ascii="Arial" w:eastAsia="Cambria" w:hAnsi="Arial" w:cs="Arial"/>
          <w:sz w:val="20"/>
          <w:szCs w:val="20"/>
        </w:rPr>
        <w:t xml:space="preserve"> disclosure of </w:t>
      </w:r>
      <w:r w:rsidR="00C048A4">
        <w:rPr>
          <w:rFonts w:ascii="Arial" w:eastAsia="Cambria" w:hAnsi="Arial" w:cs="Arial"/>
          <w:sz w:val="20"/>
          <w:szCs w:val="20"/>
        </w:rPr>
        <w:t xml:space="preserve">the </w:t>
      </w:r>
      <w:r w:rsidR="009134B0">
        <w:rPr>
          <w:rFonts w:ascii="Arial" w:eastAsia="Cambria" w:hAnsi="Arial" w:cs="Arial"/>
          <w:sz w:val="20"/>
          <w:szCs w:val="20"/>
        </w:rPr>
        <w:t>reasons for a decision</w:t>
      </w:r>
      <w:r w:rsidR="002F72B1">
        <w:rPr>
          <w:rFonts w:ascii="Arial" w:eastAsia="Cambria" w:hAnsi="Arial" w:cs="Arial"/>
          <w:sz w:val="20"/>
          <w:szCs w:val="20"/>
        </w:rPr>
        <w:t xml:space="preserve"> (see heading 2 above)</w:t>
      </w:r>
      <w:r w:rsidR="00D819A5">
        <w:rPr>
          <w:rFonts w:ascii="Arial" w:eastAsia="Cambria" w:hAnsi="Arial" w:cs="Arial"/>
          <w:sz w:val="20"/>
          <w:szCs w:val="20"/>
        </w:rPr>
        <w:t>,</w:t>
      </w:r>
      <w:r w:rsidR="009134B0">
        <w:rPr>
          <w:rFonts w:ascii="Arial" w:eastAsia="Cambria" w:hAnsi="Arial" w:cs="Arial"/>
          <w:sz w:val="20"/>
          <w:szCs w:val="20"/>
        </w:rPr>
        <w:t xml:space="preserve"> or</w:t>
      </w:r>
    </w:p>
    <w:p w:rsidR="009134B0" w:rsidRDefault="006E3256" w:rsidP="00F04404">
      <w:pPr>
        <w:pStyle w:val="ListParagraph"/>
        <w:numPr>
          <w:ilvl w:val="0"/>
          <w:numId w:val="38"/>
        </w:numPr>
        <w:spacing w:after="60" w:line="240" w:lineRule="auto"/>
        <w:ind w:left="369" w:hanging="369"/>
        <w:contextualSpacing w:val="0"/>
        <w:rPr>
          <w:rFonts w:ascii="Arial" w:eastAsia="Cambria" w:hAnsi="Arial" w:cs="Arial"/>
          <w:sz w:val="20"/>
          <w:szCs w:val="20"/>
        </w:rPr>
      </w:pPr>
      <w:r>
        <w:rPr>
          <w:rFonts w:ascii="Arial" w:eastAsia="Cambria" w:hAnsi="Arial" w:cs="Arial"/>
          <w:sz w:val="20"/>
          <w:szCs w:val="20"/>
        </w:rPr>
        <w:t>t</w:t>
      </w:r>
      <w:r w:rsidR="009134B0">
        <w:rPr>
          <w:rFonts w:ascii="Arial" w:eastAsia="Cambria" w:hAnsi="Arial" w:cs="Arial"/>
          <w:sz w:val="20"/>
          <w:szCs w:val="20"/>
        </w:rPr>
        <w:t xml:space="preserve">he National Law provides a discretion to disclose </w:t>
      </w:r>
      <w:r w:rsidR="00C048A4">
        <w:rPr>
          <w:rFonts w:ascii="Arial" w:eastAsia="Cambria" w:hAnsi="Arial" w:cs="Arial"/>
          <w:sz w:val="20"/>
          <w:szCs w:val="20"/>
        </w:rPr>
        <w:t xml:space="preserve">the </w:t>
      </w:r>
      <w:r w:rsidR="009134B0">
        <w:rPr>
          <w:rFonts w:ascii="Arial" w:eastAsia="Cambria" w:hAnsi="Arial" w:cs="Arial"/>
          <w:sz w:val="20"/>
          <w:szCs w:val="20"/>
        </w:rPr>
        <w:t>reasons for a decision</w:t>
      </w:r>
      <w:r w:rsidR="002F72B1">
        <w:rPr>
          <w:rFonts w:ascii="Arial" w:eastAsia="Cambria" w:hAnsi="Arial" w:cs="Arial"/>
          <w:sz w:val="20"/>
          <w:szCs w:val="20"/>
        </w:rPr>
        <w:t xml:space="preserve"> (see heading 2 above)</w:t>
      </w:r>
      <w:r w:rsidR="00D819A5">
        <w:rPr>
          <w:rFonts w:ascii="Arial" w:eastAsia="Cambria" w:hAnsi="Arial" w:cs="Arial"/>
          <w:sz w:val="20"/>
          <w:szCs w:val="20"/>
        </w:rPr>
        <w:t>,</w:t>
      </w:r>
      <w:r w:rsidR="009134B0">
        <w:rPr>
          <w:rFonts w:ascii="Arial" w:eastAsia="Cambria" w:hAnsi="Arial" w:cs="Arial"/>
          <w:sz w:val="20"/>
          <w:szCs w:val="20"/>
        </w:rPr>
        <w:t xml:space="preserve"> </w:t>
      </w:r>
      <w:r w:rsidR="00C048A4">
        <w:rPr>
          <w:rFonts w:ascii="Arial" w:eastAsia="Cambria" w:hAnsi="Arial" w:cs="Arial"/>
          <w:sz w:val="20"/>
          <w:szCs w:val="20"/>
        </w:rPr>
        <w:t>and</w:t>
      </w:r>
    </w:p>
    <w:p w:rsidR="008F1488" w:rsidRDefault="006E3256" w:rsidP="00F04404">
      <w:pPr>
        <w:pStyle w:val="ListParagraph"/>
        <w:numPr>
          <w:ilvl w:val="2"/>
          <w:numId w:val="22"/>
        </w:numPr>
        <w:spacing w:after="60" w:line="240" w:lineRule="auto"/>
        <w:ind w:left="738" w:hanging="369"/>
        <w:contextualSpacing w:val="0"/>
        <w:rPr>
          <w:rFonts w:ascii="Arial" w:eastAsia="Cambria" w:hAnsi="Arial" w:cs="Arial"/>
          <w:sz w:val="20"/>
          <w:szCs w:val="20"/>
        </w:rPr>
      </w:pPr>
      <w:r>
        <w:rPr>
          <w:rFonts w:ascii="Arial" w:eastAsia="Cambria" w:hAnsi="Arial" w:cs="Arial"/>
          <w:sz w:val="20"/>
          <w:szCs w:val="20"/>
        </w:rPr>
        <w:t>t</w:t>
      </w:r>
      <w:r w:rsidR="003069E2">
        <w:rPr>
          <w:rFonts w:ascii="Arial" w:eastAsia="Cambria" w:hAnsi="Arial" w:cs="Arial"/>
          <w:sz w:val="20"/>
          <w:szCs w:val="20"/>
        </w:rPr>
        <w:t xml:space="preserve">he </w:t>
      </w:r>
      <w:r w:rsidR="00C42055">
        <w:rPr>
          <w:rFonts w:ascii="Arial" w:eastAsia="Cambria" w:hAnsi="Arial" w:cs="Arial"/>
          <w:sz w:val="20"/>
          <w:szCs w:val="20"/>
        </w:rPr>
        <w:t>notifier</w:t>
      </w:r>
      <w:r w:rsidR="003069E2">
        <w:rPr>
          <w:rFonts w:ascii="Arial" w:eastAsia="Cambria" w:hAnsi="Arial" w:cs="Arial"/>
          <w:sz w:val="20"/>
          <w:szCs w:val="20"/>
        </w:rPr>
        <w:t xml:space="preserve"> has </w:t>
      </w:r>
      <w:r w:rsidR="00FE16CD">
        <w:rPr>
          <w:rFonts w:ascii="Arial" w:eastAsia="Cambria" w:hAnsi="Arial" w:cs="Arial"/>
          <w:sz w:val="20"/>
          <w:szCs w:val="20"/>
        </w:rPr>
        <w:t xml:space="preserve">had </w:t>
      </w:r>
      <w:r w:rsidR="003069E2">
        <w:rPr>
          <w:rFonts w:ascii="Arial" w:eastAsia="Cambria" w:hAnsi="Arial" w:cs="Arial"/>
          <w:sz w:val="20"/>
          <w:szCs w:val="20"/>
        </w:rPr>
        <w:t>direct involvement in</w:t>
      </w:r>
      <w:r w:rsidR="009134B0">
        <w:rPr>
          <w:rFonts w:ascii="Arial" w:eastAsia="Cambria" w:hAnsi="Arial" w:cs="Arial"/>
          <w:sz w:val="20"/>
          <w:szCs w:val="20"/>
        </w:rPr>
        <w:t xml:space="preserve"> the subject matter of a </w:t>
      </w:r>
      <w:r w:rsidR="00FE6636">
        <w:rPr>
          <w:rFonts w:ascii="Arial" w:eastAsia="Cambria" w:hAnsi="Arial" w:cs="Arial"/>
          <w:sz w:val="20"/>
          <w:szCs w:val="20"/>
        </w:rPr>
        <w:t>notification</w:t>
      </w:r>
      <w:r w:rsidR="009134B0">
        <w:rPr>
          <w:rFonts w:ascii="Arial" w:eastAsia="Cambria" w:hAnsi="Arial" w:cs="Arial"/>
          <w:sz w:val="20"/>
          <w:szCs w:val="20"/>
        </w:rPr>
        <w:t>; and</w:t>
      </w:r>
    </w:p>
    <w:p w:rsidR="0089761A" w:rsidRDefault="006E3256" w:rsidP="00F04404">
      <w:pPr>
        <w:pStyle w:val="ListParagraph"/>
        <w:numPr>
          <w:ilvl w:val="2"/>
          <w:numId w:val="22"/>
        </w:numPr>
        <w:spacing w:after="60" w:line="240" w:lineRule="auto"/>
        <w:ind w:left="738" w:hanging="369"/>
        <w:contextualSpacing w:val="0"/>
        <w:rPr>
          <w:rFonts w:ascii="Arial" w:eastAsia="Cambria" w:hAnsi="Arial" w:cs="Arial"/>
          <w:sz w:val="20"/>
          <w:szCs w:val="20"/>
        </w:rPr>
      </w:pPr>
      <w:r>
        <w:rPr>
          <w:rFonts w:ascii="Arial" w:eastAsia="Cambria" w:hAnsi="Arial" w:cs="Arial"/>
          <w:sz w:val="20"/>
          <w:szCs w:val="20"/>
        </w:rPr>
        <w:t>t</w:t>
      </w:r>
      <w:r w:rsidR="009134B0">
        <w:rPr>
          <w:rFonts w:ascii="Arial" w:eastAsia="Cambria" w:hAnsi="Arial" w:cs="Arial"/>
          <w:sz w:val="20"/>
          <w:szCs w:val="20"/>
        </w:rPr>
        <w:t>he disclosure of information would not</w:t>
      </w:r>
      <w:r w:rsidR="0089761A">
        <w:rPr>
          <w:rFonts w:ascii="Arial" w:eastAsia="Cambria" w:hAnsi="Arial" w:cs="Arial"/>
          <w:sz w:val="20"/>
          <w:szCs w:val="20"/>
        </w:rPr>
        <w:t>:</w:t>
      </w:r>
    </w:p>
    <w:p w:rsidR="0089761A" w:rsidRDefault="006E3256" w:rsidP="00F04404">
      <w:pPr>
        <w:pStyle w:val="ListParagraph"/>
        <w:numPr>
          <w:ilvl w:val="0"/>
          <w:numId w:val="23"/>
        </w:numPr>
        <w:tabs>
          <w:tab w:val="left" w:pos="1134"/>
        </w:tabs>
        <w:spacing w:after="60" w:line="240" w:lineRule="auto"/>
        <w:ind w:left="1106" w:hanging="369"/>
        <w:contextualSpacing w:val="0"/>
        <w:rPr>
          <w:rFonts w:ascii="Arial" w:eastAsia="Cambria" w:hAnsi="Arial" w:cs="Arial"/>
          <w:sz w:val="20"/>
          <w:szCs w:val="20"/>
        </w:rPr>
      </w:pPr>
      <w:r>
        <w:rPr>
          <w:rFonts w:ascii="Arial" w:eastAsia="Cambria" w:hAnsi="Arial" w:cs="Arial"/>
          <w:sz w:val="20"/>
          <w:szCs w:val="20"/>
        </w:rPr>
        <w:t>n</w:t>
      </w:r>
      <w:r w:rsidR="00B86F95">
        <w:rPr>
          <w:rFonts w:ascii="Arial" w:eastAsia="Cambria" w:hAnsi="Arial" w:cs="Arial"/>
          <w:sz w:val="20"/>
          <w:szCs w:val="20"/>
        </w:rPr>
        <w:t>egatively affect</w:t>
      </w:r>
      <w:r w:rsidR="0089761A">
        <w:rPr>
          <w:rFonts w:ascii="Arial" w:eastAsia="Cambria" w:hAnsi="Arial" w:cs="Arial"/>
          <w:sz w:val="20"/>
          <w:szCs w:val="20"/>
        </w:rPr>
        <w:t xml:space="preserve"> AHPRA and the National Boards ability to investigate or otherwise deal with the matter</w:t>
      </w:r>
      <w:r w:rsidR="00C048A4">
        <w:rPr>
          <w:rFonts w:ascii="Arial" w:eastAsia="Cambria" w:hAnsi="Arial" w:cs="Arial"/>
          <w:sz w:val="20"/>
          <w:szCs w:val="20"/>
        </w:rPr>
        <w:t xml:space="preserve"> under the National Law</w:t>
      </w:r>
    </w:p>
    <w:p w:rsidR="0089761A" w:rsidRDefault="006E3256" w:rsidP="00F04404">
      <w:pPr>
        <w:pStyle w:val="ListParagraph"/>
        <w:numPr>
          <w:ilvl w:val="0"/>
          <w:numId w:val="23"/>
        </w:numPr>
        <w:tabs>
          <w:tab w:val="left" w:pos="1134"/>
        </w:tabs>
        <w:spacing w:after="60" w:line="240" w:lineRule="auto"/>
        <w:ind w:left="1106" w:hanging="369"/>
        <w:contextualSpacing w:val="0"/>
        <w:rPr>
          <w:rFonts w:ascii="Arial" w:eastAsia="Cambria" w:hAnsi="Arial" w:cs="Arial"/>
          <w:sz w:val="20"/>
          <w:szCs w:val="20"/>
        </w:rPr>
      </w:pPr>
      <w:r>
        <w:rPr>
          <w:rFonts w:ascii="Arial" w:eastAsia="Cambria" w:hAnsi="Arial" w:cs="Arial"/>
          <w:sz w:val="20"/>
          <w:szCs w:val="20"/>
        </w:rPr>
        <w:t>p</w:t>
      </w:r>
      <w:r w:rsidR="0089761A" w:rsidRPr="0089761A">
        <w:rPr>
          <w:rFonts w:ascii="Arial" w:eastAsia="Cambria" w:hAnsi="Arial" w:cs="Arial"/>
          <w:sz w:val="20"/>
          <w:szCs w:val="20"/>
        </w:rPr>
        <w:t>lace a person</w:t>
      </w:r>
      <w:r w:rsidR="0089761A">
        <w:rPr>
          <w:rFonts w:ascii="Arial" w:eastAsia="Cambria" w:hAnsi="Arial" w:cs="Arial"/>
          <w:sz w:val="20"/>
          <w:szCs w:val="20"/>
        </w:rPr>
        <w:t>’s heal</w:t>
      </w:r>
      <w:r w:rsidR="00D819A5">
        <w:rPr>
          <w:rFonts w:ascii="Arial" w:eastAsia="Cambria" w:hAnsi="Arial" w:cs="Arial"/>
          <w:sz w:val="20"/>
          <w:szCs w:val="20"/>
        </w:rPr>
        <w:t>th or safety at risk</w:t>
      </w:r>
    </w:p>
    <w:p w:rsidR="0089761A" w:rsidRDefault="006E3256" w:rsidP="00F04404">
      <w:pPr>
        <w:pStyle w:val="ListParagraph"/>
        <w:numPr>
          <w:ilvl w:val="0"/>
          <w:numId w:val="23"/>
        </w:numPr>
        <w:tabs>
          <w:tab w:val="left" w:pos="1134"/>
        </w:tabs>
        <w:spacing w:after="60" w:line="240" w:lineRule="auto"/>
        <w:ind w:left="1106" w:hanging="369"/>
        <w:contextualSpacing w:val="0"/>
        <w:rPr>
          <w:rFonts w:ascii="Arial" w:eastAsia="Cambria" w:hAnsi="Arial" w:cs="Arial"/>
          <w:sz w:val="20"/>
          <w:szCs w:val="20"/>
        </w:rPr>
      </w:pPr>
      <w:r>
        <w:rPr>
          <w:rFonts w:ascii="Arial" w:eastAsia="Cambria" w:hAnsi="Arial" w:cs="Arial"/>
          <w:sz w:val="20"/>
          <w:szCs w:val="20"/>
        </w:rPr>
        <w:lastRenderedPageBreak/>
        <w:t>p</w:t>
      </w:r>
      <w:r w:rsidR="0089761A">
        <w:rPr>
          <w:rFonts w:ascii="Arial" w:eastAsia="Cambria" w:hAnsi="Arial" w:cs="Arial"/>
          <w:sz w:val="20"/>
          <w:szCs w:val="20"/>
        </w:rPr>
        <w:t>lace a person at ris</w:t>
      </w:r>
      <w:r w:rsidR="00C048A4">
        <w:rPr>
          <w:rFonts w:ascii="Arial" w:eastAsia="Cambria" w:hAnsi="Arial" w:cs="Arial"/>
          <w:sz w:val="20"/>
          <w:szCs w:val="20"/>
        </w:rPr>
        <w:t>k of harassment or intimidation</w:t>
      </w:r>
      <w:r w:rsidR="00D819A5">
        <w:rPr>
          <w:rFonts w:ascii="Arial" w:eastAsia="Cambria" w:hAnsi="Arial" w:cs="Arial"/>
          <w:sz w:val="20"/>
          <w:szCs w:val="20"/>
        </w:rPr>
        <w:t>,</w:t>
      </w:r>
      <w:r w:rsidR="00C048A4">
        <w:rPr>
          <w:rFonts w:ascii="Arial" w:eastAsia="Cambria" w:hAnsi="Arial" w:cs="Arial"/>
          <w:sz w:val="20"/>
          <w:szCs w:val="20"/>
        </w:rPr>
        <w:t xml:space="preserve"> or</w:t>
      </w:r>
    </w:p>
    <w:p w:rsidR="00F04404" w:rsidRDefault="006E3256" w:rsidP="00CE6DD8">
      <w:pPr>
        <w:pStyle w:val="ListParagraph"/>
        <w:numPr>
          <w:ilvl w:val="0"/>
          <w:numId w:val="23"/>
        </w:numPr>
        <w:tabs>
          <w:tab w:val="left" w:pos="1134"/>
        </w:tabs>
        <w:spacing w:after="120" w:line="240" w:lineRule="auto"/>
        <w:ind w:left="1106" w:hanging="369"/>
        <w:contextualSpacing w:val="0"/>
        <w:rPr>
          <w:rFonts w:ascii="Arial" w:eastAsia="Cambria" w:hAnsi="Arial" w:cs="Arial"/>
          <w:sz w:val="20"/>
          <w:szCs w:val="20"/>
        </w:rPr>
      </w:pPr>
      <w:r>
        <w:rPr>
          <w:rFonts w:ascii="Arial" w:eastAsia="Cambria" w:hAnsi="Arial" w:cs="Arial"/>
          <w:sz w:val="20"/>
          <w:szCs w:val="20"/>
        </w:rPr>
        <w:t>n</w:t>
      </w:r>
      <w:r w:rsidR="00B86F95">
        <w:rPr>
          <w:rFonts w:ascii="Arial" w:eastAsia="Cambria" w:hAnsi="Arial" w:cs="Arial"/>
          <w:sz w:val="20"/>
          <w:szCs w:val="20"/>
        </w:rPr>
        <w:t>egatively affect the abil</w:t>
      </w:r>
      <w:r w:rsidR="00FE16CD">
        <w:rPr>
          <w:rFonts w:ascii="Arial" w:eastAsia="Cambria" w:hAnsi="Arial" w:cs="Arial"/>
          <w:sz w:val="20"/>
          <w:szCs w:val="20"/>
        </w:rPr>
        <w:t>ity of another regulatory</w:t>
      </w:r>
      <w:r w:rsidR="00B86F95">
        <w:rPr>
          <w:rFonts w:ascii="Arial" w:eastAsia="Cambria" w:hAnsi="Arial" w:cs="Arial"/>
          <w:sz w:val="20"/>
          <w:szCs w:val="20"/>
        </w:rPr>
        <w:t xml:space="preserve"> or law enforcement entity to deal with the matter</w:t>
      </w:r>
      <w:r w:rsidR="0015375A">
        <w:rPr>
          <w:rFonts w:ascii="Arial" w:eastAsia="Cambria" w:hAnsi="Arial" w:cs="Arial"/>
          <w:sz w:val="20"/>
          <w:szCs w:val="20"/>
        </w:rPr>
        <w:t>,</w:t>
      </w:r>
      <w:r w:rsidR="00B86F95">
        <w:rPr>
          <w:rFonts w:ascii="Arial" w:eastAsia="Cambria" w:hAnsi="Arial" w:cs="Arial"/>
          <w:sz w:val="20"/>
          <w:szCs w:val="20"/>
        </w:rPr>
        <w:t xml:space="preserve"> or a related matter.</w:t>
      </w:r>
    </w:p>
    <w:p w:rsidR="002D384C" w:rsidRPr="00F04404" w:rsidRDefault="00C42055" w:rsidP="00F04404">
      <w:pPr>
        <w:pStyle w:val="AHPRANumberedsubheadinglevel1"/>
        <w:rPr>
          <w:rFonts w:cs="Arial"/>
          <w:szCs w:val="20"/>
        </w:rPr>
      </w:pPr>
      <w:r>
        <w:t>Notifier</w:t>
      </w:r>
      <w:r w:rsidR="002D384C">
        <w:t xml:space="preserve"> </w:t>
      </w:r>
      <w:r w:rsidR="003069E2">
        <w:t>involvement in</w:t>
      </w:r>
      <w:r w:rsidR="002D384C">
        <w:t xml:space="preserve"> the subject matter</w:t>
      </w:r>
      <w:r w:rsidR="00757D9F">
        <w:t xml:space="preserve"> of a notification</w:t>
      </w:r>
    </w:p>
    <w:p w:rsidR="000F0B08" w:rsidRPr="003069E2" w:rsidRDefault="000F0B08" w:rsidP="00CE6DD8">
      <w:pPr>
        <w:pStyle w:val="AHPRAbody"/>
      </w:pPr>
      <w:r w:rsidRPr="003069E2">
        <w:t>A National Board will exercise</w:t>
      </w:r>
      <w:r w:rsidR="00580BC5">
        <w:t xml:space="preserve"> its</w:t>
      </w:r>
      <w:r w:rsidRPr="003069E2">
        <w:t xml:space="preserve"> discretion to provide reasons for a decision to a </w:t>
      </w:r>
      <w:r w:rsidR="00C42055">
        <w:t xml:space="preserve">notifier </w:t>
      </w:r>
      <w:r w:rsidR="003069E2" w:rsidRPr="003069E2">
        <w:t>when that person has had</w:t>
      </w:r>
      <w:r w:rsidRPr="003069E2">
        <w:t xml:space="preserve"> direct </w:t>
      </w:r>
      <w:r w:rsidR="003069E2" w:rsidRPr="003069E2">
        <w:t>involvement in</w:t>
      </w:r>
      <w:r w:rsidRPr="003069E2">
        <w:t xml:space="preserve"> the subject matter of the complaint.</w:t>
      </w:r>
      <w:r w:rsidR="009449A2">
        <w:t xml:space="preserve">  This helps to ensure that personal information contained within </w:t>
      </w:r>
      <w:r w:rsidR="00580BC5">
        <w:t>the reasons for decisions is</w:t>
      </w:r>
      <w:r w:rsidR="009449A2">
        <w:t xml:space="preserve"> not </w:t>
      </w:r>
      <w:r w:rsidR="00580BC5">
        <w:t xml:space="preserve">inappropriately </w:t>
      </w:r>
      <w:r w:rsidR="009449A2">
        <w:t xml:space="preserve">released </w:t>
      </w:r>
      <w:r w:rsidR="00580BC5">
        <w:t>to people who do not have a genuine need to know that information.</w:t>
      </w:r>
    </w:p>
    <w:p w:rsidR="000F0B08" w:rsidRPr="003069E2" w:rsidRDefault="00854810" w:rsidP="00CE6DD8">
      <w:pPr>
        <w:pStyle w:val="AHPRAbody"/>
      </w:pPr>
      <w:r w:rsidRPr="003069E2">
        <w:t>For example, a</w:t>
      </w:r>
      <w:r w:rsidR="000F0B08" w:rsidRPr="003069E2">
        <w:t xml:space="preserve"> </w:t>
      </w:r>
      <w:r w:rsidR="00C42055">
        <w:t>notifier</w:t>
      </w:r>
      <w:r w:rsidR="003069E2" w:rsidRPr="003069E2">
        <w:t xml:space="preserve"> will be assessed as having had</w:t>
      </w:r>
      <w:r w:rsidR="000F0B08" w:rsidRPr="003069E2">
        <w:t xml:space="preserve"> direct </w:t>
      </w:r>
      <w:r w:rsidR="003069E2" w:rsidRPr="003069E2">
        <w:t>involvement in</w:t>
      </w:r>
      <w:r w:rsidR="00D37447" w:rsidRPr="003069E2">
        <w:t xml:space="preserve"> the subject matter of their</w:t>
      </w:r>
      <w:r w:rsidR="000F0B08" w:rsidRPr="003069E2">
        <w:t xml:space="preserve"> complaint when</w:t>
      </w:r>
      <w:r w:rsidR="00D37447" w:rsidRPr="003069E2">
        <w:t xml:space="preserve"> they are</w:t>
      </w:r>
      <w:r w:rsidR="000F0B08" w:rsidRPr="003069E2">
        <w:t>:</w:t>
      </w:r>
    </w:p>
    <w:p w:rsidR="002D384C" w:rsidRPr="003069E2" w:rsidRDefault="00D37447" w:rsidP="00F04404">
      <w:pPr>
        <w:pStyle w:val="ListParagraph"/>
        <w:numPr>
          <w:ilvl w:val="0"/>
          <w:numId w:val="40"/>
        </w:numPr>
        <w:spacing w:after="6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a patient, or the guardian of a patient, who is complaining about health services prov</w:t>
      </w:r>
      <w:r w:rsidR="00D819A5">
        <w:rPr>
          <w:rFonts w:ascii="Arial" w:eastAsia="Cambria" w:hAnsi="Arial" w:cs="Arial"/>
          <w:sz w:val="20"/>
          <w:szCs w:val="20"/>
        </w:rPr>
        <w:t>ided to them or their dependent</w:t>
      </w:r>
    </w:p>
    <w:p w:rsidR="00854810" w:rsidRPr="003069E2" w:rsidRDefault="00854810" w:rsidP="00F04404">
      <w:pPr>
        <w:pStyle w:val="ListParagraph"/>
        <w:numPr>
          <w:ilvl w:val="0"/>
          <w:numId w:val="40"/>
        </w:numPr>
        <w:spacing w:after="6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the executor of the estate of a person who has died who is complaining about health services provide</w:t>
      </w:r>
      <w:r w:rsidR="006D690F">
        <w:rPr>
          <w:rFonts w:ascii="Arial" w:eastAsia="Cambria" w:hAnsi="Arial" w:cs="Arial"/>
          <w:sz w:val="20"/>
          <w:szCs w:val="20"/>
        </w:rPr>
        <w:t>d to a patient before their dea</w:t>
      </w:r>
      <w:r w:rsidR="00D819A5">
        <w:rPr>
          <w:rFonts w:ascii="Arial" w:eastAsia="Cambria" w:hAnsi="Arial" w:cs="Arial"/>
          <w:sz w:val="20"/>
          <w:szCs w:val="20"/>
        </w:rPr>
        <w:t>th</w:t>
      </w:r>
    </w:p>
    <w:p w:rsidR="00D37447" w:rsidRPr="003069E2" w:rsidRDefault="00D37447" w:rsidP="00F04404">
      <w:pPr>
        <w:pStyle w:val="ListParagraph"/>
        <w:numPr>
          <w:ilvl w:val="0"/>
          <w:numId w:val="40"/>
        </w:numPr>
        <w:spacing w:after="6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a person</w:t>
      </w:r>
      <w:r w:rsidR="00151DB8">
        <w:rPr>
          <w:rStyle w:val="FootnoteReference"/>
          <w:rFonts w:ascii="Arial" w:eastAsia="Cambria" w:hAnsi="Arial" w:cs="Arial"/>
          <w:sz w:val="20"/>
          <w:szCs w:val="20"/>
        </w:rPr>
        <w:footnoteReference w:id="11"/>
      </w:r>
      <w:r w:rsidRPr="003069E2">
        <w:rPr>
          <w:rFonts w:ascii="Arial" w:eastAsia="Cambria" w:hAnsi="Arial" w:cs="Arial"/>
          <w:sz w:val="20"/>
          <w:szCs w:val="20"/>
        </w:rPr>
        <w:t xml:space="preserve"> that employ</w:t>
      </w:r>
      <w:r w:rsidR="00C474E8">
        <w:rPr>
          <w:rFonts w:ascii="Arial" w:eastAsia="Cambria" w:hAnsi="Arial" w:cs="Arial"/>
          <w:sz w:val="20"/>
          <w:szCs w:val="20"/>
        </w:rPr>
        <w:t>ed</w:t>
      </w:r>
      <w:r w:rsidRPr="003069E2">
        <w:rPr>
          <w:rFonts w:ascii="Arial" w:eastAsia="Cambria" w:hAnsi="Arial" w:cs="Arial"/>
          <w:sz w:val="20"/>
          <w:szCs w:val="20"/>
        </w:rPr>
        <w:t>, or contract</w:t>
      </w:r>
      <w:r w:rsidR="00C474E8">
        <w:rPr>
          <w:rFonts w:ascii="Arial" w:eastAsia="Cambria" w:hAnsi="Arial" w:cs="Arial"/>
          <w:sz w:val="20"/>
          <w:szCs w:val="20"/>
        </w:rPr>
        <w:t>ed</w:t>
      </w:r>
      <w:r w:rsidRPr="003069E2">
        <w:rPr>
          <w:rFonts w:ascii="Arial" w:eastAsia="Cambria" w:hAnsi="Arial" w:cs="Arial"/>
          <w:sz w:val="20"/>
          <w:szCs w:val="20"/>
        </w:rPr>
        <w:t>, the health practitioner</w:t>
      </w:r>
      <w:r w:rsidR="00C42055">
        <w:rPr>
          <w:rFonts w:ascii="Arial" w:eastAsia="Cambria" w:hAnsi="Arial" w:cs="Arial"/>
          <w:sz w:val="20"/>
          <w:szCs w:val="20"/>
        </w:rPr>
        <w:t>,</w:t>
      </w:r>
      <w:r w:rsidRPr="003069E2">
        <w:rPr>
          <w:rFonts w:ascii="Arial" w:eastAsia="Cambria" w:hAnsi="Arial" w:cs="Arial"/>
          <w:sz w:val="20"/>
          <w:szCs w:val="20"/>
        </w:rPr>
        <w:t xml:space="preserve"> who is the subject of the </w:t>
      </w:r>
      <w:r w:rsidR="00C42055">
        <w:rPr>
          <w:rFonts w:ascii="Arial" w:eastAsia="Cambria" w:hAnsi="Arial" w:cs="Arial"/>
          <w:sz w:val="20"/>
          <w:szCs w:val="20"/>
        </w:rPr>
        <w:t>notification,</w:t>
      </w:r>
      <w:r w:rsidRPr="003069E2">
        <w:rPr>
          <w:rFonts w:ascii="Arial" w:eastAsia="Cambria" w:hAnsi="Arial" w:cs="Arial"/>
          <w:sz w:val="20"/>
          <w:szCs w:val="20"/>
        </w:rPr>
        <w:t xml:space="preserve"> to deliver health services and the concerns </w:t>
      </w:r>
      <w:r w:rsidR="00C42055">
        <w:rPr>
          <w:rFonts w:ascii="Arial" w:eastAsia="Cambria" w:hAnsi="Arial" w:cs="Arial"/>
          <w:sz w:val="20"/>
          <w:szCs w:val="20"/>
        </w:rPr>
        <w:t xml:space="preserve">raised </w:t>
      </w:r>
      <w:r w:rsidRPr="003069E2">
        <w:rPr>
          <w:rFonts w:ascii="Arial" w:eastAsia="Cambria" w:hAnsi="Arial" w:cs="Arial"/>
          <w:sz w:val="20"/>
          <w:szCs w:val="20"/>
        </w:rPr>
        <w:t xml:space="preserve">relate to the practitioner’s health, conduct </w:t>
      </w:r>
      <w:r w:rsidR="00D819A5">
        <w:rPr>
          <w:rFonts w:ascii="Arial" w:eastAsia="Cambria" w:hAnsi="Arial" w:cs="Arial"/>
          <w:sz w:val="20"/>
          <w:szCs w:val="20"/>
        </w:rPr>
        <w:t>or performance in the workplace</w:t>
      </w:r>
    </w:p>
    <w:p w:rsidR="00D37447" w:rsidRPr="003069E2" w:rsidRDefault="00D37447" w:rsidP="00F04404">
      <w:pPr>
        <w:pStyle w:val="ListParagraph"/>
        <w:numPr>
          <w:ilvl w:val="0"/>
          <w:numId w:val="40"/>
        </w:numPr>
        <w:spacing w:after="6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a person who controls a health facility or business at which the health practitioner</w:t>
      </w:r>
      <w:r w:rsidR="00C42055">
        <w:rPr>
          <w:rFonts w:ascii="Arial" w:eastAsia="Cambria" w:hAnsi="Arial" w:cs="Arial"/>
          <w:sz w:val="20"/>
          <w:szCs w:val="20"/>
        </w:rPr>
        <w:t>,</w:t>
      </w:r>
      <w:r w:rsidRPr="003069E2">
        <w:rPr>
          <w:rFonts w:ascii="Arial" w:eastAsia="Cambria" w:hAnsi="Arial" w:cs="Arial"/>
          <w:sz w:val="20"/>
          <w:szCs w:val="20"/>
        </w:rPr>
        <w:t xml:space="preserve"> who is the subject of the complaint</w:t>
      </w:r>
      <w:r w:rsidR="00C42055">
        <w:rPr>
          <w:rFonts w:ascii="Arial" w:eastAsia="Cambria" w:hAnsi="Arial" w:cs="Arial"/>
          <w:sz w:val="20"/>
          <w:szCs w:val="20"/>
        </w:rPr>
        <w:t>,</w:t>
      </w:r>
      <w:r w:rsidRPr="003069E2">
        <w:rPr>
          <w:rFonts w:ascii="Arial" w:eastAsia="Cambria" w:hAnsi="Arial" w:cs="Arial"/>
          <w:sz w:val="20"/>
          <w:szCs w:val="20"/>
        </w:rPr>
        <w:t xml:space="preserve"> delivers health services and the concerns </w:t>
      </w:r>
      <w:r w:rsidR="00C42055">
        <w:rPr>
          <w:rFonts w:ascii="Arial" w:eastAsia="Cambria" w:hAnsi="Arial" w:cs="Arial"/>
          <w:sz w:val="20"/>
          <w:szCs w:val="20"/>
        </w:rPr>
        <w:t xml:space="preserve">raised </w:t>
      </w:r>
      <w:r w:rsidRPr="003069E2">
        <w:rPr>
          <w:rFonts w:ascii="Arial" w:eastAsia="Cambria" w:hAnsi="Arial" w:cs="Arial"/>
          <w:sz w:val="20"/>
          <w:szCs w:val="20"/>
        </w:rPr>
        <w:t>relate to the practitioner’s health, conduct or performance in delivering those services</w:t>
      </w:r>
      <w:r w:rsidR="00D819A5">
        <w:rPr>
          <w:rFonts w:ascii="Arial" w:eastAsia="Cambria" w:hAnsi="Arial" w:cs="Arial"/>
          <w:sz w:val="20"/>
          <w:szCs w:val="20"/>
        </w:rPr>
        <w:t>,</w:t>
      </w:r>
      <w:r w:rsidR="00854810" w:rsidRPr="003069E2">
        <w:rPr>
          <w:rFonts w:ascii="Arial" w:eastAsia="Cambria" w:hAnsi="Arial" w:cs="Arial"/>
          <w:sz w:val="20"/>
          <w:szCs w:val="20"/>
        </w:rPr>
        <w:t xml:space="preserve"> or</w:t>
      </w:r>
    </w:p>
    <w:p w:rsidR="00D37447" w:rsidRPr="003069E2" w:rsidRDefault="00854810" w:rsidP="00D819A5">
      <w:pPr>
        <w:pStyle w:val="ListParagraph"/>
        <w:numPr>
          <w:ilvl w:val="0"/>
          <w:numId w:val="40"/>
        </w:numPr>
        <w:spacing w:after="12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 xml:space="preserve">a law enforcement, regulatory or judicial authority </w:t>
      </w:r>
      <w:r w:rsidR="00C474E8">
        <w:rPr>
          <w:rFonts w:ascii="Arial" w:eastAsia="Cambria" w:hAnsi="Arial" w:cs="Arial"/>
          <w:sz w:val="20"/>
          <w:szCs w:val="20"/>
        </w:rPr>
        <w:t>that</w:t>
      </w:r>
      <w:r w:rsidRPr="003069E2">
        <w:rPr>
          <w:rFonts w:ascii="Arial" w:eastAsia="Cambria" w:hAnsi="Arial" w:cs="Arial"/>
          <w:sz w:val="20"/>
          <w:szCs w:val="20"/>
        </w:rPr>
        <w:t xml:space="preserve"> has </w:t>
      </w:r>
      <w:r w:rsidR="00C474E8">
        <w:rPr>
          <w:rFonts w:ascii="Arial" w:eastAsia="Cambria" w:hAnsi="Arial" w:cs="Arial"/>
          <w:sz w:val="20"/>
          <w:szCs w:val="20"/>
        </w:rPr>
        <w:t>made a notification under the National Law</w:t>
      </w:r>
      <w:r w:rsidRPr="003069E2">
        <w:rPr>
          <w:rFonts w:ascii="Arial" w:eastAsia="Cambria" w:hAnsi="Arial" w:cs="Arial"/>
          <w:sz w:val="20"/>
          <w:szCs w:val="20"/>
        </w:rPr>
        <w:t xml:space="preserve"> about a health practitioner’s health, conduct or performance that arise</w:t>
      </w:r>
      <w:r w:rsidR="00C474E8">
        <w:rPr>
          <w:rFonts w:ascii="Arial" w:eastAsia="Cambria" w:hAnsi="Arial" w:cs="Arial"/>
          <w:sz w:val="20"/>
          <w:szCs w:val="20"/>
        </w:rPr>
        <w:t>s</w:t>
      </w:r>
      <w:r w:rsidRPr="003069E2">
        <w:rPr>
          <w:rFonts w:ascii="Arial" w:eastAsia="Cambria" w:hAnsi="Arial" w:cs="Arial"/>
          <w:sz w:val="20"/>
          <w:szCs w:val="20"/>
        </w:rPr>
        <w:t xml:space="preserve"> from a related matter.</w:t>
      </w:r>
    </w:p>
    <w:p w:rsidR="002D384C" w:rsidRPr="003069E2" w:rsidRDefault="00654D83" w:rsidP="00CE6DD8">
      <w:pPr>
        <w:pStyle w:val="AHPRAbody"/>
      </w:pPr>
      <w:r w:rsidRPr="003069E2">
        <w:t xml:space="preserve">A National Board will generally not provide reasons for regulatory decisions to a person who has made a </w:t>
      </w:r>
      <w:r w:rsidR="00C42055">
        <w:t>notification</w:t>
      </w:r>
      <w:r w:rsidRPr="003069E2">
        <w:t xml:space="preserve"> about a health practitioner but was not directly involved in the health service or behaviour that formed the subject matter of the complaint.  For example:</w:t>
      </w:r>
    </w:p>
    <w:p w:rsidR="00654D83" w:rsidRPr="003069E2" w:rsidRDefault="00654D83" w:rsidP="00F04404">
      <w:pPr>
        <w:pStyle w:val="ListParagraph"/>
        <w:numPr>
          <w:ilvl w:val="0"/>
          <w:numId w:val="41"/>
        </w:numPr>
        <w:spacing w:after="6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 xml:space="preserve">a person who makes a complaint about the health services </w:t>
      </w:r>
      <w:r w:rsidR="00DC48AD" w:rsidRPr="003069E2">
        <w:rPr>
          <w:rFonts w:ascii="Arial" w:eastAsia="Cambria" w:hAnsi="Arial" w:cs="Arial"/>
          <w:sz w:val="20"/>
          <w:szCs w:val="20"/>
        </w:rPr>
        <w:t xml:space="preserve">received by another person </w:t>
      </w:r>
      <w:r w:rsidR="00CE6CDB" w:rsidRPr="003069E2">
        <w:rPr>
          <w:rFonts w:ascii="Arial" w:eastAsia="Cambria" w:hAnsi="Arial" w:cs="Arial"/>
          <w:sz w:val="20"/>
          <w:szCs w:val="20"/>
        </w:rPr>
        <w:t>where the complainant is not acting on behalf of, or with the consent of, the patient and does not have another connection with the delivery of the health service</w:t>
      </w:r>
    </w:p>
    <w:p w:rsidR="00DC48AD" w:rsidRPr="003069E2" w:rsidRDefault="003069E2" w:rsidP="00F04404">
      <w:pPr>
        <w:pStyle w:val="ListParagraph"/>
        <w:numPr>
          <w:ilvl w:val="0"/>
          <w:numId w:val="41"/>
        </w:numPr>
        <w:spacing w:after="6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a person who makes a complaint about health services provid</w:t>
      </w:r>
      <w:r w:rsidR="00764410">
        <w:rPr>
          <w:rFonts w:ascii="Arial" w:eastAsia="Cambria" w:hAnsi="Arial" w:cs="Arial"/>
          <w:sz w:val="20"/>
          <w:szCs w:val="20"/>
        </w:rPr>
        <w:t>ed to a deceased person,</w:t>
      </w:r>
      <w:r w:rsidR="00E17C71">
        <w:rPr>
          <w:rFonts w:ascii="Arial" w:eastAsia="Cambria" w:hAnsi="Arial" w:cs="Arial"/>
          <w:sz w:val="20"/>
          <w:szCs w:val="20"/>
        </w:rPr>
        <w:t xml:space="preserve"> was not present </w:t>
      </w:r>
      <w:r w:rsidR="00E17C71" w:rsidRPr="00E17C71">
        <w:rPr>
          <w:rFonts w:ascii="Arial" w:eastAsia="Cambria" w:hAnsi="Arial" w:cs="Arial"/>
          <w:sz w:val="20"/>
          <w:szCs w:val="20"/>
        </w:rPr>
        <w:t xml:space="preserve">when the </w:t>
      </w:r>
      <w:r w:rsidRPr="00E17C71">
        <w:rPr>
          <w:rFonts w:ascii="Arial" w:eastAsia="Cambria" w:hAnsi="Arial" w:cs="Arial"/>
          <w:sz w:val="20"/>
          <w:szCs w:val="20"/>
        </w:rPr>
        <w:t>health services</w:t>
      </w:r>
      <w:r w:rsidRPr="003069E2">
        <w:rPr>
          <w:rFonts w:ascii="Arial" w:eastAsia="Cambria" w:hAnsi="Arial" w:cs="Arial"/>
          <w:sz w:val="20"/>
          <w:szCs w:val="20"/>
        </w:rPr>
        <w:t xml:space="preserve"> </w:t>
      </w:r>
      <w:r w:rsidR="00E17C71">
        <w:rPr>
          <w:rFonts w:ascii="Arial" w:eastAsia="Cambria" w:hAnsi="Arial" w:cs="Arial"/>
          <w:sz w:val="20"/>
          <w:szCs w:val="20"/>
        </w:rPr>
        <w:t xml:space="preserve">were provided </w:t>
      </w:r>
      <w:r w:rsidRPr="003069E2">
        <w:rPr>
          <w:rFonts w:ascii="Arial" w:eastAsia="Cambria" w:hAnsi="Arial" w:cs="Arial"/>
          <w:sz w:val="20"/>
          <w:szCs w:val="20"/>
        </w:rPr>
        <w:t>and does not have the consent of the executor of the deceased person’s estate</w:t>
      </w:r>
      <w:r w:rsidR="00D819A5">
        <w:rPr>
          <w:rFonts w:ascii="Arial" w:eastAsia="Cambria" w:hAnsi="Arial" w:cs="Arial"/>
          <w:sz w:val="20"/>
          <w:szCs w:val="20"/>
        </w:rPr>
        <w:t>,</w:t>
      </w:r>
      <w:r w:rsidRPr="003069E2">
        <w:rPr>
          <w:rFonts w:ascii="Arial" w:eastAsia="Cambria" w:hAnsi="Arial" w:cs="Arial"/>
          <w:sz w:val="20"/>
          <w:szCs w:val="20"/>
        </w:rPr>
        <w:t xml:space="preserve"> or</w:t>
      </w:r>
    </w:p>
    <w:p w:rsidR="003069E2" w:rsidRPr="003069E2" w:rsidRDefault="003069E2" w:rsidP="00D819A5">
      <w:pPr>
        <w:pStyle w:val="ListParagraph"/>
        <w:numPr>
          <w:ilvl w:val="0"/>
          <w:numId w:val="41"/>
        </w:numPr>
        <w:spacing w:after="120" w:line="240" w:lineRule="auto"/>
        <w:ind w:left="369" w:hanging="369"/>
        <w:contextualSpacing w:val="0"/>
        <w:rPr>
          <w:rFonts w:ascii="Arial" w:eastAsia="Cambria" w:hAnsi="Arial" w:cs="Arial"/>
          <w:sz w:val="20"/>
          <w:szCs w:val="20"/>
        </w:rPr>
      </w:pPr>
      <w:r w:rsidRPr="003069E2">
        <w:rPr>
          <w:rFonts w:ascii="Arial" w:eastAsia="Cambria" w:hAnsi="Arial" w:cs="Arial"/>
          <w:sz w:val="20"/>
          <w:szCs w:val="20"/>
        </w:rPr>
        <w:t xml:space="preserve">a colleague of a health practitioner who </w:t>
      </w:r>
      <w:r w:rsidR="00C474E8">
        <w:rPr>
          <w:rFonts w:ascii="Arial" w:eastAsia="Cambria" w:hAnsi="Arial" w:cs="Arial"/>
          <w:sz w:val="20"/>
          <w:szCs w:val="20"/>
        </w:rPr>
        <w:t>did not observe</w:t>
      </w:r>
      <w:r w:rsidR="00E240E0">
        <w:rPr>
          <w:rFonts w:ascii="Arial" w:eastAsia="Cambria" w:hAnsi="Arial" w:cs="Arial"/>
          <w:sz w:val="20"/>
          <w:szCs w:val="20"/>
        </w:rPr>
        <w:t>,</w:t>
      </w:r>
      <w:r w:rsidR="00C474E8">
        <w:rPr>
          <w:rFonts w:ascii="Arial" w:eastAsia="Cambria" w:hAnsi="Arial" w:cs="Arial"/>
          <w:sz w:val="20"/>
          <w:szCs w:val="20"/>
        </w:rPr>
        <w:t xml:space="preserve"> and was not otherwise involved in</w:t>
      </w:r>
      <w:r w:rsidR="00E240E0">
        <w:rPr>
          <w:rFonts w:ascii="Arial" w:eastAsia="Cambria" w:hAnsi="Arial" w:cs="Arial"/>
          <w:sz w:val="20"/>
          <w:szCs w:val="20"/>
        </w:rPr>
        <w:t>,</w:t>
      </w:r>
      <w:r w:rsidRPr="003069E2">
        <w:rPr>
          <w:rFonts w:ascii="Arial" w:eastAsia="Cambria" w:hAnsi="Arial" w:cs="Arial"/>
          <w:sz w:val="20"/>
          <w:szCs w:val="20"/>
        </w:rPr>
        <w:t xml:space="preserve"> the </w:t>
      </w:r>
      <w:r w:rsidR="00C474E8">
        <w:rPr>
          <w:rFonts w:ascii="Arial" w:eastAsia="Cambria" w:hAnsi="Arial" w:cs="Arial"/>
          <w:sz w:val="20"/>
          <w:szCs w:val="20"/>
        </w:rPr>
        <w:t>events that form</w:t>
      </w:r>
      <w:r w:rsidRPr="003069E2">
        <w:rPr>
          <w:rFonts w:ascii="Arial" w:eastAsia="Cambria" w:hAnsi="Arial" w:cs="Arial"/>
          <w:sz w:val="20"/>
          <w:szCs w:val="20"/>
        </w:rPr>
        <w:t xml:space="preserve"> the subject matter of a </w:t>
      </w:r>
      <w:r w:rsidR="00764410">
        <w:rPr>
          <w:rFonts w:ascii="Arial" w:eastAsia="Cambria" w:hAnsi="Arial" w:cs="Arial"/>
          <w:sz w:val="20"/>
          <w:szCs w:val="20"/>
        </w:rPr>
        <w:t>notification</w:t>
      </w:r>
      <w:r w:rsidRPr="003069E2">
        <w:rPr>
          <w:rFonts w:ascii="Arial" w:eastAsia="Cambria" w:hAnsi="Arial" w:cs="Arial"/>
          <w:sz w:val="20"/>
          <w:szCs w:val="20"/>
        </w:rPr>
        <w:t xml:space="preserve"> and is not acting on behalf of the health practitioner’s employer</w:t>
      </w:r>
      <w:r w:rsidR="0015375A">
        <w:rPr>
          <w:rFonts w:ascii="Arial" w:eastAsia="Cambria" w:hAnsi="Arial" w:cs="Arial"/>
          <w:sz w:val="20"/>
          <w:szCs w:val="20"/>
        </w:rPr>
        <w:t xml:space="preserve"> or the management of a facility where a health service was provided</w:t>
      </w:r>
      <w:r w:rsidRPr="003069E2">
        <w:rPr>
          <w:rFonts w:ascii="Arial" w:eastAsia="Cambria" w:hAnsi="Arial" w:cs="Arial"/>
          <w:sz w:val="20"/>
          <w:szCs w:val="20"/>
        </w:rPr>
        <w:t>.</w:t>
      </w:r>
    </w:p>
    <w:p w:rsidR="003069E2" w:rsidRPr="003069E2" w:rsidRDefault="003069E2" w:rsidP="00CE6DD8">
      <w:pPr>
        <w:pStyle w:val="AHPRAbody"/>
      </w:pPr>
      <w:r w:rsidRPr="003069E2">
        <w:t>However, a National Board will provide r</w:t>
      </w:r>
      <w:r w:rsidR="0015375A">
        <w:t xml:space="preserve">easons to a </w:t>
      </w:r>
      <w:r w:rsidR="00764410">
        <w:t>notifier</w:t>
      </w:r>
      <w:r w:rsidR="0015375A">
        <w:t xml:space="preserve"> who did</w:t>
      </w:r>
      <w:r w:rsidRPr="003069E2">
        <w:t xml:space="preserve"> not have direct involvement in the subject matter of a complaint if that person has the consent of the </w:t>
      </w:r>
      <w:r w:rsidR="00C674C9">
        <w:t xml:space="preserve">relevant </w:t>
      </w:r>
      <w:r w:rsidRPr="003069E2">
        <w:t>health practitioner</w:t>
      </w:r>
      <w:r w:rsidR="00C674C9">
        <w:t>,</w:t>
      </w:r>
      <w:r w:rsidRPr="003069E2">
        <w:t xml:space="preserve"> </w:t>
      </w:r>
      <w:r w:rsidR="00C674C9">
        <w:t>or another person who is entitled to provide consent for the disclosure of personal information</w:t>
      </w:r>
      <w:r w:rsidR="00242483">
        <w:rPr>
          <w:rStyle w:val="FootnoteReference"/>
          <w:szCs w:val="20"/>
        </w:rPr>
        <w:footnoteReference w:id="12"/>
      </w:r>
      <w:r w:rsidR="00C674C9">
        <w:t>.</w:t>
      </w:r>
    </w:p>
    <w:p w:rsidR="00D35548" w:rsidRPr="00A60B6E" w:rsidRDefault="0015375A" w:rsidP="00CE6DD8">
      <w:pPr>
        <w:pStyle w:val="AHPRANumberedsubheadinglevel1"/>
      </w:pPr>
      <w:r>
        <w:t>How</w:t>
      </w:r>
      <w:r w:rsidR="00D35548" w:rsidRPr="00A60B6E">
        <w:t xml:space="preserve"> </w:t>
      </w:r>
      <w:r w:rsidR="007B02ED">
        <w:t xml:space="preserve">will </w:t>
      </w:r>
      <w:r w:rsidR="00764410">
        <w:t>notifiers</w:t>
      </w:r>
      <w:r w:rsidR="00D35548" w:rsidRPr="00A60B6E">
        <w:t xml:space="preserve"> be informed about the reasons for a decision?</w:t>
      </w:r>
    </w:p>
    <w:p w:rsidR="00393F1F" w:rsidRPr="00393F1F" w:rsidRDefault="00764410" w:rsidP="00CE6DD8">
      <w:pPr>
        <w:pStyle w:val="AHPRAbody"/>
      </w:pPr>
      <w:r>
        <w:t>Notifiers</w:t>
      </w:r>
      <w:r w:rsidR="00393F1F" w:rsidRPr="00393F1F">
        <w:t xml:space="preserve"> are provided with notice of National Board decisions and the reasons for decisions within a letter from AHPRA.</w:t>
      </w:r>
    </w:p>
    <w:p w:rsidR="00C1304D" w:rsidRDefault="00C1304D" w:rsidP="00CE6DD8">
      <w:pPr>
        <w:pStyle w:val="AHPRAbody"/>
      </w:pPr>
      <w:r>
        <w:t xml:space="preserve">The letter will advise the notifiers of the decision that was made in response to the concerns that they raised and the reasons for that decision. </w:t>
      </w:r>
      <w:r w:rsidR="00B82F5F">
        <w:t xml:space="preserve"> The nature of the information provided to notifiers will be determined with reference to the National Law, the Australian Privacy Principles and this document.  </w:t>
      </w:r>
      <w:r>
        <w:lastRenderedPageBreak/>
        <w:t>Wherever possible, the wording used by the National Board in articulating the</w:t>
      </w:r>
      <w:r w:rsidR="00B82F5F">
        <w:t>ir</w:t>
      </w:r>
      <w:r>
        <w:t xml:space="preserve"> reasons for a decision will be provided </w:t>
      </w:r>
      <w:r w:rsidR="00B82F5F">
        <w:t>to notifiers within outcome</w:t>
      </w:r>
      <w:r>
        <w:t xml:space="preserve"> letter</w:t>
      </w:r>
      <w:r w:rsidR="00B82F5F">
        <w:t>s</w:t>
      </w:r>
      <w:r>
        <w:t>.</w:t>
      </w:r>
    </w:p>
    <w:p w:rsidR="00393F1F" w:rsidRDefault="00B82F5F" w:rsidP="00CE6DD8">
      <w:pPr>
        <w:pStyle w:val="AHPRAbody"/>
      </w:pPr>
      <w:r>
        <w:t xml:space="preserve">Wherever possible, reasons for regulatory decisions under the National Law will be </w:t>
      </w:r>
      <w:r w:rsidR="00393F1F" w:rsidRPr="00393F1F">
        <w:t>written in plain Eng</w:t>
      </w:r>
      <w:r w:rsidR="00DF640A">
        <w:t xml:space="preserve">lish so that they can be easily </w:t>
      </w:r>
      <w:r w:rsidR="00393F1F" w:rsidRPr="00393F1F">
        <w:t>understood.</w:t>
      </w:r>
    </w:p>
    <w:p w:rsidR="005024A2" w:rsidRPr="00D35548" w:rsidRDefault="005024A2" w:rsidP="00CE6DD8">
      <w:pPr>
        <w:pStyle w:val="AHPRANumberedsubheadinglevel1"/>
      </w:pPr>
      <w:r w:rsidRPr="00D35548">
        <w:t>W</w:t>
      </w:r>
      <w:r w:rsidR="00645B71">
        <w:t>hat information will health practitioners receive</w:t>
      </w:r>
      <w:r>
        <w:t>?</w:t>
      </w:r>
    </w:p>
    <w:p w:rsidR="00645B71" w:rsidRDefault="00645B71" w:rsidP="00CE6DD8">
      <w:pPr>
        <w:pStyle w:val="AHPRAbody"/>
      </w:pPr>
      <w:r>
        <w:t>When a notification is received by AHPRA, the health practitioner involved will be advised that reasons for National Board decisions relating to the matter may be provided to the notifier.</w:t>
      </w:r>
      <w:r w:rsidR="00DB1E69">
        <w:t xml:space="preserve"> This provides a reasonable opportunity for practitioners to inform the National Board about any information that should be taken into consideration in deciding whether to provide the notifier with reasons for decisions.</w:t>
      </w:r>
    </w:p>
    <w:p w:rsidR="00645B71" w:rsidRPr="001B5B89" w:rsidRDefault="005024A2" w:rsidP="00CE6DD8">
      <w:pPr>
        <w:pStyle w:val="AHPRAbody"/>
      </w:pPr>
      <w:r>
        <w:t xml:space="preserve">The notice that is sent to a health practitioner following a National Board decision will state whether reasons for the decision </w:t>
      </w:r>
      <w:r w:rsidR="001F0D24">
        <w:t xml:space="preserve">have been </w:t>
      </w:r>
      <w:r>
        <w:t xml:space="preserve">provided to the </w:t>
      </w:r>
      <w:r w:rsidR="00645B71">
        <w:t>notifier</w:t>
      </w:r>
      <w:r>
        <w:t xml:space="preserve">.  </w:t>
      </w:r>
    </w:p>
    <w:p w:rsidR="0078699C" w:rsidRPr="00D35548" w:rsidRDefault="00645B71" w:rsidP="00CE6DD8">
      <w:pPr>
        <w:pStyle w:val="AHPRANumberedsubheadinglevel1"/>
      </w:pPr>
      <w:r>
        <w:t>Complaints about decisions relating to the provision of reasons to notifiers</w:t>
      </w:r>
    </w:p>
    <w:p w:rsidR="003A0F6A" w:rsidRDefault="0078699C" w:rsidP="00CE6DD8">
      <w:pPr>
        <w:pStyle w:val="AHPRAbody"/>
      </w:pPr>
      <w:r>
        <w:t xml:space="preserve">A person can make a complaint to AHPRA if they are concerned that a decision </w:t>
      </w:r>
      <w:r w:rsidR="00F65DA8">
        <w:t xml:space="preserve">to provide, or </w:t>
      </w:r>
      <w:r>
        <w:t>not to provide</w:t>
      </w:r>
      <w:r w:rsidR="00F65DA8">
        <w:t>,</w:t>
      </w:r>
      <w:r>
        <w:t xml:space="preserve"> reasons for a National Board decision</w:t>
      </w:r>
      <w:r w:rsidR="00F65DA8">
        <w:t xml:space="preserve"> to a notifier</w:t>
      </w:r>
      <w:r>
        <w:t xml:space="preserve"> may have been inappropriate.</w:t>
      </w:r>
    </w:p>
    <w:p w:rsidR="00AF69E7" w:rsidRDefault="00AF69E7" w:rsidP="00CE6DD8">
      <w:pPr>
        <w:pStyle w:val="AHPRAbody"/>
      </w:pPr>
      <w:r>
        <w:t xml:space="preserve">Complaints will be assessed against the </w:t>
      </w:r>
      <w:r w:rsidR="008E450B">
        <w:rPr>
          <w:i/>
        </w:rPr>
        <w:t>Common Protocol:</w:t>
      </w:r>
      <w:r w:rsidRPr="001F0D24">
        <w:rPr>
          <w:i/>
        </w:rPr>
        <w:t xml:space="preserve"> Informing </w:t>
      </w:r>
      <w:r w:rsidR="007B02ED">
        <w:rPr>
          <w:i/>
        </w:rPr>
        <w:t>n</w:t>
      </w:r>
      <w:r w:rsidR="005E5F45">
        <w:rPr>
          <w:i/>
        </w:rPr>
        <w:t>otifiers</w:t>
      </w:r>
      <w:r w:rsidRPr="001F0D24">
        <w:rPr>
          <w:i/>
        </w:rPr>
        <w:t xml:space="preserve"> about the </w:t>
      </w:r>
      <w:r w:rsidR="007B02ED">
        <w:rPr>
          <w:i/>
        </w:rPr>
        <w:t>r</w:t>
      </w:r>
      <w:r w:rsidRPr="001F0D24">
        <w:rPr>
          <w:i/>
        </w:rPr>
        <w:t xml:space="preserve">easons for </w:t>
      </w:r>
      <w:r w:rsidR="007B02ED">
        <w:rPr>
          <w:i/>
        </w:rPr>
        <w:t>N</w:t>
      </w:r>
      <w:r w:rsidRPr="001F0D24">
        <w:rPr>
          <w:i/>
        </w:rPr>
        <w:t xml:space="preserve">ational Board </w:t>
      </w:r>
      <w:r w:rsidR="007B02ED">
        <w:rPr>
          <w:i/>
        </w:rPr>
        <w:t>d</w:t>
      </w:r>
      <w:r w:rsidRPr="001F0D24">
        <w:rPr>
          <w:i/>
        </w:rPr>
        <w:t>ecisions</w:t>
      </w:r>
      <w:r>
        <w:t xml:space="preserve"> in order to determine whether a decision to disclose, or not disclose, reasons for a decision was appropriate.</w:t>
      </w:r>
    </w:p>
    <w:p w:rsidR="00F65DA8" w:rsidRDefault="00F65DA8" w:rsidP="00CE6DD8">
      <w:pPr>
        <w:pStyle w:val="AHPRAbody"/>
      </w:pPr>
      <w:r>
        <w:t xml:space="preserve">In the first instance people are encouraged to raise their concerns directly with the AHPRA staff member </w:t>
      </w:r>
      <w:r w:rsidR="008E450B">
        <w:t>who has managed their concern</w:t>
      </w:r>
      <w:r>
        <w:t>.</w:t>
      </w:r>
    </w:p>
    <w:p w:rsidR="00AF69E7" w:rsidRDefault="00F65DA8" w:rsidP="00CE6DD8">
      <w:pPr>
        <w:pStyle w:val="AHPRAbody"/>
      </w:pPr>
      <w:r>
        <w:t>If the concerns have not been resolved through informal discussion then the matter can be formally raised through the</w:t>
      </w:r>
      <w:r w:rsidR="00AF69E7">
        <w:t xml:space="preserve"> AHPRA</w:t>
      </w:r>
      <w:r>
        <w:t xml:space="preserve"> complaint process.</w:t>
      </w:r>
    </w:p>
    <w:p w:rsidR="00AF69E7" w:rsidRDefault="001B5B89" w:rsidP="00CE6DD8">
      <w:pPr>
        <w:pStyle w:val="AHPRAbody"/>
      </w:pPr>
      <w:r>
        <w:t>Notifiers may also seek to access further information by making a Freedom of Information (FOI) application.</w:t>
      </w:r>
      <w:r w:rsidR="00F65DA8">
        <w:t xml:space="preserve"> </w:t>
      </w:r>
    </w:p>
    <w:p w:rsidR="0078699C" w:rsidRDefault="0078699C" w:rsidP="00CE6DD8">
      <w:pPr>
        <w:pStyle w:val="AHPRAbody"/>
      </w:pPr>
      <w:r w:rsidRPr="001B5B89">
        <w:t xml:space="preserve">Information about </w:t>
      </w:r>
      <w:r w:rsidR="00F65DA8" w:rsidRPr="001B5B89">
        <w:t>the complaint process</w:t>
      </w:r>
      <w:r w:rsidR="0041750D" w:rsidRPr="001B5B89">
        <w:t xml:space="preserve"> and how to make an </w:t>
      </w:r>
      <w:r w:rsidR="001B5B89">
        <w:t xml:space="preserve">FOI </w:t>
      </w:r>
      <w:r w:rsidR="0041750D" w:rsidRPr="001B5B89">
        <w:t>application</w:t>
      </w:r>
      <w:r w:rsidR="00F65DA8" w:rsidRPr="001B5B89">
        <w:t xml:space="preserve"> can be found on the AHPR</w:t>
      </w:r>
      <w:r w:rsidR="0041750D" w:rsidRPr="001B5B89">
        <w:t xml:space="preserve">A </w:t>
      </w:r>
      <w:hyperlink r:id="rId8" w:history="1">
        <w:r w:rsidR="0041750D" w:rsidRPr="001B5B89">
          <w:rPr>
            <w:rStyle w:val="Hyperlink"/>
            <w:szCs w:val="20"/>
          </w:rPr>
          <w:t>website</w:t>
        </w:r>
      </w:hyperlink>
      <w:r w:rsidR="0041750D" w:rsidRPr="001B5B89">
        <w:t>.</w:t>
      </w:r>
    </w:p>
    <w:p w:rsidR="001B5B89" w:rsidRPr="001B5B89" w:rsidRDefault="001B5B89" w:rsidP="00CE6DD8">
      <w:pPr>
        <w:pStyle w:val="AHPRAbody"/>
      </w:pPr>
      <w:r>
        <w:t xml:space="preserve">If a person who has made a complaint to AHPRA believes that the response was not appropriate then a further complaint may be made to the </w:t>
      </w:r>
      <w:hyperlink r:id="rId9" w:history="1">
        <w:r w:rsidRPr="001B5B89">
          <w:rPr>
            <w:rStyle w:val="Hyperlink"/>
            <w:szCs w:val="20"/>
          </w:rPr>
          <w:t>National Health Practitioner Ombudsman</w:t>
        </w:r>
      </w:hyperlink>
      <w:r w:rsidR="0047539A">
        <w:rPr>
          <w:rStyle w:val="Hyperlink"/>
          <w:szCs w:val="20"/>
        </w:rPr>
        <w:t xml:space="preserve"> and Privacy Commissioner</w:t>
      </w:r>
      <w:r>
        <w:t>.</w:t>
      </w:r>
    </w:p>
    <w:p w:rsidR="00CE6DD8" w:rsidRPr="00CE6DD8" w:rsidRDefault="00F65DA8" w:rsidP="00CE6DD8">
      <w:pPr>
        <w:pStyle w:val="AHPRAbody"/>
      </w:pPr>
      <w:r>
        <w:t xml:space="preserve">If concerns relate to the inappropriate disclosure of information in breach of the </w:t>
      </w:r>
      <w:r>
        <w:rPr>
          <w:i/>
        </w:rPr>
        <w:t xml:space="preserve">Privacy Act 1988 </w:t>
      </w:r>
      <w:r>
        <w:t xml:space="preserve">(Cth) or the Australian Privacy Principles then people </w:t>
      </w:r>
      <w:r w:rsidR="005E5F45">
        <w:t>may also complain</w:t>
      </w:r>
      <w:r>
        <w:t xml:space="preserve"> to the </w:t>
      </w:r>
      <w:hyperlink r:id="rId10" w:history="1">
        <w:r w:rsidR="005E5F45" w:rsidRPr="001B5B89">
          <w:rPr>
            <w:rStyle w:val="Hyperlink"/>
            <w:szCs w:val="20"/>
          </w:rPr>
          <w:t>National Health Practitioner Ombudsman</w:t>
        </w:r>
      </w:hyperlink>
      <w:r w:rsidR="005E5F45">
        <w:rPr>
          <w:rStyle w:val="Hyperlink"/>
          <w:szCs w:val="20"/>
        </w:rPr>
        <w:t xml:space="preserve"> and Privacy Commissioner</w:t>
      </w:r>
      <w:r w:rsidR="005E5F45">
        <w:t xml:space="preserve"> if they have been unable to resolve the issues through the AHPRA complaint process</w:t>
      </w:r>
      <w:r>
        <w:t>.</w:t>
      </w:r>
    </w:p>
    <w:sectPr w:rsidR="00CE6DD8" w:rsidRPr="00CE6DD8" w:rsidSect="00D819A5">
      <w:headerReference w:type="default" r:id="rId11"/>
      <w:footerReference w:type="default" r:id="rId12"/>
      <w:headerReference w:type="first" r:id="rId13"/>
      <w:footerReference w:type="first" r:id="rId14"/>
      <w:pgSz w:w="12240" w:h="15840"/>
      <w:pgMar w:top="109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04" w:rsidRDefault="00F04404" w:rsidP="00443180">
      <w:pPr>
        <w:spacing w:after="0" w:line="240" w:lineRule="auto"/>
      </w:pPr>
      <w:r>
        <w:separator/>
      </w:r>
    </w:p>
  </w:endnote>
  <w:endnote w:type="continuationSeparator" w:id="0">
    <w:p w:rsidR="00F04404" w:rsidRDefault="00F04404" w:rsidP="0044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04" w:rsidRDefault="00F04404" w:rsidP="00D819A5">
    <w:pPr>
      <w:pStyle w:val="AHPRAfooter"/>
      <w:rPr>
        <w:szCs w:val="16"/>
      </w:rPr>
    </w:pPr>
    <w:r>
      <w:rPr>
        <w:szCs w:val="16"/>
      </w:rPr>
      <w:t>Common Protocol</w:t>
    </w:r>
    <w:r w:rsidR="004A5D5C">
      <w:rPr>
        <w:szCs w:val="16"/>
      </w:rPr>
      <w:t xml:space="preserve"> – Version 1.0</w:t>
    </w:r>
  </w:p>
  <w:p w:rsidR="00F04404" w:rsidRDefault="002B4699" w:rsidP="00D819A5">
    <w:pPr>
      <w:pStyle w:val="AHPRApagenumber"/>
    </w:pPr>
    <w:sdt>
      <w:sdtPr>
        <w:id w:val="8374046"/>
        <w:docPartObj>
          <w:docPartGallery w:val="Page Numbers (Top of Page)"/>
          <w:docPartUnique/>
        </w:docPartObj>
      </w:sdtPr>
      <w:sdtEndPr/>
      <w:sdtContent>
        <w:r w:rsidR="00F04404" w:rsidRPr="000E7E28">
          <w:t xml:space="preserve">Page </w:t>
        </w:r>
        <w:r>
          <w:fldChar w:fldCharType="begin"/>
        </w:r>
        <w:r>
          <w:instrText xml:space="preserve"> PAGE </w:instrText>
        </w:r>
        <w:r>
          <w:fldChar w:fldCharType="separate"/>
        </w:r>
        <w:r>
          <w:rPr>
            <w:noProof/>
          </w:rPr>
          <w:t>2</w:t>
        </w:r>
        <w:r>
          <w:rPr>
            <w:noProof/>
          </w:rPr>
          <w:fldChar w:fldCharType="end"/>
        </w:r>
        <w:r w:rsidR="00F04404" w:rsidRPr="000E7E28">
          <w:t xml:space="preserve"> of </w:t>
        </w:r>
        <w:r>
          <w:fldChar w:fldCharType="begin"/>
        </w:r>
        <w:r>
          <w:instrText xml:space="preserve"> NUMPAGES  </w:instrText>
        </w:r>
        <w:r>
          <w:fldChar w:fldCharType="separate"/>
        </w:r>
        <w:r>
          <w:rPr>
            <w:noProof/>
          </w:rPr>
          <w:t>5</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04" w:rsidRPr="00E77E23" w:rsidRDefault="00F04404" w:rsidP="00D819A5">
    <w:pPr>
      <w:pStyle w:val="AHPRAfirstpagefooter"/>
    </w:pPr>
    <w:r w:rsidRPr="00E77E23">
      <w:t xml:space="preserve">Australian </w:t>
    </w:r>
    <w:r w:rsidRPr="00E77E23">
      <w:rPr>
        <w:color w:val="007DC3"/>
      </w:rPr>
      <w:t>Health Practitioner</w:t>
    </w:r>
    <w:r w:rsidRPr="00E77E23">
      <w:t xml:space="preserve"> Regulation Agency</w:t>
    </w:r>
  </w:p>
  <w:p w:rsidR="00F04404" w:rsidRDefault="00F04404" w:rsidP="00D819A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04" w:rsidRDefault="00F04404" w:rsidP="00443180">
      <w:pPr>
        <w:spacing w:after="0" w:line="240" w:lineRule="auto"/>
      </w:pPr>
      <w:r>
        <w:separator/>
      </w:r>
    </w:p>
  </w:footnote>
  <w:footnote w:type="continuationSeparator" w:id="0">
    <w:p w:rsidR="00F04404" w:rsidRDefault="00F04404" w:rsidP="00443180">
      <w:pPr>
        <w:spacing w:after="0" w:line="240" w:lineRule="auto"/>
      </w:pPr>
      <w:r>
        <w:continuationSeparator/>
      </w:r>
    </w:p>
  </w:footnote>
  <w:footnote w:id="1">
    <w:p w:rsidR="00F04404" w:rsidRPr="0096016D" w:rsidRDefault="00F04404" w:rsidP="00E20BC5">
      <w:pPr>
        <w:pStyle w:val="FootnoteText"/>
        <w:spacing w:after="60"/>
        <w:ind w:left="284" w:hanging="284"/>
        <w:rPr>
          <w:rFonts w:ascii="Arial" w:hAnsi="Arial" w:cs="Arial"/>
          <w:sz w:val="16"/>
          <w:szCs w:val="16"/>
        </w:rPr>
      </w:pPr>
      <w:r w:rsidRPr="00E20BC5">
        <w:rPr>
          <w:rStyle w:val="FootnoteReference"/>
          <w:rFonts w:ascii="Arial" w:hAnsi="Arial" w:cs="Arial"/>
          <w:sz w:val="16"/>
          <w:szCs w:val="16"/>
        </w:rPr>
        <w:footnoteRef/>
      </w:r>
      <w:r w:rsidRPr="00E20BC5">
        <w:rPr>
          <w:rFonts w:ascii="Arial" w:hAnsi="Arial" w:cs="Arial"/>
          <w:sz w:val="16"/>
          <w:szCs w:val="16"/>
        </w:rPr>
        <w:t xml:space="preserve"> </w:t>
      </w:r>
      <w:r w:rsidRPr="00E20BC5">
        <w:rPr>
          <w:rFonts w:ascii="Arial" w:hAnsi="Arial" w:cs="Arial"/>
          <w:sz w:val="16"/>
          <w:szCs w:val="16"/>
        </w:rPr>
        <w:tab/>
        <w:t>Health Practitioner</w:t>
      </w:r>
      <w:r w:rsidRPr="000F30F4">
        <w:rPr>
          <w:rFonts w:ascii="Arial" w:hAnsi="Arial" w:cs="Arial"/>
          <w:sz w:val="16"/>
          <w:szCs w:val="16"/>
        </w:rPr>
        <w:t xml:space="preserve"> Regulation </w:t>
      </w:r>
      <w:r w:rsidRPr="0096016D">
        <w:rPr>
          <w:rFonts w:ascii="Arial" w:hAnsi="Arial" w:cs="Arial"/>
          <w:sz w:val="16"/>
          <w:szCs w:val="16"/>
        </w:rPr>
        <w:t>National Law, s151(3)&amp;(4)</w:t>
      </w:r>
    </w:p>
  </w:footnote>
  <w:footnote w:id="2">
    <w:p w:rsidR="00F04404" w:rsidRPr="0096016D" w:rsidRDefault="00F04404" w:rsidP="000F30F4">
      <w:pPr>
        <w:pStyle w:val="FootnoteText"/>
        <w:tabs>
          <w:tab w:val="left" w:pos="284"/>
        </w:tabs>
        <w:spacing w:after="60"/>
        <w:ind w:left="284" w:hanging="284"/>
        <w:rPr>
          <w:rFonts w:ascii="Arial" w:hAnsi="Arial" w:cs="Arial"/>
          <w:sz w:val="16"/>
          <w:szCs w:val="16"/>
        </w:rPr>
      </w:pPr>
      <w:r w:rsidRPr="0096016D">
        <w:rPr>
          <w:rStyle w:val="FootnoteReference"/>
          <w:rFonts w:ascii="Arial" w:hAnsi="Arial" w:cs="Arial"/>
          <w:sz w:val="16"/>
          <w:szCs w:val="16"/>
        </w:rPr>
        <w:footnoteRef/>
      </w:r>
      <w:r w:rsidRPr="0096016D">
        <w:rPr>
          <w:rFonts w:ascii="Arial" w:hAnsi="Arial" w:cs="Arial"/>
          <w:sz w:val="16"/>
          <w:szCs w:val="16"/>
        </w:rPr>
        <w:t xml:space="preserve"> </w:t>
      </w:r>
      <w:r w:rsidRPr="0096016D">
        <w:rPr>
          <w:rFonts w:ascii="Arial" w:hAnsi="Arial" w:cs="Arial"/>
          <w:sz w:val="16"/>
          <w:szCs w:val="16"/>
        </w:rPr>
        <w:tab/>
        <w:t>Health Practitioner Regulation National Law, s180</w:t>
      </w:r>
    </w:p>
  </w:footnote>
  <w:footnote w:id="3">
    <w:p w:rsidR="00F04404" w:rsidRPr="0096016D" w:rsidRDefault="00F04404" w:rsidP="000F30F4">
      <w:pPr>
        <w:pStyle w:val="FootnoteText"/>
        <w:tabs>
          <w:tab w:val="left" w:pos="284"/>
        </w:tabs>
        <w:spacing w:after="60"/>
        <w:ind w:left="284" w:hanging="284"/>
        <w:rPr>
          <w:rFonts w:ascii="Arial" w:hAnsi="Arial" w:cs="Arial"/>
          <w:sz w:val="16"/>
          <w:szCs w:val="16"/>
        </w:rPr>
      </w:pPr>
      <w:r w:rsidRPr="0096016D">
        <w:rPr>
          <w:rStyle w:val="FootnoteReference"/>
          <w:rFonts w:ascii="Arial" w:hAnsi="Arial" w:cs="Arial"/>
          <w:sz w:val="16"/>
          <w:szCs w:val="16"/>
        </w:rPr>
        <w:footnoteRef/>
      </w:r>
      <w:r w:rsidRPr="0096016D">
        <w:rPr>
          <w:rFonts w:ascii="Arial" w:hAnsi="Arial" w:cs="Arial"/>
          <w:sz w:val="16"/>
          <w:szCs w:val="16"/>
        </w:rPr>
        <w:tab/>
        <w:t>Health Practitioner Regulation National Law, s159A</w:t>
      </w:r>
    </w:p>
  </w:footnote>
  <w:footnote w:id="4">
    <w:p w:rsidR="00F04404" w:rsidRPr="00757D9F" w:rsidRDefault="00F04404" w:rsidP="00757D9F">
      <w:pPr>
        <w:pStyle w:val="FootnoteText"/>
        <w:tabs>
          <w:tab w:val="left" w:pos="284"/>
        </w:tabs>
        <w:spacing w:after="60"/>
        <w:ind w:left="284" w:hanging="284"/>
        <w:rPr>
          <w:rFonts w:ascii="Arial" w:hAnsi="Arial" w:cs="Arial"/>
          <w:sz w:val="16"/>
          <w:szCs w:val="16"/>
        </w:rPr>
      </w:pPr>
      <w:r w:rsidRPr="0096016D">
        <w:rPr>
          <w:rStyle w:val="FootnoteReference"/>
          <w:rFonts w:ascii="Arial" w:hAnsi="Arial" w:cs="Arial"/>
          <w:sz w:val="16"/>
          <w:szCs w:val="16"/>
        </w:rPr>
        <w:footnoteRef/>
      </w:r>
      <w:r w:rsidRPr="0096016D">
        <w:rPr>
          <w:rFonts w:ascii="Arial" w:hAnsi="Arial" w:cs="Arial"/>
          <w:sz w:val="16"/>
          <w:szCs w:val="16"/>
        </w:rPr>
        <w:tab/>
        <w:t>Health Practitioner Regulation National Law, s167A</w:t>
      </w:r>
    </w:p>
  </w:footnote>
  <w:footnote w:id="5">
    <w:p w:rsidR="00F04404" w:rsidRPr="0096016D" w:rsidRDefault="00F04404" w:rsidP="00757D9F">
      <w:pPr>
        <w:pStyle w:val="FootnoteText"/>
        <w:spacing w:after="60"/>
        <w:ind w:left="284" w:hanging="284"/>
        <w:rPr>
          <w:rFonts w:ascii="Arial" w:hAnsi="Arial" w:cs="Arial"/>
          <w:sz w:val="16"/>
          <w:szCs w:val="16"/>
        </w:rPr>
      </w:pPr>
      <w:r w:rsidRPr="00757D9F">
        <w:rPr>
          <w:rStyle w:val="FootnoteReference"/>
          <w:rFonts w:ascii="Arial" w:hAnsi="Arial" w:cs="Arial"/>
          <w:sz w:val="16"/>
          <w:szCs w:val="16"/>
        </w:rPr>
        <w:footnoteRef/>
      </w:r>
      <w:r w:rsidRPr="00757D9F">
        <w:rPr>
          <w:rFonts w:ascii="Arial" w:hAnsi="Arial" w:cs="Arial"/>
          <w:sz w:val="16"/>
          <w:szCs w:val="16"/>
        </w:rPr>
        <w:tab/>
      </w:r>
      <w:r w:rsidRPr="0096016D">
        <w:rPr>
          <w:rFonts w:ascii="Arial" w:hAnsi="Arial" w:cs="Arial"/>
          <w:sz w:val="16"/>
          <w:szCs w:val="16"/>
        </w:rPr>
        <w:t>Health Practition</w:t>
      </w:r>
      <w:r>
        <w:rPr>
          <w:rFonts w:ascii="Arial" w:hAnsi="Arial" w:cs="Arial"/>
          <w:sz w:val="16"/>
          <w:szCs w:val="16"/>
        </w:rPr>
        <w:t xml:space="preserve">er Regulation National Law, s177A; </w:t>
      </w:r>
      <w:r w:rsidRPr="00757D9F">
        <w:rPr>
          <w:rFonts w:ascii="Arial" w:hAnsi="Arial" w:cs="Arial"/>
          <w:sz w:val="16"/>
          <w:szCs w:val="16"/>
        </w:rPr>
        <w:t xml:space="preserve">Notifiers will only be provided with </w:t>
      </w:r>
      <w:r w:rsidRPr="0096016D">
        <w:rPr>
          <w:rFonts w:ascii="Arial" w:hAnsi="Arial" w:cs="Arial"/>
          <w:sz w:val="16"/>
          <w:szCs w:val="16"/>
        </w:rPr>
        <w:t>limited information about a practitioner</w:t>
      </w:r>
      <w:r>
        <w:rPr>
          <w:rFonts w:ascii="Arial" w:hAnsi="Arial" w:cs="Arial"/>
          <w:sz w:val="16"/>
          <w:szCs w:val="16"/>
        </w:rPr>
        <w:t>’s</w:t>
      </w:r>
      <w:r w:rsidRPr="0096016D">
        <w:rPr>
          <w:rFonts w:ascii="Arial" w:hAnsi="Arial" w:cs="Arial"/>
          <w:sz w:val="16"/>
          <w:szCs w:val="16"/>
        </w:rPr>
        <w:t xml:space="preserve"> health.  See section 4(iv) to (v) below.</w:t>
      </w:r>
    </w:p>
  </w:footnote>
  <w:footnote w:id="6">
    <w:p w:rsidR="00F04404" w:rsidRPr="0096016D" w:rsidRDefault="00F04404" w:rsidP="00757D9F">
      <w:pPr>
        <w:pStyle w:val="FootnoteText"/>
        <w:tabs>
          <w:tab w:val="left" w:pos="284"/>
        </w:tabs>
        <w:spacing w:after="60"/>
        <w:ind w:left="284" w:hanging="284"/>
        <w:rPr>
          <w:rFonts w:ascii="Arial" w:hAnsi="Arial" w:cs="Arial"/>
          <w:sz w:val="16"/>
          <w:szCs w:val="16"/>
        </w:rPr>
      </w:pPr>
      <w:r w:rsidRPr="0096016D">
        <w:rPr>
          <w:rStyle w:val="FootnoteReference"/>
          <w:rFonts w:ascii="Arial" w:hAnsi="Arial" w:cs="Arial"/>
          <w:sz w:val="16"/>
          <w:szCs w:val="16"/>
        </w:rPr>
        <w:footnoteRef/>
      </w:r>
      <w:r w:rsidRPr="0096016D">
        <w:rPr>
          <w:rFonts w:ascii="Arial" w:hAnsi="Arial" w:cs="Arial"/>
          <w:sz w:val="16"/>
          <w:szCs w:val="16"/>
        </w:rPr>
        <w:tab/>
        <w:t>Health Practitioner Regulation National Law, s1</w:t>
      </w:r>
      <w:r>
        <w:rPr>
          <w:rFonts w:ascii="Arial" w:hAnsi="Arial" w:cs="Arial"/>
          <w:sz w:val="16"/>
          <w:szCs w:val="16"/>
        </w:rPr>
        <w:t>77</w:t>
      </w:r>
      <w:r w:rsidRPr="0096016D">
        <w:rPr>
          <w:rFonts w:ascii="Arial" w:hAnsi="Arial" w:cs="Arial"/>
          <w:sz w:val="16"/>
          <w:szCs w:val="16"/>
        </w:rPr>
        <w:t>A</w:t>
      </w:r>
    </w:p>
  </w:footnote>
  <w:footnote w:id="7">
    <w:p w:rsidR="00F04404" w:rsidRPr="00757D9F" w:rsidRDefault="00F04404" w:rsidP="00757D9F">
      <w:pPr>
        <w:pStyle w:val="FootnoteText"/>
        <w:spacing w:after="60"/>
        <w:ind w:left="284" w:hanging="284"/>
        <w:rPr>
          <w:rFonts w:ascii="Arial" w:hAnsi="Arial" w:cs="Arial"/>
          <w:sz w:val="16"/>
          <w:szCs w:val="16"/>
        </w:rPr>
      </w:pPr>
      <w:r w:rsidRPr="0096016D">
        <w:rPr>
          <w:rStyle w:val="FootnoteReference"/>
          <w:rFonts w:ascii="Arial" w:hAnsi="Arial" w:cs="Arial"/>
          <w:sz w:val="16"/>
          <w:szCs w:val="16"/>
        </w:rPr>
        <w:footnoteRef/>
      </w:r>
      <w:r w:rsidRPr="0096016D">
        <w:rPr>
          <w:rFonts w:ascii="Arial" w:hAnsi="Arial" w:cs="Arial"/>
          <w:sz w:val="16"/>
          <w:szCs w:val="16"/>
        </w:rPr>
        <w:t xml:space="preserve"> </w:t>
      </w:r>
      <w:r w:rsidRPr="0096016D">
        <w:rPr>
          <w:rFonts w:ascii="Arial" w:hAnsi="Arial" w:cs="Arial"/>
          <w:sz w:val="16"/>
          <w:szCs w:val="16"/>
        </w:rPr>
        <w:tab/>
        <w:t>Health Practitioner Regulation National Law, s192</w:t>
      </w:r>
    </w:p>
  </w:footnote>
  <w:footnote w:id="8">
    <w:p w:rsidR="00F04404" w:rsidRPr="000A611F" w:rsidRDefault="00F04404" w:rsidP="000A611F">
      <w:pPr>
        <w:pStyle w:val="FootnoteText"/>
        <w:tabs>
          <w:tab w:val="left" w:pos="284"/>
        </w:tabs>
        <w:spacing w:after="60"/>
        <w:ind w:left="284" w:hanging="284"/>
        <w:rPr>
          <w:rFonts w:ascii="Arial" w:hAnsi="Arial" w:cs="Arial"/>
          <w:sz w:val="16"/>
          <w:szCs w:val="16"/>
        </w:rPr>
      </w:pPr>
      <w:r w:rsidRPr="000A611F">
        <w:rPr>
          <w:rStyle w:val="FootnoteReference"/>
          <w:rFonts w:ascii="Arial" w:hAnsi="Arial" w:cs="Arial"/>
          <w:sz w:val="16"/>
          <w:szCs w:val="16"/>
        </w:rPr>
        <w:footnoteRef/>
      </w:r>
      <w:r w:rsidRPr="000A611F">
        <w:rPr>
          <w:rFonts w:ascii="Arial" w:hAnsi="Arial" w:cs="Arial"/>
          <w:sz w:val="16"/>
          <w:szCs w:val="16"/>
        </w:rPr>
        <w:t xml:space="preserve"> </w:t>
      </w:r>
      <w:r w:rsidRPr="000A611F">
        <w:rPr>
          <w:rFonts w:ascii="Arial" w:hAnsi="Arial" w:cs="Arial"/>
          <w:sz w:val="16"/>
          <w:szCs w:val="16"/>
        </w:rPr>
        <w:tab/>
        <w:t>‘</w:t>
      </w:r>
      <w:r w:rsidRPr="000A611F">
        <w:rPr>
          <w:rFonts w:ascii="Arial" w:hAnsi="Arial" w:cs="Arial"/>
          <w:i/>
          <w:sz w:val="16"/>
          <w:szCs w:val="16"/>
        </w:rPr>
        <w:t>Personal information</w:t>
      </w:r>
      <w:r w:rsidRPr="000A611F">
        <w:rPr>
          <w:rFonts w:ascii="Arial" w:hAnsi="Arial" w:cs="Arial"/>
          <w:sz w:val="16"/>
          <w:szCs w:val="16"/>
        </w:rPr>
        <w:t xml:space="preserve">’ is defined by section 6 of the </w:t>
      </w:r>
      <w:r w:rsidRPr="00693A36">
        <w:rPr>
          <w:rFonts w:ascii="Arial" w:hAnsi="Arial" w:cs="Arial"/>
          <w:i/>
          <w:sz w:val="16"/>
          <w:szCs w:val="16"/>
        </w:rPr>
        <w:t xml:space="preserve">Privacy Act 1988 </w:t>
      </w:r>
      <w:r w:rsidRPr="000A611F">
        <w:rPr>
          <w:rFonts w:ascii="Arial" w:hAnsi="Arial" w:cs="Arial"/>
          <w:sz w:val="16"/>
          <w:szCs w:val="16"/>
        </w:rPr>
        <w:t>(Cth) as</w:t>
      </w:r>
      <w:r>
        <w:rPr>
          <w:rFonts w:ascii="Arial" w:hAnsi="Arial" w:cs="Arial"/>
          <w:sz w:val="16"/>
          <w:szCs w:val="16"/>
        </w:rPr>
        <w:t>:</w:t>
      </w:r>
      <w:r w:rsidRPr="000A611F">
        <w:rPr>
          <w:rFonts w:ascii="Arial" w:hAnsi="Arial" w:cs="Arial"/>
          <w:sz w:val="16"/>
          <w:szCs w:val="16"/>
        </w:rPr>
        <w:t xml:space="preserve"> </w:t>
      </w:r>
    </w:p>
    <w:p w:rsidR="00F04404" w:rsidRPr="000A611F" w:rsidRDefault="00F04404" w:rsidP="004920CB">
      <w:pPr>
        <w:pStyle w:val="FootnoteText"/>
        <w:tabs>
          <w:tab w:val="left" w:pos="284"/>
        </w:tabs>
        <w:spacing w:after="60"/>
        <w:ind w:left="284" w:hanging="284"/>
        <w:rPr>
          <w:rFonts w:ascii="Arial" w:hAnsi="Arial" w:cs="Arial"/>
          <w:sz w:val="16"/>
          <w:szCs w:val="16"/>
        </w:rPr>
      </w:pPr>
      <w:r w:rsidRPr="000A611F">
        <w:rPr>
          <w:rFonts w:ascii="Arial" w:hAnsi="Arial" w:cs="Arial"/>
          <w:sz w:val="16"/>
          <w:szCs w:val="16"/>
        </w:rPr>
        <w:tab/>
        <w:t>‘information or an opinion about an identified individual, or an individual who is reasonably identifiable:</w:t>
      </w:r>
    </w:p>
    <w:p w:rsidR="00F04404" w:rsidRPr="000A611F" w:rsidRDefault="00F04404" w:rsidP="00CE6DD8">
      <w:pPr>
        <w:pStyle w:val="FootnoteText"/>
        <w:numPr>
          <w:ilvl w:val="0"/>
          <w:numId w:val="27"/>
        </w:numPr>
        <w:tabs>
          <w:tab w:val="left" w:pos="709"/>
        </w:tabs>
        <w:spacing w:after="60"/>
        <w:ind w:left="653" w:hanging="369"/>
        <w:rPr>
          <w:rFonts w:ascii="Arial" w:hAnsi="Arial" w:cs="Arial"/>
          <w:sz w:val="16"/>
          <w:szCs w:val="16"/>
        </w:rPr>
      </w:pPr>
      <w:r w:rsidRPr="000A611F">
        <w:rPr>
          <w:rFonts w:ascii="Arial" w:hAnsi="Arial" w:cs="Arial"/>
          <w:sz w:val="16"/>
          <w:szCs w:val="16"/>
        </w:rPr>
        <w:t>Whether the information or opinion is true or not; and</w:t>
      </w:r>
    </w:p>
    <w:p w:rsidR="00F04404" w:rsidRPr="00E83AE3" w:rsidRDefault="00F04404" w:rsidP="00CE6DD8">
      <w:pPr>
        <w:pStyle w:val="FootnoteText"/>
        <w:numPr>
          <w:ilvl w:val="0"/>
          <w:numId w:val="27"/>
        </w:numPr>
        <w:tabs>
          <w:tab w:val="left" w:pos="709"/>
        </w:tabs>
        <w:spacing w:after="60"/>
        <w:ind w:left="653" w:hanging="369"/>
        <w:rPr>
          <w:rFonts w:ascii="Arial" w:hAnsi="Arial" w:cs="Arial"/>
          <w:sz w:val="16"/>
          <w:szCs w:val="16"/>
        </w:rPr>
      </w:pPr>
      <w:r w:rsidRPr="00E83AE3">
        <w:rPr>
          <w:rFonts w:ascii="Arial" w:hAnsi="Arial" w:cs="Arial"/>
          <w:sz w:val="16"/>
          <w:szCs w:val="16"/>
        </w:rPr>
        <w:t>Whether the information or opinion is recorded in a material form or not.’</w:t>
      </w:r>
    </w:p>
  </w:footnote>
  <w:footnote w:id="9">
    <w:p w:rsidR="00F04404" w:rsidRPr="00E83AE3" w:rsidRDefault="00F04404" w:rsidP="00E83AE3">
      <w:pPr>
        <w:pStyle w:val="FootnoteText"/>
        <w:tabs>
          <w:tab w:val="left" w:pos="284"/>
        </w:tabs>
        <w:spacing w:after="60"/>
        <w:ind w:left="284" w:hanging="284"/>
        <w:rPr>
          <w:rFonts w:ascii="Arial" w:hAnsi="Arial" w:cs="Arial"/>
          <w:sz w:val="16"/>
          <w:szCs w:val="16"/>
        </w:rPr>
      </w:pPr>
      <w:r w:rsidRPr="00E83AE3">
        <w:rPr>
          <w:rStyle w:val="FootnoteReference"/>
          <w:rFonts w:ascii="Arial" w:hAnsi="Arial" w:cs="Arial"/>
          <w:sz w:val="16"/>
          <w:szCs w:val="16"/>
        </w:rPr>
        <w:footnoteRef/>
      </w:r>
      <w:r w:rsidRPr="00E83AE3">
        <w:rPr>
          <w:rFonts w:ascii="Arial" w:hAnsi="Arial" w:cs="Arial"/>
          <w:sz w:val="16"/>
          <w:szCs w:val="16"/>
        </w:rPr>
        <w:t xml:space="preserve"> </w:t>
      </w:r>
      <w:r w:rsidRPr="00E83AE3">
        <w:rPr>
          <w:rFonts w:ascii="Arial" w:hAnsi="Arial" w:cs="Arial"/>
          <w:sz w:val="16"/>
          <w:szCs w:val="16"/>
        </w:rPr>
        <w:tab/>
        <w:t>Health Practitioner Regulation National Law, Part 10</w:t>
      </w:r>
    </w:p>
  </w:footnote>
  <w:footnote w:id="10">
    <w:p w:rsidR="00F04404" w:rsidRPr="00E83AE3" w:rsidRDefault="00F04404" w:rsidP="00E83AE3">
      <w:pPr>
        <w:pStyle w:val="FootnoteText"/>
        <w:spacing w:after="60"/>
        <w:ind w:left="284" w:hanging="284"/>
        <w:rPr>
          <w:rFonts w:ascii="Arial" w:hAnsi="Arial" w:cs="Arial"/>
          <w:sz w:val="16"/>
          <w:szCs w:val="16"/>
        </w:rPr>
      </w:pPr>
      <w:r w:rsidRPr="00E83AE3">
        <w:rPr>
          <w:rStyle w:val="FootnoteReference"/>
          <w:rFonts w:ascii="Arial" w:hAnsi="Arial" w:cs="Arial"/>
          <w:sz w:val="16"/>
          <w:szCs w:val="16"/>
        </w:rPr>
        <w:footnoteRef/>
      </w:r>
      <w:r w:rsidRPr="00E83AE3">
        <w:rPr>
          <w:rFonts w:ascii="Arial" w:hAnsi="Arial" w:cs="Arial"/>
          <w:sz w:val="16"/>
          <w:szCs w:val="16"/>
        </w:rPr>
        <w:t xml:space="preserve"> </w:t>
      </w:r>
      <w:r w:rsidRPr="00E83AE3">
        <w:rPr>
          <w:rFonts w:ascii="Arial" w:hAnsi="Arial" w:cs="Arial"/>
          <w:sz w:val="16"/>
          <w:szCs w:val="16"/>
        </w:rPr>
        <w:tab/>
        <w:t>Australian Privacy Principle 6: Use or disclosure of personal information</w:t>
      </w:r>
    </w:p>
  </w:footnote>
  <w:footnote w:id="11">
    <w:p w:rsidR="00F04404" w:rsidRPr="00A33240" w:rsidRDefault="00F04404" w:rsidP="00A33240">
      <w:pPr>
        <w:pStyle w:val="FootnoteText"/>
        <w:spacing w:after="60"/>
        <w:ind w:left="284" w:hanging="284"/>
        <w:rPr>
          <w:rFonts w:ascii="Arial" w:hAnsi="Arial" w:cs="Arial"/>
          <w:sz w:val="16"/>
          <w:szCs w:val="16"/>
        </w:rPr>
      </w:pPr>
      <w:r w:rsidRPr="00A33240">
        <w:rPr>
          <w:rStyle w:val="FootnoteReference"/>
          <w:rFonts w:ascii="Arial" w:hAnsi="Arial" w:cs="Arial"/>
          <w:sz w:val="16"/>
          <w:szCs w:val="16"/>
        </w:rPr>
        <w:footnoteRef/>
      </w:r>
      <w:r w:rsidRPr="00A33240">
        <w:rPr>
          <w:rFonts w:ascii="Arial" w:hAnsi="Arial" w:cs="Arial"/>
          <w:sz w:val="16"/>
          <w:szCs w:val="16"/>
        </w:rPr>
        <w:tab/>
        <w:t xml:space="preserve">For the purposes of the </w:t>
      </w:r>
      <w:r w:rsidRPr="00A33240">
        <w:rPr>
          <w:rFonts w:ascii="Arial" w:hAnsi="Arial" w:cs="Arial"/>
          <w:i/>
          <w:sz w:val="16"/>
          <w:szCs w:val="16"/>
        </w:rPr>
        <w:t>Common Protocol</w:t>
      </w:r>
      <w:r w:rsidRPr="00A33240">
        <w:rPr>
          <w:rFonts w:ascii="Arial" w:hAnsi="Arial" w:cs="Arial"/>
          <w:sz w:val="16"/>
          <w:szCs w:val="16"/>
        </w:rPr>
        <w:t xml:space="preserve"> the term ‘person’ includes a natural person and an incorporated entity. However, an unincorporated business is not a person.</w:t>
      </w:r>
    </w:p>
  </w:footnote>
  <w:footnote w:id="12">
    <w:p w:rsidR="00F04404" w:rsidRDefault="00F04404" w:rsidP="00A33240">
      <w:pPr>
        <w:pStyle w:val="FootnoteText"/>
        <w:tabs>
          <w:tab w:val="left" w:pos="284"/>
        </w:tabs>
        <w:spacing w:after="60"/>
        <w:ind w:left="284" w:hanging="284"/>
      </w:pPr>
      <w:r w:rsidRPr="00A33240">
        <w:rPr>
          <w:rStyle w:val="FootnoteReference"/>
          <w:rFonts w:ascii="Arial" w:hAnsi="Arial" w:cs="Arial"/>
          <w:sz w:val="16"/>
          <w:szCs w:val="16"/>
        </w:rPr>
        <w:footnoteRef/>
      </w:r>
      <w:r w:rsidRPr="00A33240">
        <w:rPr>
          <w:rFonts w:ascii="Arial" w:hAnsi="Arial" w:cs="Arial"/>
          <w:sz w:val="16"/>
          <w:szCs w:val="16"/>
        </w:rPr>
        <w:tab/>
        <w:t xml:space="preserve">For example, a </w:t>
      </w:r>
      <w:r>
        <w:rPr>
          <w:rFonts w:ascii="Arial" w:hAnsi="Arial" w:cs="Arial"/>
          <w:sz w:val="16"/>
          <w:szCs w:val="16"/>
        </w:rPr>
        <w:t xml:space="preserve">patient may provide their consent to receive reasons for a decision to a </w:t>
      </w:r>
      <w:r w:rsidRPr="00A33240">
        <w:rPr>
          <w:rFonts w:ascii="Arial" w:hAnsi="Arial" w:cs="Arial"/>
          <w:sz w:val="16"/>
          <w:szCs w:val="16"/>
        </w:rPr>
        <w:t>family member</w:t>
      </w:r>
      <w:r>
        <w:rPr>
          <w:rFonts w:ascii="Arial" w:hAnsi="Arial" w:cs="Arial"/>
          <w:sz w:val="16"/>
          <w:szCs w:val="16"/>
        </w:rPr>
        <w:t xml:space="preserve"> or a friend.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04" w:rsidRPr="00CE6DD8" w:rsidRDefault="00F04404" w:rsidP="00443180">
    <w:pPr>
      <w:pStyle w:val="Heade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04" w:rsidRDefault="00F04404">
    <w:pPr>
      <w:pStyle w:val="Header"/>
    </w:pPr>
    <w:r w:rsidRPr="00D819A5">
      <w:rPr>
        <w:rFonts w:ascii="Arial" w:hAnsi="Arial" w:cs="Arial"/>
        <w:noProof/>
        <w:sz w:val="20"/>
        <w:szCs w:val="20"/>
        <w:lang w:eastAsia="en-AU"/>
      </w:rPr>
      <w:drawing>
        <wp:anchor distT="0" distB="0" distL="114300" distR="114300" simplePos="0" relativeHeight="251657216" behindDoc="1" locked="0" layoutInCell="1" allowOverlap="1">
          <wp:simplePos x="0" y="0"/>
          <wp:positionH relativeFrom="column">
            <wp:align>right</wp:align>
          </wp:positionH>
          <wp:positionV relativeFrom="paragraph">
            <wp:posOffset>0</wp:posOffset>
          </wp:positionV>
          <wp:extent cx="2707200" cy="1008000"/>
          <wp:effectExtent l="0" t="0" r="0" b="0"/>
          <wp:wrapNone/>
          <wp:docPr id="35" name="Picture 35"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ombinedBoards_14.emf"/>
                  <pic:cNvPicPr/>
                </pic:nvPicPr>
                <pic:blipFill>
                  <a:blip r:embed="rId1">
                    <a:extLst>
                      <a:ext uri="{28A0092B-C50C-407E-A947-70E740481C1C}">
                        <a14:useLocalDpi xmlns:a14="http://schemas.microsoft.com/office/drawing/2010/main" val="0"/>
                      </a:ext>
                    </a:extLst>
                  </a:blip>
                  <a:stretch>
                    <a:fillRect/>
                  </a:stretch>
                </pic:blipFill>
                <pic:spPr>
                  <a:xfrm>
                    <a:off x="0" y="0"/>
                    <a:ext cx="2707200" cy="100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4DD6"/>
    <w:multiLevelType w:val="hybridMultilevel"/>
    <w:tmpl w:val="9D66CC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F22D59"/>
    <w:multiLevelType w:val="hybridMultilevel"/>
    <w:tmpl w:val="E26008E8"/>
    <w:lvl w:ilvl="0" w:tplc="FF98387C">
      <w:start w:val="1"/>
      <w:numFmt w:val="lowerRoman"/>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90F1AAD"/>
    <w:multiLevelType w:val="hybridMultilevel"/>
    <w:tmpl w:val="2692FBB8"/>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EDE540F"/>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C7CCD"/>
    <w:multiLevelType w:val="hybridMultilevel"/>
    <w:tmpl w:val="47C0F682"/>
    <w:lvl w:ilvl="0" w:tplc="EDF21FF8">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21666FAA"/>
    <w:multiLevelType w:val="hybridMultilevel"/>
    <w:tmpl w:val="E26008E8"/>
    <w:lvl w:ilvl="0" w:tplc="FF98387C">
      <w:start w:val="1"/>
      <w:numFmt w:val="lowerRoman"/>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18B02D1"/>
    <w:multiLevelType w:val="hybridMultilevel"/>
    <w:tmpl w:val="47C0F682"/>
    <w:lvl w:ilvl="0" w:tplc="EDF21FF8">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24A50C01"/>
    <w:multiLevelType w:val="hybridMultilevel"/>
    <w:tmpl w:val="8640B0AC"/>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5EA2BFF"/>
    <w:multiLevelType w:val="hybridMultilevel"/>
    <w:tmpl w:val="27F40A3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822578D"/>
    <w:multiLevelType w:val="multilevel"/>
    <w:tmpl w:val="BE20683A"/>
    <w:numStyleLink w:val="AHPRANumberedheadinglist"/>
  </w:abstractNum>
  <w:abstractNum w:abstractNumId="13" w15:restartNumberingAfterBreak="0">
    <w:nsid w:val="28BA16CD"/>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E5014"/>
    <w:multiLevelType w:val="hybridMultilevel"/>
    <w:tmpl w:val="CF6ABF06"/>
    <w:lvl w:ilvl="0" w:tplc="EDF21FF8">
      <w:start w:val="1"/>
      <w:numFmt w:val="lowerRoman"/>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5" w15:restartNumberingAfterBreak="0">
    <w:nsid w:val="2BEE7E74"/>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17A25"/>
    <w:multiLevelType w:val="hybridMultilevel"/>
    <w:tmpl w:val="648EFD48"/>
    <w:lvl w:ilvl="0" w:tplc="04090017">
      <w:start w:val="1"/>
      <w:numFmt w:val="lowerLetter"/>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7" w15:restartNumberingAfterBreak="0">
    <w:nsid w:val="305D1F1F"/>
    <w:multiLevelType w:val="hybridMultilevel"/>
    <w:tmpl w:val="34C0F738"/>
    <w:lvl w:ilvl="0" w:tplc="04090019">
      <w:start w:val="1"/>
      <w:numFmt w:val="lowerLetter"/>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8" w15:restartNumberingAfterBreak="0">
    <w:nsid w:val="33BC5FCA"/>
    <w:multiLevelType w:val="hybridMultilevel"/>
    <w:tmpl w:val="4A889C8E"/>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51508F7"/>
    <w:multiLevelType w:val="hybridMultilevel"/>
    <w:tmpl w:val="5B58C98E"/>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7A66599"/>
    <w:multiLevelType w:val="hybridMultilevel"/>
    <w:tmpl w:val="F8F2E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07816"/>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7182D"/>
    <w:multiLevelType w:val="hybridMultilevel"/>
    <w:tmpl w:val="547A3F86"/>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5D46550"/>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84FE9"/>
    <w:multiLevelType w:val="hybridMultilevel"/>
    <w:tmpl w:val="B896E2CE"/>
    <w:lvl w:ilvl="0" w:tplc="04090019">
      <w:start w:val="1"/>
      <w:numFmt w:val="lowerLetter"/>
      <w:lvlText w:val="%1."/>
      <w:lvlJc w:val="left"/>
      <w:pPr>
        <w:ind w:left="1331" w:hanging="360"/>
      </w:pPr>
      <w:rPr>
        <w:rFonts w:hint="default"/>
      </w:rPr>
    </w:lvl>
    <w:lvl w:ilvl="1" w:tplc="12E8CA26">
      <w:start w:val="1"/>
      <w:numFmt w:val="lowerLetter"/>
      <w:lvlText w:val="%2."/>
      <w:lvlJc w:val="left"/>
      <w:pPr>
        <w:ind w:left="1440" w:hanging="360"/>
      </w:pPr>
      <w:rPr>
        <w:rFonts w:hint="default"/>
      </w:rPr>
    </w:lvl>
    <w:lvl w:ilvl="2" w:tplc="EDF21FF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FC1E27"/>
    <w:multiLevelType w:val="hybridMultilevel"/>
    <w:tmpl w:val="AA44768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2441904"/>
    <w:multiLevelType w:val="hybridMultilevel"/>
    <w:tmpl w:val="EE302DE0"/>
    <w:lvl w:ilvl="0" w:tplc="04090017">
      <w:start w:val="1"/>
      <w:numFmt w:val="lowerLetter"/>
      <w:lvlText w:val="%1)"/>
      <w:lvlJc w:val="left"/>
      <w:pPr>
        <w:ind w:left="1331" w:hanging="360"/>
      </w:pPr>
      <w:rPr>
        <w:rFonts w:hint="default"/>
      </w:rPr>
    </w:lvl>
    <w:lvl w:ilvl="1" w:tplc="12E8CA26">
      <w:start w:val="1"/>
      <w:numFmt w:val="lowerLetter"/>
      <w:lvlText w:val="%2."/>
      <w:lvlJc w:val="left"/>
      <w:pPr>
        <w:ind w:left="1440" w:hanging="360"/>
      </w:pPr>
      <w:rPr>
        <w:rFonts w:hint="default"/>
      </w:rPr>
    </w:lvl>
    <w:lvl w:ilvl="2" w:tplc="EDF21FF8">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A349AB"/>
    <w:multiLevelType w:val="hybridMultilevel"/>
    <w:tmpl w:val="E42C321C"/>
    <w:lvl w:ilvl="0" w:tplc="EDF21FF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30" w15:restartNumberingAfterBreak="0">
    <w:nsid w:val="6CF07602"/>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165F5"/>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678CE"/>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E2A64"/>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A4C8A"/>
    <w:multiLevelType w:val="hybridMultilevel"/>
    <w:tmpl w:val="183E407C"/>
    <w:lvl w:ilvl="0" w:tplc="04090019">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8B05775"/>
    <w:multiLevelType w:val="hybridMultilevel"/>
    <w:tmpl w:val="B2C4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15A79"/>
    <w:multiLevelType w:val="hybridMultilevel"/>
    <w:tmpl w:val="7BEA3A6C"/>
    <w:lvl w:ilvl="0" w:tplc="EDF21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8" w15:restartNumberingAfterBreak="0">
    <w:nsid w:val="7C731660"/>
    <w:multiLevelType w:val="multilevel"/>
    <w:tmpl w:val="C4183F12"/>
    <w:numStyleLink w:val="AHPRANumberedlist"/>
  </w:abstractNum>
  <w:abstractNum w:abstractNumId="39" w15:restartNumberingAfterBreak="0">
    <w:nsid w:val="7CFE78C6"/>
    <w:multiLevelType w:val="hybridMultilevel"/>
    <w:tmpl w:val="082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606EF"/>
    <w:multiLevelType w:val="hybridMultilevel"/>
    <w:tmpl w:val="761EC7F6"/>
    <w:lvl w:ilvl="0" w:tplc="EDF21FF8">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5"/>
  </w:num>
  <w:num w:numId="2">
    <w:abstractNumId w:val="28"/>
  </w:num>
  <w:num w:numId="3">
    <w:abstractNumId w:val="10"/>
  </w:num>
  <w:num w:numId="4">
    <w:abstractNumId w:val="14"/>
  </w:num>
  <w:num w:numId="5">
    <w:abstractNumId w:val="23"/>
  </w:num>
  <w:num w:numId="6">
    <w:abstractNumId w:val="7"/>
  </w:num>
  <w:num w:numId="7">
    <w:abstractNumId w:val="9"/>
  </w:num>
  <w:num w:numId="8">
    <w:abstractNumId w:val="0"/>
  </w:num>
  <w:num w:numId="9">
    <w:abstractNumId w:val="31"/>
  </w:num>
  <w:num w:numId="10">
    <w:abstractNumId w:val="22"/>
  </w:num>
  <w:num w:numId="11">
    <w:abstractNumId w:val="24"/>
  </w:num>
  <w:num w:numId="12">
    <w:abstractNumId w:val="33"/>
  </w:num>
  <w:num w:numId="13">
    <w:abstractNumId w:val="32"/>
  </w:num>
  <w:num w:numId="14">
    <w:abstractNumId w:val="36"/>
  </w:num>
  <w:num w:numId="15">
    <w:abstractNumId w:val="6"/>
  </w:num>
  <w:num w:numId="16">
    <w:abstractNumId w:val="30"/>
  </w:num>
  <w:num w:numId="17">
    <w:abstractNumId w:val="15"/>
  </w:num>
  <w:num w:numId="18">
    <w:abstractNumId w:val="13"/>
  </w:num>
  <w:num w:numId="19">
    <w:abstractNumId w:val="39"/>
  </w:num>
  <w:num w:numId="20">
    <w:abstractNumId w:val="16"/>
  </w:num>
  <w:num w:numId="21">
    <w:abstractNumId w:val="5"/>
  </w:num>
  <w:num w:numId="22">
    <w:abstractNumId w:val="27"/>
  </w:num>
  <w:num w:numId="23">
    <w:abstractNumId w:val="11"/>
  </w:num>
  <w:num w:numId="24">
    <w:abstractNumId w:val="19"/>
  </w:num>
  <w:num w:numId="25">
    <w:abstractNumId w:val="8"/>
  </w:num>
  <w:num w:numId="26">
    <w:abstractNumId w:val="40"/>
  </w:num>
  <w:num w:numId="27">
    <w:abstractNumId w:val="26"/>
  </w:num>
  <w:num w:numId="28">
    <w:abstractNumId w:val="1"/>
  </w:num>
  <w:num w:numId="29">
    <w:abstractNumId w:val="29"/>
  </w:num>
  <w:num w:numId="30">
    <w:abstractNumId w:val="21"/>
  </w:num>
  <w:num w:numId="31">
    <w:abstractNumId w:val="2"/>
  </w:num>
  <w:num w:numId="32">
    <w:abstractNumId w:val="4"/>
  </w:num>
  <w:num w:numId="33">
    <w:abstractNumId w:val="12"/>
  </w:num>
  <w:num w:numId="34">
    <w:abstractNumId w:val="37"/>
  </w:num>
  <w:num w:numId="35">
    <w:abstractNumId w:val="3"/>
  </w:num>
  <w:num w:numId="36">
    <w:abstractNumId w:val="38"/>
  </w:num>
  <w:num w:numId="37">
    <w:abstractNumId w:val="17"/>
  </w:num>
  <w:num w:numId="38">
    <w:abstractNumId w:val="25"/>
  </w:num>
  <w:num w:numId="39">
    <w:abstractNumId w:val="34"/>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83168"/>
    <w:rsid w:val="000035DB"/>
    <w:rsid w:val="0001102D"/>
    <w:rsid w:val="00014445"/>
    <w:rsid w:val="00030F97"/>
    <w:rsid w:val="0003212E"/>
    <w:rsid w:val="00033FCF"/>
    <w:rsid w:val="000520A2"/>
    <w:rsid w:val="00054AE7"/>
    <w:rsid w:val="00065E52"/>
    <w:rsid w:val="0007212C"/>
    <w:rsid w:val="000762A6"/>
    <w:rsid w:val="00085ED4"/>
    <w:rsid w:val="000A1F6D"/>
    <w:rsid w:val="000A4F0F"/>
    <w:rsid w:val="000A611F"/>
    <w:rsid w:val="000A67B4"/>
    <w:rsid w:val="000B4D7A"/>
    <w:rsid w:val="000B6440"/>
    <w:rsid w:val="000C2D2E"/>
    <w:rsid w:val="000D26A9"/>
    <w:rsid w:val="000D3398"/>
    <w:rsid w:val="000D62C2"/>
    <w:rsid w:val="000D66DC"/>
    <w:rsid w:val="000E745D"/>
    <w:rsid w:val="000F0B08"/>
    <w:rsid w:val="000F2AB8"/>
    <w:rsid w:val="000F30F4"/>
    <w:rsid w:val="000F6AF4"/>
    <w:rsid w:val="001063C0"/>
    <w:rsid w:val="00106C53"/>
    <w:rsid w:val="0012691E"/>
    <w:rsid w:val="00137B2E"/>
    <w:rsid w:val="00145A96"/>
    <w:rsid w:val="00145B33"/>
    <w:rsid w:val="00151959"/>
    <w:rsid w:val="00151DB8"/>
    <w:rsid w:val="0015375A"/>
    <w:rsid w:val="00170256"/>
    <w:rsid w:val="001773A0"/>
    <w:rsid w:val="001837E6"/>
    <w:rsid w:val="00192401"/>
    <w:rsid w:val="001B5B89"/>
    <w:rsid w:val="001D0231"/>
    <w:rsid w:val="001D4B81"/>
    <w:rsid w:val="001E06C6"/>
    <w:rsid w:val="001E6B14"/>
    <w:rsid w:val="001F0D24"/>
    <w:rsid w:val="001F2650"/>
    <w:rsid w:val="001F6A8F"/>
    <w:rsid w:val="00200ED6"/>
    <w:rsid w:val="0020236F"/>
    <w:rsid w:val="00213B0D"/>
    <w:rsid w:val="00216AD6"/>
    <w:rsid w:val="00233046"/>
    <w:rsid w:val="0023640A"/>
    <w:rsid w:val="002366B2"/>
    <w:rsid w:val="00242483"/>
    <w:rsid w:val="00242AAB"/>
    <w:rsid w:val="002444C1"/>
    <w:rsid w:val="002474E7"/>
    <w:rsid w:val="00260A4D"/>
    <w:rsid w:val="002658E6"/>
    <w:rsid w:val="00265D34"/>
    <w:rsid w:val="0026752E"/>
    <w:rsid w:val="00270BF9"/>
    <w:rsid w:val="00274CB2"/>
    <w:rsid w:val="00291C09"/>
    <w:rsid w:val="002A1E9D"/>
    <w:rsid w:val="002A4AA6"/>
    <w:rsid w:val="002A5DA5"/>
    <w:rsid w:val="002B2938"/>
    <w:rsid w:val="002B3E75"/>
    <w:rsid w:val="002B4699"/>
    <w:rsid w:val="002B7EB9"/>
    <w:rsid w:val="002C0D7C"/>
    <w:rsid w:val="002D384C"/>
    <w:rsid w:val="002E0F0F"/>
    <w:rsid w:val="002F29D3"/>
    <w:rsid w:val="002F554B"/>
    <w:rsid w:val="002F7274"/>
    <w:rsid w:val="002F72B1"/>
    <w:rsid w:val="00304473"/>
    <w:rsid w:val="003069E2"/>
    <w:rsid w:val="00325512"/>
    <w:rsid w:val="00327401"/>
    <w:rsid w:val="00340993"/>
    <w:rsid w:val="003418A5"/>
    <w:rsid w:val="00341A73"/>
    <w:rsid w:val="00345ACD"/>
    <w:rsid w:val="003535FA"/>
    <w:rsid w:val="00362E49"/>
    <w:rsid w:val="003646CE"/>
    <w:rsid w:val="00370258"/>
    <w:rsid w:val="0037594D"/>
    <w:rsid w:val="003829B9"/>
    <w:rsid w:val="0039145D"/>
    <w:rsid w:val="00393345"/>
    <w:rsid w:val="00393F1F"/>
    <w:rsid w:val="003A0F6A"/>
    <w:rsid w:val="003A6319"/>
    <w:rsid w:val="003B3041"/>
    <w:rsid w:val="003C7885"/>
    <w:rsid w:val="003E66F3"/>
    <w:rsid w:val="00400BCE"/>
    <w:rsid w:val="00415161"/>
    <w:rsid w:val="0041750D"/>
    <w:rsid w:val="004347FC"/>
    <w:rsid w:val="00441585"/>
    <w:rsid w:val="00441B3B"/>
    <w:rsid w:val="00443180"/>
    <w:rsid w:val="004477CE"/>
    <w:rsid w:val="004511DF"/>
    <w:rsid w:val="0045401E"/>
    <w:rsid w:val="00456A6D"/>
    <w:rsid w:val="00462CE0"/>
    <w:rsid w:val="0047137E"/>
    <w:rsid w:val="00474703"/>
    <w:rsid w:val="0047539A"/>
    <w:rsid w:val="00491C85"/>
    <w:rsid w:val="004920CB"/>
    <w:rsid w:val="004A5D5C"/>
    <w:rsid w:val="004A7415"/>
    <w:rsid w:val="004B3744"/>
    <w:rsid w:val="004C4476"/>
    <w:rsid w:val="004C4978"/>
    <w:rsid w:val="004C4CB5"/>
    <w:rsid w:val="004D283D"/>
    <w:rsid w:val="004D3CC2"/>
    <w:rsid w:val="004E4FDC"/>
    <w:rsid w:val="004E78AC"/>
    <w:rsid w:val="005024A2"/>
    <w:rsid w:val="00505405"/>
    <w:rsid w:val="00512FFE"/>
    <w:rsid w:val="00525FB9"/>
    <w:rsid w:val="00536E20"/>
    <w:rsid w:val="00541828"/>
    <w:rsid w:val="005430E9"/>
    <w:rsid w:val="005541D4"/>
    <w:rsid w:val="005551C3"/>
    <w:rsid w:val="00567B7D"/>
    <w:rsid w:val="0057308C"/>
    <w:rsid w:val="00575144"/>
    <w:rsid w:val="005772EB"/>
    <w:rsid w:val="00577891"/>
    <w:rsid w:val="00577A30"/>
    <w:rsid w:val="005802FA"/>
    <w:rsid w:val="0058097B"/>
    <w:rsid w:val="00580BC5"/>
    <w:rsid w:val="005810E5"/>
    <w:rsid w:val="005908A6"/>
    <w:rsid w:val="005919A2"/>
    <w:rsid w:val="00593D0B"/>
    <w:rsid w:val="005A0965"/>
    <w:rsid w:val="005B5653"/>
    <w:rsid w:val="005B77F6"/>
    <w:rsid w:val="005C04B0"/>
    <w:rsid w:val="005C0EE2"/>
    <w:rsid w:val="005C39F4"/>
    <w:rsid w:val="005C75E5"/>
    <w:rsid w:val="005E5F45"/>
    <w:rsid w:val="005E7675"/>
    <w:rsid w:val="005F128B"/>
    <w:rsid w:val="005F188C"/>
    <w:rsid w:val="00630FE0"/>
    <w:rsid w:val="00640113"/>
    <w:rsid w:val="00640715"/>
    <w:rsid w:val="00642205"/>
    <w:rsid w:val="0064275A"/>
    <w:rsid w:val="006454E8"/>
    <w:rsid w:val="00645B71"/>
    <w:rsid w:val="006537DF"/>
    <w:rsid w:val="00654D83"/>
    <w:rsid w:val="00657809"/>
    <w:rsid w:val="0066094B"/>
    <w:rsid w:val="006618F4"/>
    <w:rsid w:val="0066446A"/>
    <w:rsid w:val="00665BD6"/>
    <w:rsid w:val="006753DF"/>
    <w:rsid w:val="00677F97"/>
    <w:rsid w:val="0068065E"/>
    <w:rsid w:val="00693A36"/>
    <w:rsid w:val="006A7AB8"/>
    <w:rsid w:val="006B6257"/>
    <w:rsid w:val="006C3677"/>
    <w:rsid w:val="006C4DEE"/>
    <w:rsid w:val="006D690F"/>
    <w:rsid w:val="006E3256"/>
    <w:rsid w:val="006E4F4F"/>
    <w:rsid w:val="00720AFB"/>
    <w:rsid w:val="00726EB9"/>
    <w:rsid w:val="00732703"/>
    <w:rsid w:val="0073591F"/>
    <w:rsid w:val="00757D9F"/>
    <w:rsid w:val="00763D26"/>
    <w:rsid w:val="00764410"/>
    <w:rsid w:val="007734C9"/>
    <w:rsid w:val="007759F4"/>
    <w:rsid w:val="0078456A"/>
    <w:rsid w:val="0078699C"/>
    <w:rsid w:val="0079175B"/>
    <w:rsid w:val="007A7975"/>
    <w:rsid w:val="007B02ED"/>
    <w:rsid w:val="007B1725"/>
    <w:rsid w:val="007C06BA"/>
    <w:rsid w:val="007D09E1"/>
    <w:rsid w:val="007E0356"/>
    <w:rsid w:val="007E31D5"/>
    <w:rsid w:val="007E5468"/>
    <w:rsid w:val="007F00B8"/>
    <w:rsid w:val="00812F36"/>
    <w:rsid w:val="00816399"/>
    <w:rsid w:val="00823DA5"/>
    <w:rsid w:val="00837254"/>
    <w:rsid w:val="00854810"/>
    <w:rsid w:val="00855243"/>
    <w:rsid w:val="0086637E"/>
    <w:rsid w:val="00871A6F"/>
    <w:rsid w:val="00877CF8"/>
    <w:rsid w:val="00886BAF"/>
    <w:rsid w:val="0089761A"/>
    <w:rsid w:val="00897E14"/>
    <w:rsid w:val="008A30A1"/>
    <w:rsid w:val="008D0D92"/>
    <w:rsid w:val="008E1D75"/>
    <w:rsid w:val="008E450B"/>
    <w:rsid w:val="008F1488"/>
    <w:rsid w:val="008F28E7"/>
    <w:rsid w:val="00902864"/>
    <w:rsid w:val="00906422"/>
    <w:rsid w:val="00912EC7"/>
    <w:rsid w:val="009134B0"/>
    <w:rsid w:val="0092259F"/>
    <w:rsid w:val="0092276C"/>
    <w:rsid w:val="009368A8"/>
    <w:rsid w:val="009449A2"/>
    <w:rsid w:val="00955536"/>
    <w:rsid w:val="009556C4"/>
    <w:rsid w:val="0096016D"/>
    <w:rsid w:val="00974B8A"/>
    <w:rsid w:val="00980BCA"/>
    <w:rsid w:val="0099406C"/>
    <w:rsid w:val="00996515"/>
    <w:rsid w:val="009C1728"/>
    <w:rsid w:val="009E5379"/>
    <w:rsid w:val="00A0197A"/>
    <w:rsid w:val="00A04F3B"/>
    <w:rsid w:val="00A210AC"/>
    <w:rsid w:val="00A33240"/>
    <w:rsid w:val="00A37D99"/>
    <w:rsid w:val="00A4706B"/>
    <w:rsid w:val="00A60B6E"/>
    <w:rsid w:val="00A61DC8"/>
    <w:rsid w:val="00A70EA1"/>
    <w:rsid w:val="00A768D6"/>
    <w:rsid w:val="00A83168"/>
    <w:rsid w:val="00A85EB4"/>
    <w:rsid w:val="00A872E1"/>
    <w:rsid w:val="00A9433A"/>
    <w:rsid w:val="00AA2773"/>
    <w:rsid w:val="00AB4E0B"/>
    <w:rsid w:val="00AB7A70"/>
    <w:rsid w:val="00AC0616"/>
    <w:rsid w:val="00AC3246"/>
    <w:rsid w:val="00AD1A46"/>
    <w:rsid w:val="00AD3456"/>
    <w:rsid w:val="00AF1CAF"/>
    <w:rsid w:val="00AF69E7"/>
    <w:rsid w:val="00B0704D"/>
    <w:rsid w:val="00B168C8"/>
    <w:rsid w:val="00B31E34"/>
    <w:rsid w:val="00B336C1"/>
    <w:rsid w:val="00B5202C"/>
    <w:rsid w:val="00B54F4F"/>
    <w:rsid w:val="00B62318"/>
    <w:rsid w:val="00B66ECA"/>
    <w:rsid w:val="00B82F5F"/>
    <w:rsid w:val="00B85F45"/>
    <w:rsid w:val="00B86F95"/>
    <w:rsid w:val="00B94621"/>
    <w:rsid w:val="00B96249"/>
    <w:rsid w:val="00B96D4E"/>
    <w:rsid w:val="00BA0A2D"/>
    <w:rsid w:val="00BB6F4A"/>
    <w:rsid w:val="00BD75E5"/>
    <w:rsid w:val="00BE1EC8"/>
    <w:rsid w:val="00BE4E87"/>
    <w:rsid w:val="00C048A4"/>
    <w:rsid w:val="00C1304D"/>
    <w:rsid w:val="00C14044"/>
    <w:rsid w:val="00C16CA4"/>
    <w:rsid w:val="00C26888"/>
    <w:rsid w:val="00C268A1"/>
    <w:rsid w:val="00C26E02"/>
    <w:rsid w:val="00C33F51"/>
    <w:rsid w:val="00C36FF3"/>
    <w:rsid w:val="00C40D44"/>
    <w:rsid w:val="00C42055"/>
    <w:rsid w:val="00C44869"/>
    <w:rsid w:val="00C474E8"/>
    <w:rsid w:val="00C503ED"/>
    <w:rsid w:val="00C51C98"/>
    <w:rsid w:val="00C56A75"/>
    <w:rsid w:val="00C60F34"/>
    <w:rsid w:val="00C674C9"/>
    <w:rsid w:val="00C74C86"/>
    <w:rsid w:val="00C82AE2"/>
    <w:rsid w:val="00C8785D"/>
    <w:rsid w:val="00CA18A1"/>
    <w:rsid w:val="00CB60FE"/>
    <w:rsid w:val="00CD0736"/>
    <w:rsid w:val="00CD2A64"/>
    <w:rsid w:val="00CD75EA"/>
    <w:rsid w:val="00CE1F72"/>
    <w:rsid w:val="00CE6CDB"/>
    <w:rsid w:val="00CE6DD8"/>
    <w:rsid w:val="00CF1B1A"/>
    <w:rsid w:val="00CF7517"/>
    <w:rsid w:val="00D11051"/>
    <w:rsid w:val="00D128AC"/>
    <w:rsid w:val="00D13E76"/>
    <w:rsid w:val="00D21A40"/>
    <w:rsid w:val="00D35548"/>
    <w:rsid w:val="00D37447"/>
    <w:rsid w:val="00D37D04"/>
    <w:rsid w:val="00D43DF9"/>
    <w:rsid w:val="00D516B2"/>
    <w:rsid w:val="00D645D7"/>
    <w:rsid w:val="00D819A5"/>
    <w:rsid w:val="00D87ECC"/>
    <w:rsid w:val="00D91365"/>
    <w:rsid w:val="00D951BE"/>
    <w:rsid w:val="00D95B4E"/>
    <w:rsid w:val="00D975F0"/>
    <w:rsid w:val="00DA3E87"/>
    <w:rsid w:val="00DB1E69"/>
    <w:rsid w:val="00DC2471"/>
    <w:rsid w:val="00DC48AD"/>
    <w:rsid w:val="00DE233A"/>
    <w:rsid w:val="00DF640A"/>
    <w:rsid w:val="00E10D9D"/>
    <w:rsid w:val="00E15904"/>
    <w:rsid w:val="00E1610A"/>
    <w:rsid w:val="00E16416"/>
    <w:rsid w:val="00E16C54"/>
    <w:rsid w:val="00E17C71"/>
    <w:rsid w:val="00E20BC5"/>
    <w:rsid w:val="00E240E0"/>
    <w:rsid w:val="00E320BE"/>
    <w:rsid w:val="00E42A24"/>
    <w:rsid w:val="00E51017"/>
    <w:rsid w:val="00E546B4"/>
    <w:rsid w:val="00E571C7"/>
    <w:rsid w:val="00E60A63"/>
    <w:rsid w:val="00E83AE3"/>
    <w:rsid w:val="00E872B1"/>
    <w:rsid w:val="00E94815"/>
    <w:rsid w:val="00EC48D4"/>
    <w:rsid w:val="00EF1A34"/>
    <w:rsid w:val="00EF4A8E"/>
    <w:rsid w:val="00EF53D2"/>
    <w:rsid w:val="00EF799B"/>
    <w:rsid w:val="00F04404"/>
    <w:rsid w:val="00F045E4"/>
    <w:rsid w:val="00F16C97"/>
    <w:rsid w:val="00F1734F"/>
    <w:rsid w:val="00F30142"/>
    <w:rsid w:val="00F347ED"/>
    <w:rsid w:val="00F449E6"/>
    <w:rsid w:val="00F50825"/>
    <w:rsid w:val="00F52D54"/>
    <w:rsid w:val="00F646E6"/>
    <w:rsid w:val="00F65DA8"/>
    <w:rsid w:val="00F65E50"/>
    <w:rsid w:val="00F77CF5"/>
    <w:rsid w:val="00F90516"/>
    <w:rsid w:val="00F91014"/>
    <w:rsid w:val="00FB030C"/>
    <w:rsid w:val="00FB674E"/>
    <w:rsid w:val="00FC285F"/>
    <w:rsid w:val="00FE16CD"/>
    <w:rsid w:val="00FE4A33"/>
    <w:rsid w:val="00FE6636"/>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AutoShape 3"/>
      </o:rules>
    </o:shapelayout>
  </w:shapeDefaults>
  <w:decimalSymbol w:val="."/>
  <w:listSeparator w:val=","/>
  <w15:docId w15:val="{BFE9B749-7311-497E-8BF4-5784564B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2C"/>
    <w:rPr>
      <w:lang w:val="en-AU"/>
    </w:rPr>
  </w:style>
  <w:style w:type="paragraph" w:styleId="Heading1">
    <w:name w:val="heading 1"/>
    <w:basedOn w:val="Normal"/>
    <w:next w:val="Normal"/>
    <w:link w:val="Heading1Char"/>
    <w:uiPriority w:val="9"/>
    <w:qFormat/>
    <w:rsid w:val="00CE6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180"/>
    <w:rPr>
      <w:lang w:val="en-AU"/>
    </w:rPr>
  </w:style>
  <w:style w:type="paragraph" w:styleId="Footer">
    <w:name w:val="footer"/>
    <w:basedOn w:val="Normal"/>
    <w:link w:val="FooterChar"/>
    <w:uiPriority w:val="99"/>
    <w:unhideWhenUsed/>
    <w:rsid w:val="00443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180"/>
    <w:rPr>
      <w:lang w:val="en-AU"/>
    </w:rPr>
  </w:style>
  <w:style w:type="paragraph" w:customStyle="1" w:styleId="AHPRADocumenttitle">
    <w:name w:val="AHPRA Document title"/>
    <w:basedOn w:val="Normal"/>
    <w:rsid w:val="00443180"/>
    <w:pPr>
      <w:spacing w:before="200" w:line="240" w:lineRule="auto"/>
      <w:outlineLvl w:val="0"/>
    </w:pPr>
    <w:rPr>
      <w:rFonts w:ascii="Arial" w:eastAsia="Cambria" w:hAnsi="Arial" w:cs="Arial"/>
      <w:color w:val="00BCE4"/>
      <w:sz w:val="32"/>
      <w:szCs w:val="52"/>
    </w:rPr>
  </w:style>
  <w:style w:type="paragraph" w:customStyle="1" w:styleId="AHPRAbody">
    <w:name w:val="AHPRA body"/>
    <w:basedOn w:val="Normal"/>
    <w:link w:val="AHPRAbodyChar"/>
    <w:qFormat/>
    <w:rsid w:val="0044318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443180"/>
    <w:rPr>
      <w:rFonts w:ascii="Arial" w:eastAsia="Cambria" w:hAnsi="Arial" w:cs="Arial"/>
      <w:sz w:val="20"/>
      <w:szCs w:val="24"/>
      <w:lang w:val="en-AU"/>
    </w:rPr>
  </w:style>
  <w:style w:type="character" w:styleId="CommentReference">
    <w:name w:val="annotation reference"/>
    <w:basedOn w:val="DefaultParagraphFont"/>
    <w:uiPriority w:val="99"/>
    <w:semiHidden/>
    <w:unhideWhenUsed/>
    <w:rsid w:val="008D0D92"/>
    <w:rPr>
      <w:sz w:val="16"/>
      <w:szCs w:val="16"/>
    </w:rPr>
  </w:style>
  <w:style w:type="paragraph" w:styleId="CommentText">
    <w:name w:val="annotation text"/>
    <w:basedOn w:val="Normal"/>
    <w:link w:val="CommentTextChar"/>
    <w:uiPriority w:val="99"/>
    <w:semiHidden/>
    <w:unhideWhenUsed/>
    <w:rsid w:val="008D0D92"/>
    <w:pPr>
      <w:spacing w:line="240" w:lineRule="auto"/>
    </w:pPr>
    <w:rPr>
      <w:sz w:val="20"/>
      <w:szCs w:val="20"/>
    </w:rPr>
  </w:style>
  <w:style w:type="character" w:customStyle="1" w:styleId="CommentTextChar">
    <w:name w:val="Comment Text Char"/>
    <w:basedOn w:val="DefaultParagraphFont"/>
    <w:link w:val="CommentText"/>
    <w:uiPriority w:val="99"/>
    <w:semiHidden/>
    <w:rsid w:val="008D0D92"/>
    <w:rPr>
      <w:sz w:val="20"/>
      <w:szCs w:val="20"/>
      <w:lang w:val="en-AU"/>
    </w:rPr>
  </w:style>
  <w:style w:type="paragraph" w:styleId="CommentSubject">
    <w:name w:val="annotation subject"/>
    <w:basedOn w:val="CommentText"/>
    <w:next w:val="CommentText"/>
    <w:link w:val="CommentSubjectChar"/>
    <w:uiPriority w:val="99"/>
    <w:semiHidden/>
    <w:unhideWhenUsed/>
    <w:rsid w:val="008D0D92"/>
    <w:rPr>
      <w:b/>
      <w:bCs/>
    </w:rPr>
  </w:style>
  <w:style w:type="character" w:customStyle="1" w:styleId="CommentSubjectChar">
    <w:name w:val="Comment Subject Char"/>
    <w:basedOn w:val="CommentTextChar"/>
    <w:link w:val="CommentSubject"/>
    <w:uiPriority w:val="99"/>
    <w:semiHidden/>
    <w:rsid w:val="008D0D92"/>
    <w:rPr>
      <w:b/>
      <w:bCs/>
      <w:sz w:val="20"/>
      <w:szCs w:val="20"/>
      <w:lang w:val="en-AU"/>
    </w:rPr>
  </w:style>
  <w:style w:type="paragraph" w:styleId="BalloonText">
    <w:name w:val="Balloon Text"/>
    <w:basedOn w:val="Normal"/>
    <w:link w:val="BalloonTextChar"/>
    <w:uiPriority w:val="99"/>
    <w:semiHidden/>
    <w:unhideWhenUsed/>
    <w:rsid w:val="008D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D92"/>
    <w:rPr>
      <w:rFonts w:ascii="Tahoma" w:hAnsi="Tahoma" w:cs="Tahoma"/>
      <w:sz w:val="16"/>
      <w:szCs w:val="16"/>
      <w:lang w:val="en-AU"/>
    </w:rPr>
  </w:style>
  <w:style w:type="paragraph" w:styleId="FootnoteText">
    <w:name w:val="footnote text"/>
    <w:basedOn w:val="Normal"/>
    <w:link w:val="FootnoteTextChar"/>
    <w:uiPriority w:val="99"/>
    <w:semiHidden/>
    <w:unhideWhenUsed/>
    <w:rsid w:val="00B9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621"/>
    <w:rPr>
      <w:sz w:val="20"/>
      <w:szCs w:val="20"/>
      <w:lang w:val="en-AU"/>
    </w:rPr>
  </w:style>
  <w:style w:type="character" w:styleId="FootnoteReference">
    <w:name w:val="footnote reference"/>
    <w:basedOn w:val="DefaultParagraphFont"/>
    <w:unhideWhenUsed/>
    <w:rsid w:val="00B94621"/>
    <w:rPr>
      <w:vertAlign w:val="superscript"/>
    </w:rPr>
  </w:style>
  <w:style w:type="paragraph" w:styleId="ListParagraph">
    <w:name w:val="List Paragraph"/>
    <w:basedOn w:val="Normal"/>
    <w:uiPriority w:val="34"/>
    <w:qFormat/>
    <w:rsid w:val="00BA0A2D"/>
    <w:pPr>
      <w:ind w:left="720"/>
      <w:contextualSpacing/>
    </w:pPr>
  </w:style>
  <w:style w:type="table" w:styleId="TableGrid">
    <w:name w:val="Table Grid"/>
    <w:basedOn w:val="TableNormal"/>
    <w:uiPriority w:val="59"/>
    <w:rsid w:val="0091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99C"/>
    <w:rPr>
      <w:color w:val="0000FF" w:themeColor="hyperlink"/>
      <w:u w:val="single"/>
    </w:rPr>
  </w:style>
  <w:style w:type="paragraph" w:styleId="EndnoteText">
    <w:name w:val="endnote text"/>
    <w:basedOn w:val="Normal"/>
    <w:link w:val="EndnoteTextChar"/>
    <w:uiPriority w:val="99"/>
    <w:semiHidden/>
    <w:unhideWhenUsed/>
    <w:rsid w:val="00D516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6B2"/>
    <w:rPr>
      <w:sz w:val="20"/>
      <w:szCs w:val="20"/>
      <w:lang w:val="en-AU"/>
    </w:rPr>
  </w:style>
  <w:style w:type="character" w:styleId="EndnoteReference">
    <w:name w:val="endnote reference"/>
    <w:basedOn w:val="DefaultParagraphFont"/>
    <w:uiPriority w:val="99"/>
    <w:semiHidden/>
    <w:unhideWhenUsed/>
    <w:rsid w:val="00D516B2"/>
    <w:rPr>
      <w:vertAlign w:val="superscript"/>
    </w:rPr>
  </w:style>
  <w:style w:type="paragraph" w:customStyle="1" w:styleId="AHPRAComplextableheadings">
    <w:name w:val="AHPRA Complex table headings"/>
    <w:basedOn w:val="AHPRAtableheading"/>
    <w:uiPriority w:val="1"/>
    <w:rsid w:val="00CE6DD8"/>
    <w:rPr>
      <w:color w:val="FFFFFF" w:themeColor="background1"/>
    </w:rPr>
  </w:style>
  <w:style w:type="paragraph" w:customStyle="1" w:styleId="AHPRAComplextablerowheaders">
    <w:name w:val="AHPRA Complex table row headers"/>
    <w:basedOn w:val="AHPRAtabletext"/>
    <w:uiPriority w:val="1"/>
    <w:rsid w:val="00CE6DD8"/>
    <w:pPr>
      <w:spacing w:before="120" w:after="120"/>
    </w:pPr>
    <w:rPr>
      <w:color w:val="FFFFFF" w:themeColor="background1"/>
    </w:rPr>
  </w:style>
  <w:style w:type="paragraph" w:customStyle="1" w:styleId="AHPRADocumentsubheading">
    <w:name w:val="AHPRA Document subheading"/>
    <w:basedOn w:val="Normal"/>
    <w:next w:val="Normal"/>
    <w:qFormat/>
    <w:rsid w:val="00CE6DD8"/>
    <w:pPr>
      <w:spacing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CE6DD8"/>
    <w:pPr>
      <w:spacing w:before="200" w:line="240" w:lineRule="auto"/>
    </w:pPr>
    <w:rPr>
      <w:rFonts w:ascii="Arial" w:eastAsia="Cambria" w:hAnsi="Arial" w:cs="Times New Roman"/>
      <w:b/>
      <w:color w:val="007DC3"/>
      <w:sz w:val="20"/>
      <w:szCs w:val="24"/>
    </w:rPr>
  </w:style>
  <w:style w:type="paragraph" w:customStyle="1" w:styleId="AHPRASubheadinglevel2">
    <w:name w:val="AHPRA Subheading level 2"/>
    <w:basedOn w:val="AHPRASubheading"/>
    <w:next w:val="Normal"/>
    <w:qFormat/>
    <w:rsid w:val="00CE6DD8"/>
    <w:rPr>
      <w:color w:val="auto"/>
    </w:rPr>
  </w:style>
  <w:style w:type="paragraph" w:customStyle="1" w:styleId="AHPRASubheadinglevel3">
    <w:name w:val="AHPRA Subheading level 3"/>
    <w:basedOn w:val="AHPRASubheading"/>
    <w:next w:val="Normal"/>
    <w:qFormat/>
    <w:rsid w:val="00CE6DD8"/>
    <w:rPr>
      <w:b w:val="0"/>
    </w:rPr>
  </w:style>
  <w:style w:type="paragraph" w:customStyle="1" w:styleId="AHPRABulletlevel1">
    <w:name w:val="AHPRA Bullet level 1"/>
    <w:basedOn w:val="Normal"/>
    <w:qFormat/>
    <w:rsid w:val="00CE6DD8"/>
    <w:pPr>
      <w:numPr>
        <w:numId w:val="30"/>
      </w:numPr>
      <w:spacing w:after="0" w:line="240" w:lineRule="auto"/>
      <w:ind w:left="369" w:hanging="369"/>
    </w:pPr>
    <w:rPr>
      <w:rFonts w:ascii="Arial" w:eastAsia="Cambria" w:hAnsi="Arial" w:cs="Times New Roman"/>
      <w:sz w:val="20"/>
      <w:szCs w:val="24"/>
    </w:rPr>
  </w:style>
  <w:style w:type="paragraph" w:customStyle="1" w:styleId="AHPRABulletlevel2">
    <w:name w:val="AHPRA Bullet level 2"/>
    <w:basedOn w:val="AHPRABulletlevel1"/>
    <w:rsid w:val="00CE6DD8"/>
    <w:pPr>
      <w:numPr>
        <w:numId w:val="34"/>
      </w:numPr>
      <w:ind w:left="738" w:hanging="369"/>
    </w:pPr>
  </w:style>
  <w:style w:type="paragraph" w:customStyle="1" w:styleId="AHPRABulletlevel3">
    <w:name w:val="AHPRA Bullet level 3"/>
    <w:basedOn w:val="AHPRABulletlevel2"/>
    <w:rsid w:val="00CE6DD8"/>
    <w:pPr>
      <w:numPr>
        <w:numId w:val="29"/>
      </w:numPr>
      <w:ind w:left="1106" w:hanging="369"/>
    </w:pPr>
  </w:style>
  <w:style w:type="paragraph" w:customStyle="1" w:styleId="AHPRANumberedlistlevel2">
    <w:name w:val="AHPRA Numbered list level 2"/>
    <w:basedOn w:val="AHPRANumberedlistlevel1"/>
    <w:rsid w:val="00CE6DD8"/>
    <w:pPr>
      <w:numPr>
        <w:ilvl w:val="1"/>
      </w:numPr>
    </w:pPr>
  </w:style>
  <w:style w:type="paragraph" w:customStyle="1" w:styleId="AHPRANumberedsubheadinglevel1">
    <w:name w:val="AHPRA Numbered subheading level 1"/>
    <w:basedOn w:val="AHPRASubheading"/>
    <w:next w:val="AHPRAbody"/>
    <w:rsid w:val="00CE6DD8"/>
    <w:pPr>
      <w:numPr>
        <w:numId w:val="35"/>
      </w:numPr>
    </w:pPr>
  </w:style>
  <w:style w:type="paragraph" w:customStyle="1" w:styleId="AHPRAtableheading">
    <w:name w:val="AHPRA table heading"/>
    <w:basedOn w:val="Normal"/>
    <w:rsid w:val="00CE6DD8"/>
    <w:pPr>
      <w:spacing w:before="120" w:after="120" w:line="240" w:lineRule="auto"/>
      <w:jc w:val="center"/>
    </w:pPr>
    <w:rPr>
      <w:rFonts w:ascii="Arial" w:eastAsia="Cambria" w:hAnsi="Arial" w:cs="Times New Roman"/>
      <w:b/>
      <w:sz w:val="20"/>
      <w:szCs w:val="24"/>
    </w:rPr>
  </w:style>
  <w:style w:type="paragraph" w:customStyle="1" w:styleId="AHPRABulletlevel1last">
    <w:name w:val="AHPRA Bullet level 1 last"/>
    <w:basedOn w:val="AHPRABulletlevel1"/>
    <w:next w:val="Normal"/>
    <w:rsid w:val="00CE6DD8"/>
    <w:pPr>
      <w:spacing w:after="200"/>
    </w:pPr>
  </w:style>
  <w:style w:type="paragraph" w:customStyle="1" w:styleId="AHPRANumberedlistlevel1withspace">
    <w:name w:val="AHPRA Numbered list level 1 with space"/>
    <w:basedOn w:val="AHPRANumberedlistlevel1"/>
    <w:next w:val="AHPRAbody"/>
    <w:rsid w:val="00CE6DD8"/>
    <w:pPr>
      <w:spacing w:after="200"/>
    </w:pPr>
  </w:style>
  <w:style w:type="paragraph" w:styleId="TOC2">
    <w:name w:val="toc 2"/>
    <w:basedOn w:val="AHPRASubheadinglevel2"/>
    <w:next w:val="Normal"/>
    <w:autoRedefine/>
    <w:uiPriority w:val="39"/>
    <w:unhideWhenUsed/>
    <w:rsid w:val="00CE6DD8"/>
    <w:pPr>
      <w:ind w:left="240"/>
    </w:pPr>
  </w:style>
  <w:style w:type="paragraph" w:styleId="TOC1">
    <w:name w:val="toc 1"/>
    <w:aliases w:val="AHPRA table of contents"/>
    <w:basedOn w:val="AHPRASubheading"/>
    <w:next w:val="Normal"/>
    <w:autoRedefine/>
    <w:uiPriority w:val="39"/>
    <w:unhideWhenUsed/>
    <w:rsid w:val="00CE6DD8"/>
    <w:pPr>
      <w:tabs>
        <w:tab w:val="right" w:leader="dot" w:pos="9488"/>
      </w:tabs>
    </w:pPr>
    <w:rPr>
      <w:noProof/>
    </w:rPr>
  </w:style>
  <w:style w:type="paragraph" w:styleId="TOC3">
    <w:name w:val="toc 3"/>
    <w:basedOn w:val="AHPRASubheadinglevel3"/>
    <w:next w:val="Normal"/>
    <w:autoRedefine/>
    <w:uiPriority w:val="39"/>
    <w:unhideWhenUsed/>
    <w:rsid w:val="00CE6DD8"/>
    <w:pPr>
      <w:ind w:left="480"/>
    </w:pPr>
  </w:style>
  <w:style w:type="paragraph" w:customStyle="1" w:styleId="AHPRAtabletext">
    <w:name w:val="AHPRA table text"/>
    <w:basedOn w:val="AHPRAbody"/>
    <w:rsid w:val="00CE6DD8"/>
    <w:pPr>
      <w:spacing w:after="0"/>
    </w:pPr>
    <w:rPr>
      <w:szCs w:val="20"/>
    </w:rPr>
  </w:style>
  <w:style w:type="numbering" w:customStyle="1" w:styleId="AHPRANumberedlist">
    <w:name w:val="AHPRA Numbered list"/>
    <w:uiPriority w:val="99"/>
    <w:rsid w:val="00CE6DD8"/>
    <w:pPr>
      <w:numPr>
        <w:numId w:val="31"/>
      </w:numPr>
    </w:pPr>
  </w:style>
  <w:style w:type="numbering" w:customStyle="1" w:styleId="AHPRANumberedheadinglist">
    <w:name w:val="AHPRA Numbered heading list"/>
    <w:uiPriority w:val="99"/>
    <w:rsid w:val="00CE6DD8"/>
    <w:pPr>
      <w:numPr>
        <w:numId w:val="32"/>
      </w:numPr>
    </w:pPr>
  </w:style>
  <w:style w:type="paragraph" w:customStyle="1" w:styleId="AHPRAfootnote">
    <w:name w:val="AHPRA footnote"/>
    <w:basedOn w:val="AHPRASubheading"/>
    <w:rsid w:val="00CE6DD8"/>
    <w:pPr>
      <w:spacing w:before="0" w:after="120"/>
    </w:pPr>
    <w:rPr>
      <w:b w:val="0"/>
      <w:color w:val="auto"/>
      <w:sz w:val="18"/>
      <w:szCs w:val="18"/>
    </w:rPr>
  </w:style>
  <w:style w:type="paragraph" w:customStyle="1" w:styleId="AHPRANumberedlistlevel1">
    <w:name w:val="AHPRA Numbered list level 1"/>
    <w:basedOn w:val="AHPRABulletlevel1"/>
    <w:rsid w:val="00CE6DD8"/>
    <w:pPr>
      <w:numPr>
        <w:numId w:val="36"/>
      </w:numPr>
    </w:pPr>
  </w:style>
  <w:style w:type="paragraph" w:customStyle="1" w:styleId="AHPRANumberedlistlevel3">
    <w:name w:val="AHPRA Numbered list level 3"/>
    <w:basedOn w:val="AHPRANumberedlistlevel1"/>
    <w:rsid w:val="00CE6DD8"/>
    <w:pPr>
      <w:numPr>
        <w:ilvl w:val="2"/>
      </w:numPr>
    </w:pPr>
  </w:style>
  <w:style w:type="paragraph" w:customStyle="1" w:styleId="AHPRANumberedsubheadinglevel2">
    <w:name w:val="AHPRA Numbered subheading level 2"/>
    <w:basedOn w:val="AHPRANumberedsubheadinglevel1"/>
    <w:next w:val="AHPRAbody"/>
    <w:rsid w:val="00CE6DD8"/>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E6DD8"/>
    <w:pPr>
      <w:numPr>
        <w:ilvl w:val="2"/>
      </w:numPr>
    </w:pPr>
    <w:rPr>
      <w:b w:val="0"/>
      <w:color w:val="007DC3"/>
    </w:rPr>
  </w:style>
  <w:style w:type="character" w:customStyle="1" w:styleId="Heading1Char">
    <w:name w:val="Heading 1 Char"/>
    <w:basedOn w:val="DefaultParagraphFont"/>
    <w:link w:val="Heading1"/>
    <w:uiPriority w:val="9"/>
    <w:rsid w:val="00CE6DD8"/>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AHPRADocumentsubheading"/>
    <w:next w:val="AHPRAbody"/>
    <w:uiPriority w:val="39"/>
    <w:unhideWhenUsed/>
    <w:rsid w:val="00CE6DD8"/>
    <w:pPr>
      <w:keepLines/>
      <w:spacing w:before="480" w:after="0" w:line="276" w:lineRule="auto"/>
      <w:outlineLvl w:val="9"/>
    </w:pPr>
    <w:rPr>
      <w:szCs w:val="28"/>
    </w:rPr>
  </w:style>
  <w:style w:type="paragraph" w:customStyle="1" w:styleId="AHPRAfooter">
    <w:name w:val="AHPRA footer"/>
    <w:basedOn w:val="FootnoteText"/>
    <w:rsid w:val="00D819A5"/>
    <w:rPr>
      <w:rFonts w:ascii="Arial" w:eastAsia="Cambria" w:hAnsi="Arial" w:cs="Arial"/>
      <w:color w:val="5F6062"/>
      <w:sz w:val="18"/>
    </w:rPr>
  </w:style>
  <w:style w:type="paragraph" w:customStyle="1" w:styleId="AHPRAfirstpagefooter">
    <w:name w:val="AHPRA first page footer"/>
    <w:basedOn w:val="AHPRAfooter"/>
    <w:rsid w:val="00D819A5"/>
    <w:pPr>
      <w:jc w:val="center"/>
    </w:pPr>
    <w:rPr>
      <w:b/>
    </w:rPr>
  </w:style>
  <w:style w:type="paragraph" w:customStyle="1" w:styleId="AHPRApagenumber">
    <w:name w:val="AHPRA page number"/>
    <w:basedOn w:val="AHPRAfooter"/>
    <w:rsid w:val="00D819A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hpopc.gov.au/" TargetMode="External"/><Relationship Id="rId4" Type="http://schemas.openxmlformats.org/officeDocument/2006/relationships/settings" Target="settings.xml"/><Relationship Id="rId9" Type="http://schemas.openxmlformats.org/officeDocument/2006/relationships/hyperlink" Target="https://nhpop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EF45-D135-46C5-A45E-C35FF91C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Protocol - Informing notifiers about the reasons for National Board decisions</dc:title>
  <dc:creator>AHPRA</dc:creator>
  <cp:lastModifiedBy>Sheryl Kamath</cp:lastModifiedBy>
  <cp:revision>2</cp:revision>
  <cp:lastPrinted>2018-05-25T03:57:00Z</cp:lastPrinted>
  <dcterms:created xsi:type="dcterms:W3CDTF">2018-07-30T01:47:00Z</dcterms:created>
  <dcterms:modified xsi:type="dcterms:W3CDTF">2018-07-30T01:47:00Z</dcterms:modified>
</cp:coreProperties>
</file>