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0"/>
        <w:tblpPr w:leftFromText="181" w:rightFromText="181" w:vertAnchor="page" w:horzAnchor="page" w:tblpY="3539"/>
        <w:tblW w:w="0" w:type="auto"/>
        <w:tblCellMar>
          <w:bottom w:w="215" w:type="dxa"/>
        </w:tblCellMar>
        <w:tblLook w:val="04A0" w:firstRow="1" w:lastRow="0" w:firstColumn="1" w:lastColumn="0" w:noHBand="0" w:noVBand="1"/>
      </w:tblPr>
      <w:tblGrid>
        <w:gridCol w:w="1384"/>
        <w:gridCol w:w="8130"/>
      </w:tblGrid>
      <w:tr w:rsidR="0036498C" w:rsidRPr="0036498C" w14:paraId="506A0957" w14:textId="77777777" w:rsidTr="00CB378F">
        <w:tc>
          <w:tcPr>
            <w:tcW w:w="1384" w:type="dxa"/>
            <w:tcBorders>
              <w:top w:val="nil"/>
              <w:left w:val="nil"/>
              <w:right w:val="nil"/>
            </w:tcBorders>
          </w:tcPr>
          <w:p w14:paraId="36337DCF" w14:textId="77777777" w:rsidR="0036498C" w:rsidRPr="0036498C" w:rsidRDefault="0036498C" w:rsidP="0036498C"/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06E3EBF" w14:textId="77777777" w:rsidR="0036498C" w:rsidRPr="0036498C" w:rsidRDefault="00E94773" w:rsidP="0036498C">
            <w:pPr>
              <w:pStyle w:val="Title"/>
              <w:framePr w:hSpace="0" w:wrap="auto" w:vAnchor="margin" w:hAnchor="text" w:yAlign="inline"/>
            </w:pPr>
            <w:r>
              <w:t>Consultation report: Professional Indemnity Insurance (PII)</w:t>
            </w:r>
          </w:p>
        </w:tc>
      </w:tr>
    </w:tbl>
    <w:p w14:paraId="0EF53470" w14:textId="77777777" w:rsidR="00087869" w:rsidRPr="0036498C" w:rsidRDefault="00D1374F" w:rsidP="0036498C">
      <w:pPr>
        <w:spacing w:after="1760"/>
      </w:pPr>
    </w:p>
    <w:p w14:paraId="6FE95A64" w14:textId="77777777" w:rsidR="00E94773" w:rsidRDefault="00E94773" w:rsidP="0036498C">
      <w:pPr>
        <w:pStyle w:val="Date"/>
      </w:pPr>
    </w:p>
    <w:p w14:paraId="663DA6E3" w14:textId="77777777" w:rsidR="00E94773" w:rsidRDefault="00E94773" w:rsidP="0036498C">
      <w:pPr>
        <w:pStyle w:val="Date"/>
      </w:pPr>
    </w:p>
    <w:p w14:paraId="66383658" w14:textId="46253D50" w:rsidR="00087869" w:rsidRDefault="00D1374F" w:rsidP="0036498C">
      <w:pPr>
        <w:pStyle w:val="Date"/>
      </w:pPr>
      <w:sdt>
        <w:sdtPr>
          <w:id w:val="2040462043"/>
          <w:placeholder>
            <w:docPart w:val="A764EFCB14A24A23910E792651B8F4BA"/>
          </w:placeholder>
          <w:date w:fullDate="2015-10-30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765A23">
            <w:t>30 October 2015</w:t>
          </w:r>
        </w:sdtContent>
      </w:sdt>
    </w:p>
    <w:p w14:paraId="1589ACAE" w14:textId="77777777" w:rsidR="00AF5B55" w:rsidRDefault="00AF5B55" w:rsidP="0002681B">
      <w:pPr>
        <w:jc w:val="left"/>
        <w:rPr>
          <w:rFonts w:eastAsia="Cambria"/>
          <w:sz w:val="20"/>
          <w:lang w:eastAsia="en-US"/>
        </w:rPr>
      </w:pPr>
    </w:p>
    <w:p w14:paraId="5DB25977" w14:textId="77777777" w:rsidR="00E94773" w:rsidRDefault="00E94773" w:rsidP="0002681B">
      <w:pPr>
        <w:jc w:val="left"/>
        <w:rPr>
          <w:rFonts w:eastAsia="Cambria"/>
          <w:sz w:val="20"/>
          <w:lang w:eastAsia="en-US"/>
        </w:rPr>
      </w:pPr>
      <w:bookmarkStart w:id="0" w:name="_GoBack"/>
      <w:bookmarkEnd w:id="0"/>
    </w:p>
    <w:p w14:paraId="1E1F044C" w14:textId="77777777" w:rsidR="00E94773" w:rsidRDefault="00E94773" w:rsidP="0002681B">
      <w:pPr>
        <w:jc w:val="left"/>
        <w:rPr>
          <w:rFonts w:eastAsia="Cambria"/>
          <w:sz w:val="20"/>
          <w:lang w:eastAsia="en-US"/>
        </w:rPr>
      </w:pPr>
    </w:p>
    <w:p w14:paraId="26F497D3" w14:textId="77777777" w:rsidR="00E94773" w:rsidRPr="00566FB7" w:rsidRDefault="00E94773" w:rsidP="00E94773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r w:rsidRPr="006901EC">
        <w:rPr>
          <w:b/>
          <w:color w:val="007DC3"/>
          <w:sz w:val="20"/>
          <w:szCs w:val="20"/>
        </w:rPr>
        <w:t>Introduction</w:t>
      </w:r>
    </w:p>
    <w:p w14:paraId="107146AF" w14:textId="77777777" w:rsidR="00E94773" w:rsidRPr="00C7458F" w:rsidRDefault="00E94773" w:rsidP="00E94773">
      <w:pPr>
        <w:pStyle w:val="BodyText"/>
      </w:pPr>
      <w:r w:rsidRPr="00C7458F">
        <w:t>The National Law</w:t>
      </w:r>
      <w:r w:rsidRPr="00C7458F">
        <w:rPr>
          <w:rStyle w:val="FootnoteReference"/>
          <w:szCs w:val="20"/>
        </w:rPr>
        <w:footnoteReference w:id="2"/>
      </w:r>
      <w:r w:rsidRPr="00C7458F">
        <w:t xml:space="preserve"> requires National Boards to develop registration standards about the requirements for </w:t>
      </w:r>
      <w:r>
        <w:t>professional indemnity insurance</w:t>
      </w:r>
      <w:r w:rsidRPr="00C7458F">
        <w:t xml:space="preserve"> (</w:t>
      </w:r>
      <w:r>
        <w:t>PII</w:t>
      </w:r>
      <w:r w:rsidRPr="00C7458F">
        <w:t xml:space="preserve">) for registered health practitioners. </w:t>
      </w:r>
    </w:p>
    <w:p w14:paraId="64B1508F" w14:textId="77777777" w:rsidR="00E94773" w:rsidRDefault="00E94773" w:rsidP="00E94773">
      <w:pPr>
        <w:pStyle w:val="BodyText"/>
      </w:pPr>
      <w:r>
        <w:t>Ten</w:t>
      </w:r>
      <w:r w:rsidRPr="00C7458F">
        <w:t xml:space="preserve"> National Boards have now review</w:t>
      </w:r>
      <w:r>
        <w:t>ed</w:t>
      </w:r>
      <w:r w:rsidRPr="00C7458F">
        <w:t xml:space="preserve"> their </w:t>
      </w:r>
      <w:r>
        <w:t>PII</w:t>
      </w:r>
      <w:r w:rsidRPr="00C7458F">
        <w:t xml:space="preserve"> </w:t>
      </w:r>
      <w:r>
        <w:t>arrangements</w:t>
      </w:r>
      <w:r w:rsidRPr="00C7458F">
        <w:t xml:space="preserve">, as part of a planned review of the five </w:t>
      </w:r>
      <w:r>
        <w:t>core</w:t>
      </w:r>
      <w:r w:rsidRPr="00C7458F">
        <w:t xml:space="preserve"> registration standards</w:t>
      </w:r>
      <w:r w:rsidRPr="00C7458F">
        <w:rPr>
          <w:rStyle w:val="FootnoteReference"/>
          <w:szCs w:val="20"/>
        </w:rPr>
        <w:footnoteReference w:id="3"/>
      </w:r>
      <w:r>
        <w:t xml:space="preserve">. These </w:t>
      </w:r>
      <w:r w:rsidRPr="00370F7A">
        <w:t xml:space="preserve">National Boards have </w:t>
      </w:r>
      <w:r>
        <w:t xml:space="preserve">agreed to use </w:t>
      </w:r>
      <w:r w:rsidRPr="00370F7A">
        <w:t>sta</w:t>
      </w:r>
      <w:r>
        <w:t>ndard requirements, definitions</w:t>
      </w:r>
      <w:r w:rsidRPr="00370F7A">
        <w:t xml:space="preserve"> and evidence provisions. As a result, there is a high level of consistency across the revised registration standards with </w:t>
      </w:r>
      <w:r>
        <w:t xml:space="preserve">a </w:t>
      </w:r>
      <w:r w:rsidRPr="00370F7A">
        <w:t>few minor variance</w:t>
      </w:r>
      <w:r>
        <w:t>s</w:t>
      </w:r>
      <w:r w:rsidRPr="00370F7A">
        <w:t xml:space="preserve">. </w:t>
      </w:r>
      <w:r>
        <w:t xml:space="preserve">All National Boards have retained third party arrangements (e.g. cover by an employer, union, or professional association). </w:t>
      </w:r>
      <w:r w:rsidRPr="00370F7A">
        <w:t>A profession-specific approach to some requirements ha</w:t>
      </w:r>
      <w:r>
        <w:t>s</w:t>
      </w:r>
      <w:r w:rsidRPr="00370F7A">
        <w:t xml:space="preserve"> been taken by the Medical Board</w:t>
      </w:r>
      <w:r>
        <w:t xml:space="preserve"> </w:t>
      </w:r>
      <w:r w:rsidRPr="00370F7A">
        <w:t>and the Pharmacy Board but the common requirements have been used</w:t>
      </w:r>
      <w:r>
        <w:t xml:space="preserve"> </w:t>
      </w:r>
      <w:r w:rsidRPr="00370F7A">
        <w:t xml:space="preserve">wherever </w:t>
      </w:r>
      <w:r>
        <w:t>possible</w:t>
      </w:r>
      <w:r w:rsidRPr="00370F7A">
        <w:t xml:space="preserve">.  </w:t>
      </w:r>
    </w:p>
    <w:p w14:paraId="016C6581" w14:textId="77777777" w:rsidR="00E94773" w:rsidRPr="00E94773" w:rsidRDefault="00E94773" w:rsidP="00E94773">
      <w:pPr>
        <w:pStyle w:val="BodyText"/>
      </w:pPr>
      <w:r>
        <w:t>The Psychology Board of Australia did not participate in this review as its current standard came into effect in June 2012 following an earlier review. It has now commenced a review of the 2012 standard.</w:t>
      </w:r>
    </w:p>
    <w:p w14:paraId="367EBA64" w14:textId="77777777" w:rsidR="00E94773" w:rsidRDefault="00E94773" w:rsidP="00E94773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r>
        <w:rPr>
          <w:b/>
          <w:color w:val="007DC3"/>
          <w:sz w:val="20"/>
          <w:szCs w:val="20"/>
        </w:rPr>
        <w:t>Consultation</w:t>
      </w:r>
    </w:p>
    <w:p w14:paraId="36C14E78" w14:textId="6728841A" w:rsidR="00E94773" w:rsidRDefault="00E94773" w:rsidP="00E94773">
      <w:pPr>
        <w:pStyle w:val="BodyText"/>
      </w:pPr>
      <w:r>
        <w:t xml:space="preserve">National </w:t>
      </w:r>
      <w:r w:rsidRPr="0047264E">
        <w:t xml:space="preserve">Boards </w:t>
      </w:r>
      <w:r>
        <w:t>undertook</w:t>
      </w:r>
      <w:r w:rsidRPr="0047264E">
        <w:t xml:space="preserve"> an eight-week public consultation process</w:t>
      </w:r>
      <w:r>
        <w:t xml:space="preserve"> between May and July 2014, following on from a</w:t>
      </w:r>
      <w:r w:rsidRPr="0047264E">
        <w:t xml:space="preserve"> preliminary </w:t>
      </w:r>
      <w:r>
        <w:t>consultation</w:t>
      </w:r>
      <w:r w:rsidRPr="0047264E">
        <w:t xml:space="preserve"> </w:t>
      </w:r>
      <w:r>
        <w:t xml:space="preserve">round </w:t>
      </w:r>
      <w:r w:rsidRPr="0047264E">
        <w:t>with key stakeholders</w:t>
      </w:r>
      <w:r>
        <w:t xml:space="preserve"> in January 2014 to </w:t>
      </w:r>
      <w:r w:rsidRPr="0047264E">
        <w:t>ensure public exposure to propos</w:t>
      </w:r>
      <w:r>
        <w:t xml:space="preserve">ed </w:t>
      </w:r>
      <w:r w:rsidR="00EB7A6C">
        <w:t>changes</w:t>
      </w:r>
      <w:r>
        <w:t xml:space="preserve"> – a requirement under the National Law</w:t>
      </w:r>
      <w:r w:rsidRPr="0047264E">
        <w:t xml:space="preserve">. The </w:t>
      </w:r>
      <w:r>
        <w:t xml:space="preserve">Commonwealth </w:t>
      </w:r>
      <w:r w:rsidRPr="0047264E">
        <w:t xml:space="preserve">Office of Best Practice Regulation </w:t>
      </w:r>
      <w:r>
        <w:t>(OBPR) was also consulted</w:t>
      </w:r>
      <w:r w:rsidRPr="0047264E">
        <w:t xml:space="preserve"> during preliminary</w:t>
      </w:r>
      <w:r>
        <w:t xml:space="preserve"> consultation in order to assess the potential for any significant regulatory impacts. The OBPR determined that</w:t>
      </w:r>
      <w:r w:rsidRPr="0047264E">
        <w:t xml:space="preserve"> a regulat</w:t>
      </w:r>
      <w:r>
        <w:t>ion</w:t>
      </w:r>
      <w:r w:rsidRPr="0047264E">
        <w:t xml:space="preserve"> impact statement was not </w:t>
      </w:r>
      <w:r>
        <w:t xml:space="preserve">required. </w:t>
      </w:r>
    </w:p>
    <w:p w14:paraId="30EC231E" w14:textId="77777777" w:rsidR="00E94773" w:rsidRDefault="00E94773" w:rsidP="00E94773">
      <w:pPr>
        <w:pStyle w:val="BodyText"/>
      </w:pPr>
      <w:r>
        <w:t>P</w:t>
      </w:r>
      <w:r w:rsidRPr="0047264E">
        <w:t xml:space="preserve">ublic consultation documents are published under the </w:t>
      </w:r>
      <w:r w:rsidRPr="0047264E">
        <w:rPr>
          <w:i/>
        </w:rPr>
        <w:t>News</w:t>
      </w:r>
      <w:r w:rsidRPr="0047264E">
        <w:t xml:space="preserve"> tab of each </w:t>
      </w:r>
      <w:r>
        <w:t>National Board website. S</w:t>
      </w:r>
      <w:r w:rsidRPr="0047264E">
        <w:t xml:space="preserve">ubmissions (except those made in confidence) </w:t>
      </w:r>
      <w:r>
        <w:t xml:space="preserve">have also now been published. </w:t>
      </w:r>
    </w:p>
    <w:p w14:paraId="6E0C0159" w14:textId="77777777" w:rsidR="00E94773" w:rsidRDefault="00E94773" w:rsidP="00E94773">
      <w:pPr>
        <w:pStyle w:val="BodyText"/>
      </w:pPr>
      <w:r>
        <w:t>The table below lists the number of responses that each National Board received during the public consultation on its revised PII registration standard.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2126"/>
      </w:tblGrid>
      <w:tr w:rsidR="00E94773" w14:paraId="0371C55A" w14:textId="77777777" w:rsidTr="006312A6">
        <w:tc>
          <w:tcPr>
            <w:tcW w:w="2518" w:type="dxa"/>
          </w:tcPr>
          <w:p w14:paraId="5D9CB029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b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b/>
                <w:color w:val="auto"/>
                <w:sz w:val="18"/>
                <w:szCs w:val="18"/>
              </w:rPr>
              <w:lastRenderedPageBreak/>
              <w:t>National Board</w:t>
            </w:r>
          </w:p>
        </w:tc>
        <w:tc>
          <w:tcPr>
            <w:tcW w:w="2126" w:type="dxa"/>
          </w:tcPr>
          <w:p w14:paraId="5F1F0669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b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b/>
                <w:color w:val="auto"/>
                <w:sz w:val="18"/>
                <w:szCs w:val="18"/>
              </w:rPr>
              <w:t>No. of responses</w:t>
            </w:r>
          </w:p>
        </w:tc>
        <w:tc>
          <w:tcPr>
            <w:tcW w:w="1985" w:type="dxa"/>
          </w:tcPr>
          <w:p w14:paraId="4445CB1A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b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b/>
                <w:color w:val="auto"/>
                <w:sz w:val="18"/>
                <w:szCs w:val="18"/>
              </w:rPr>
              <w:t>National Board</w:t>
            </w:r>
          </w:p>
        </w:tc>
        <w:tc>
          <w:tcPr>
            <w:tcW w:w="2126" w:type="dxa"/>
          </w:tcPr>
          <w:p w14:paraId="448D7FEF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b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b/>
                <w:color w:val="auto"/>
                <w:sz w:val="18"/>
                <w:szCs w:val="18"/>
              </w:rPr>
              <w:t>No. of responses</w:t>
            </w:r>
          </w:p>
        </w:tc>
      </w:tr>
      <w:tr w:rsidR="00E94773" w14:paraId="2FF547C7" w14:textId="77777777" w:rsidTr="006312A6">
        <w:tc>
          <w:tcPr>
            <w:tcW w:w="2518" w:type="dxa"/>
          </w:tcPr>
          <w:p w14:paraId="3EACB2C9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Chiropractic</w:t>
            </w:r>
          </w:p>
        </w:tc>
        <w:tc>
          <w:tcPr>
            <w:tcW w:w="2126" w:type="dxa"/>
          </w:tcPr>
          <w:p w14:paraId="02539F7E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5D1A4969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Optometry</w:t>
            </w:r>
          </w:p>
        </w:tc>
        <w:tc>
          <w:tcPr>
            <w:tcW w:w="2126" w:type="dxa"/>
          </w:tcPr>
          <w:p w14:paraId="547F3A88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</w:tr>
      <w:tr w:rsidR="00E94773" w14:paraId="42D7BF29" w14:textId="77777777" w:rsidTr="006312A6">
        <w:tc>
          <w:tcPr>
            <w:tcW w:w="2518" w:type="dxa"/>
          </w:tcPr>
          <w:p w14:paraId="6FCF64FF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Dental</w:t>
            </w:r>
          </w:p>
        </w:tc>
        <w:tc>
          <w:tcPr>
            <w:tcW w:w="2126" w:type="dxa"/>
          </w:tcPr>
          <w:p w14:paraId="02628453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187B1708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Osteopathy</w:t>
            </w:r>
          </w:p>
        </w:tc>
        <w:tc>
          <w:tcPr>
            <w:tcW w:w="2126" w:type="dxa"/>
          </w:tcPr>
          <w:p w14:paraId="452F4E32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</w:p>
        </w:tc>
      </w:tr>
      <w:tr w:rsidR="00E94773" w14:paraId="6BF8A181" w14:textId="77777777" w:rsidTr="006312A6">
        <w:tc>
          <w:tcPr>
            <w:tcW w:w="2518" w:type="dxa"/>
          </w:tcPr>
          <w:p w14:paraId="69CD706B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Medical radiation practice</w:t>
            </w:r>
          </w:p>
        </w:tc>
        <w:tc>
          <w:tcPr>
            <w:tcW w:w="2126" w:type="dxa"/>
          </w:tcPr>
          <w:p w14:paraId="095EA1A0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0E6B280E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Pharmacy</w:t>
            </w:r>
          </w:p>
        </w:tc>
        <w:tc>
          <w:tcPr>
            <w:tcW w:w="2126" w:type="dxa"/>
          </w:tcPr>
          <w:p w14:paraId="3FEC6C04" w14:textId="77777777" w:rsidR="00E94773" w:rsidRPr="00811F4A" w:rsidRDefault="00213711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11</w:t>
            </w:r>
          </w:p>
        </w:tc>
      </w:tr>
      <w:tr w:rsidR="00E94773" w14:paraId="2063DB10" w14:textId="77777777" w:rsidTr="006312A6">
        <w:tc>
          <w:tcPr>
            <w:tcW w:w="2518" w:type="dxa"/>
          </w:tcPr>
          <w:p w14:paraId="3C58B9B7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Medicine</w:t>
            </w:r>
          </w:p>
        </w:tc>
        <w:tc>
          <w:tcPr>
            <w:tcW w:w="2126" w:type="dxa"/>
          </w:tcPr>
          <w:p w14:paraId="32D97208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14:paraId="5AF85A7F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Physiotherapy</w:t>
            </w:r>
          </w:p>
        </w:tc>
        <w:tc>
          <w:tcPr>
            <w:tcW w:w="2126" w:type="dxa"/>
          </w:tcPr>
          <w:p w14:paraId="04B49FD1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</w:p>
        </w:tc>
      </w:tr>
      <w:tr w:rsidR="00E94773" w14:paraId="69613410" w14:textId="77777777" w:rsidTr="006312A6">
        <w:tc>
          <w:tcPr>
            <w:tcW w:w="2518" w:type="dxa"/>
          </w:tcPr>
          <w:p w14:paraId="31D7A8E4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Nursing and midwifery</w:t>
            </w:r>
          </w:p>
        </w:tc>
        <w:tc>
          <w:tcPr>
            <w:tcW w:w="2126" w:type="dxa"/>
          </w:tcPr>
          <w:p w14:paraId="3976EF85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22CFA01A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811F4A">
              <w:rPr>
                <w:rFonts w:cs="Arial"/>
                <w:color w:val="auto"/>
                <w:sz w:val="18"/>
                <w:szCs w:val="18"/>
              </w:rPr>
              <w:t>Podiatry</w:t>
            </w:r>
          </w:p>
        </w:tc>
        <w:tc>
          <w:tcPr>
            <w:tcW w:w="2126" w:type="dxa"/>
          </w:tcPr>
          <w:p w14:paraId="123DD6AC" w14:textId="77777777" w:rsidR="00E94773" w:rsidRPr="00811F4A" w:rsidRDefault="00E94773" w:rsidP="006312A6">
            <w:pPr>
              <w:pStyle w:val="AHPRAHeadline"/>
              <w:outlineLv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9</w:t>
            </w:r>
          </w:p>
        </w:tc>
      </w:tr>
    </w:tbl>
    <w:p w14:paraId="511730C3" w14:textId="77777777" w:rsidR="00E94773" w:rsidRDefault="00E94773" w:rsidP="00E94773">
      <w:pPr>
        <w:pStyle w:val="BodyText"/>
      </w:pPr>
      <w:r>
        <w:t xml:space="preserve">The </w:t>
      </w:r>
      <w:r w:rsidRPr="0047264E">
        <w:t xml:space="preserve">revisions proposed by </w:t>
      </w:r>
      <w:r>
        <w:t xml:space="preserve">National </w:t>
      </w:r>
      <w:r w:rsidRPr="0047264E">
        <w:t xml:space="preserve">Boards </w:t>
      </w:r>
      <w:r>
        <w:t xml:space="preserve">focused on improving clarity and workability of the current PII standards and </w:t>
      </w:r>
      <w:r w:rsidRPr="0047264E">
        <w:t xml:space="preserve">were </w:t>
      </w:r>
      <w:r>
        <w:t xml:space="preserve">broadly </w:t>
      </w:r>
      <w:r w:rsidRPr="0047264E">
        <w:t xml:space="preserve">supported </w:t>
      </w:r>
      <w:r>
        <w:t>by respondents.</w:t>
      </w:r>
      <w:r w:rsidRPr="0047264E">
        <w:t xml:space="preserve"> </w:t>
      </w:r>
      <w:r>
        <w:t xml:space="preserve">A high level of consistency has been achieved across the revised standards through cross-board collaboration. </w:t>
      </w:r>
      <w:r w:rsidRPr="0047264E">
        <w:t xml:space="preserve">National Boards </w:t>
      </w:r>
      <w:r>
        <w:t xml:space="preserve">also received feedback from the Australian Health Ministers’ Advisory Council </w:t>
      </w:r>
      <w:r w:rsidRPr="0047264E">
        <w:t xml:space="preserve">Health Workforce Principal Committee, which </w:t>
      </w:r>
      <w:r>
        <w:t>helped to inform the revised standards</w:t>
      </w:r>
      <w:r w:rsidRPr="0047264E">
        <w:t xml:space="preserve">. </w:t>
      </w:r>
    </w:p>
    <w:p w14:paraId="01B698B6" w14:textId="77777777" w:rsidR="00E94773" w:rsidRPr="00E94773" w:rsidRDefault="00E94773" w:rsidP="00E94773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r w:rsidRPr="00E94773">
        <w:rPr>
          <w:b/>
          <w:color w:val="007DC3"/>
          <w:sz w:val="20"/>
          <w:szCs w:val="20"/>
        </w:rPr>
        <w:t>Issues</w:t>
      </w:r>
    </w:p>
    <w:p w14:paraId="550D38DC" w14:textId="77777777" w:rsidR="00E94773" w:rsidRDefault="00E94773" w:rsidP="00E94773">
      <w:pPr>
        <w:pStyle w:val="BodyText"/>
      </w:pPr>
      <w:r>
        <w:t>A number of the</w:t>
      </w:r>
      <w:r w:rsidRPr="00370F7A">
        <w:t xml:space="preserve"> PII registration standards</w:t>
      </w:r>
      <w:r>
        <w:t xml:space="preserve"> under review</w:t>
      </w:r>
      <w:r w:rsidRPr="00370F7A">
        <w:t xml:space="preserve"> </w:t>
      </w:r>
      <w:r>
        <w:t>specified</w:t>
      </w:r>
      <w:r w:rsidRPr="00370F7A">
        <w:t xml:space="preserve"> a minimum amount of cover (</w:t>
      </w:r>
      <w:r>
        <w:t>varying</w:t>
      </w:r>
      <w:r w:rsidRPr="00370F7A">
        <w:t xml:space="preserve"> from $5M to $20M) and require</w:t>
      </w:r>
      <w:r>
        <w:t>d</w:t>
      </w:r>
      <w:r w:rsidRPr="00370F7A">
        <w:t xml:space="preserve"> retroactive and run</w:t>
      </w:r>
      <w:r w:rsidR="00D93F67">
        <w:t>-</w:t>
      </w:r>
      <w:r w:rsidRPr="00370F7A">
        <w:t xml:space="preserve">off cover. Based on expert advice and following consultation with </w:t>
      </w:r>
      <w:r>
        <w:t xml:space="preserve">insurers and other </w:t>
      </w:r>
      <w:r w:rsidRPr="00370F7A">
        <w:t xml:space="preserve">key stakeholders, </w:t>
      </w:r>
      <w:r>
        <w:t xml:space="preserve">the revised standards include </w:t>
      </w:r>
      <w:r w:rsidRPr="00370F7A">
        <w:t>common requirements and definitions of retroactive and run</w:t>
      </w:r>
      <w:r w:rsidR="00D93F67">
        <w:t>-</w:t>
      </w:r>
      <w:r w:rsidRPr="00370F7A">
        <w:t xml:space="preserve">off cover. </w:t>
      </w:r>
    </w:p>
    <w:p w14:paraId="774B3958" w14:textId="2F7D28E5" w:rsidR="00E94773" w:rsidRDefault="00E94773" w:rsidP="00E94773">
      <w:pPr>
        <w:pStyle w:val="BodyText"/>
      </w:pPr>
      <w:r w:rsidRPr="00B97D96">
        <w:t>Rather than set a minimum amount of cover,</w:t>
      </w:r>
      <w:r w:rsidR="000B6C34">
        <w:t xml:space="preserve"> </w:t>
      </w:r>
      <w:r w:rsidR="002F100B">
        <w:t xml:space="preserve">the </w:t>
      </w:r>
      <w:r w:rsidRPr="00B97D96">
        <w:t xml:space="preserve">revised standards </w:t>
      </w:r>
      <w:r w:rsidR="002F100B">
        <w:t xml:space="preserve">generally </w:t>
      </w:r>
      <w:r w:rsidRPr="00B97D96">
        <w:t xml:space="preserve">take a more contemporary </w:t>
      </w:r>
      <w:r>
        <w:t xml:space="preserve">and flexible </w:t>
      </w:r>
      <w:r w:rsidRPr="00B97D96">
        <w:t>approach</w:t>
      </w:r>
      <w:r>
        <w:t xml:space="preserve"> that requires </w:t>
      </w:r>
      <w:r w:rsidRPr="00B97D96">
        <w:t xml:space="preserve">registrants taking out their own insurance to do an objective self-assessment, informed by </w:t>
      </w:r>
      <w:r>
        <w:t>advice</w:t>
      </w:r>
      <w:r w:rsidRPr="00B97D96">
        <w:t xml:space="preserve"> provided by insurance providers to ensure they have adequate and appropriate insurance or professional indemnity cover for the</w:t>
      </w:r>
      <w:r>
        <w:t xml:space="preserve">ir practice. The Pharmacy Board’s revised PII standard </w:t>
      </w:r>
      <w:r w:rsidRPr="00B97D96">
        <w:t>continue</w:t>
      </w:r>
      <w:r>
        <w:t>s</w:t>
      </w:r>
      <w:r w:rsidRPr="00B97D96">
        <w:t xml:space="preserve"> to set a minimum amount of cover at the same level as is currently required ($20M)</w:t>
      </w:r>
      <w:r>
        <w:t>,</w:t>
      </w:r>
      <w:r w:rsidRPr="00B97D96">
        <w:t xml:space="preserve"> which reflects</w:t>
      </w:r>
      <w:r w:rsidR="000B6C34">
        <w:t xml:space="preserve"> the</w:t>
      </w:r>
      <w:r w:rsidRPr="00B97D96">
        <w:t xml:space="preserve"> industry standard</w:t>
      </w:r>
      <w:r w:rsidR="000B6C34">
        <w:t xml:space="preserve"> in the pharmacy profession</w:t>
      </w:r>
      <w:r w:rsidRPr="00B97D96">
        <w:t xml:space="preserve">.  </w:t>
      </w:r>
    </w:p>
    <w:p w14:paraId="1BE3EB9E" w14:textId="1A404790" w:rsidR="00E94773" w:rsidRPr="00E94773" w:rsidRDefault="00E94773" w:rsidP="00E94773">
      <w:pPr>
        <w:pStyle w:val="BodyText"/>
        <w:rPr>
          <w:b/>
          <w:color w:val="007DC3"/>
        </w:rPr>
      </w:pPr>
      <w:r w:rsidRPr="00137FB5">
        <w:t xml:space="preserve">The </w:t>
      </w:r>
      <w:r w:rsidRPr="00137FB5">
        <w:rPr>
          <w:bCs/>
        </w:rPr>
        <w:t>Medical Radiation Practice Board of Australia</w:t>
      </w:r>
      <w:r w:rsidRPr="00137FB5">
        <w:rPr>
          <w:b/>
          <w:bCs/>
        </w:rPr>
        <w:t xml:space="preserve"> </w:t>
      </w:r>
      <w:r w:rsidRPr="00137FB5">
        <w:t xml:space="preserve">has revised its PII arrangements guidelines to improve clarity and workability and to complement the revised registration standard.  </w:t>
      </w:r>
      <w:r w:rsidR="000B6C34">
        <w:t>A</w:t>
      </w:r>
      <w:r w:rsidRPr="00137FB5">
        <w:t>dditional information</w:t>
      </w:r>
      <w:r w:rsidR="000B6C34">
        <w:t xml:space="preserve"> will be developed to support the revised standards</w:t>
      </w:r>
      <w:r w:rsidRPr="00137FB5">
        <w:t xml:space="preserve">, </w:t>
      </w:r>
      <w:r w:rsidR="000B6C34">
        <w:t>such as</w:t>
      </w:r>
      <w:r w:rsidRPr="00137FB5">
        <w:t xml:space="preserve"> a PII guide to registrants that includes frequently asked questions.</w:t>
      </w:r>
      <w:r w:rsidRPr="00137FB5">
        <w:rPr>
          <w:color w:val="FF0000"/>
        </w:rPr>
        <w:t xml:space="preserve"> </w:t>
      </w:r>
      <w:r w:rsidRPr="00137FB5">
        <w:t xml:space="preserve"> All additional guidance will be published and take effect at the same time as the registration standards to </w:t>
      </w:r>
      <w:r w:rsidR="000B6C34">
        <w:t>assist</w:t>
      </w:r>
      <w:r w:rsidR="000B6C34" w:rsidRPr="00137FB5">
        <w:t xml:space="preserve"> </w:t>
      </w:r>
      <w:r w:rsidRPr="00137FB5">
        <w:t>a smooth transition.</w:t>
      </w:r>
      <w:r>
        <w:t xml:space="preserve"> </w:t>
      </w:r>
    </w:p>
    <w:p w14:paraId="11D2CF9D" w14:textId="77777777" w:rsidR="00E94773" w:rsidRPr="00C077F0" w:rsidRDefault="00E94773" w:rsidP="00E94773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r w:rsidRPr="00C077F0">
        <w:rPr>
          <w:b/>
          <w:color w:val="007DC3"/>
          <w:sz w:val="20"/>
          <w:szCs w:val="20"/>
        </w:rPr>
        <w:t xml:space="preserve">Conclusion </w:t>
      </w:r>
    </w:p>
    <w:p w14:paraId="5F736AE3" w14:textId="77777777" w:rsidR="00E94773" w:rsidRPr="00A81D40" w:rsidRDefault="00E94773" w:rsidP="00E94773">
      <w:pPr>
        <w:pStyle w:val="BodyText"/>
      </w:pPr>
      <w:r w:rsidRPr="00A81D40">
        <w:t>The National Boards consider that the revised</w:t>
      </w:r>
      <w:r>
        <w:t xml:space="preserve"> PII arrangements</w:t>
      </w:r>
      <w:r w:rsidRPr="00A81D40">
        <w:t xml:space="preserve"> registration standards improve the overall clarity and workability of current requirements with minimal but relevant and appropriate profession-specific variation, and will continue to ensure </w:t>
      </w:r>
      <w:r>
        <w:t>high levels of public protection.</w:t>
      </w:r>
    </w:p>
    <w:p w14:paraId="69D870C9" w14:textId="77777777" w:rsidR="00E94773" w:rsidRPr="00297D54" w:rsidRDefault="00E94773" w:rsidP="00E94773">
      <w:pPr>
        <w:rPr>
          <w:b/>
          <w:color w:val="007DC3"/>
          <w:sz w:val="20"/>
          <w:szCs w:val="20"/>
        </w:rPr>
      </w:pPr>
    </w:p>
    <w:p w14:paraId="2F6BC58F" w14:textId="77777777" w:rsidR="00E94773" w:rsidRPr="0002681B" w:rsidRDefault="00E94773" w:rsidP="0002681B">
      <w:pPr>
        <w:jc w:val="left"/>
        <w:rPr>
          <w:rFonts w:eastAsia="Cambria"/>
          <w:sz w:val="20"/>
          <w:lang w:eastAsia="en-US"/>
        </w:rPr>
      </w:pPr>
    </w:p>
    <w:sectPr w:rsidR="00E94773" w:rsidRPr="0002681B" w:rsidSect="005E3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247" w:bottom="1418" w:left="1247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A9018" w14:textId="77777777" w:rsidR="00E94773" w:rsidRDefault="00E94773" w:rsidP="00FC2881">
      <w:r>
        <w:separator/>
      </w:r>
    </w:p>
    <w:p w14:paraId="4426E147" w14:textId="77777777" w:rsidR="00E94773" w:rsidRDefault="00E94773"/>
    <w:p w14:paraId="229D4499" w14:textId="77777777" w:rsidR="00E94773" w:rsidRDefault="00E94773"/>
    <w:p w14:paraId="065D7954" w14:textId="77777777" w:rsidR="00E94773" w:rsidRDefault="00E94773"/>
  </w:endnote>
  <w:endnote w:type="continuationSeparator" w:id="0">
    <w:p w14:paraId="7B399BBB" w14:textId="77777777" w:rsidR="00E94773" w:rsidRDefault="00E94773" w:rsidP="00FC2881">
      <w:r>
        <w:continuationSeparator/>
      </w:r>
    </w:p>
    <w:p w14:paraId="6C183F08" w14:textId="77777777" w:rsidR="00E94773" w:rsidRDefault="00E94773"/>
    <w:p w14:paraId="7936F789" w14:textId="77777777" w:rsidR="00E94773" w:rsidRDefault="00E94773"/>
    <w:p w14:paraId="4CC336AF" w14:textId="77777777" w:rsidR="00E94773" w:rsidRDefault="00E94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427C" w14:textId="77777777" w:rsidR="007A0DBF" w:rsidRDefault="00F267B4" w:rsidP="00FC2881">
    <w:pPr>
      <w:framePr w:wrap="around" w:vAnchor="text" w:hAnchor="margin" w:xAlign="right" w:y="1"/>
    </w:pPr>
    <w:r>
      <w:rPr>
        <w:noProof w:val="0"/>
      </w:rPr>
      <w:fldChar w:fldCharType="begin"/>
    </w:r>
    <w:r w:rsidR="007A0DBF">
      <w:instrText xml:space="preserve">PAGE  </w:instrText>
    </w:r>
    <w:r>
      <w:rPr>
        <w:noProof w:val="0"/>
      </w:rPr>
      <w:fldChar w:fldCharType="separate"/>
    </w:r>
    <w:r w:rsidR="007A0DBF">
      <w:t>2</w:t>
    </w:r>
    <w:r>
      <w:fldChar w:fldCharType="end"/>
    </w:r>
  </w:p>
  <w:p w14:paraId="133B7FE4" w14:textId="77777777" w:rsidR="007A0DBF" w:rsidRDefault="007A0DBF" w:rsidP="00FC2881">
    <w:pPr>
      <w:ind w:right="360"/>
    </w:pPr>
  </w:p>
  <w:p w14:paraId="6CA6166E" w14:textId="77777777" w:rsidR="007A0DBF" w:rsidRDefault="007A0DBF"/>
  <w:p w14:paraId="3AB77A8A" w14:textId="77777777" w:rsidR="007A0DBF" w:rsidRDefault="007A0DBF"/>
  <w:p w14:paraId="2BE4CE49" w14:textId="77777777" w:rsidR="007A0DBF" w:rsidRDefault="007A0D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FF70" w14:textId="77777777" w:rsidR="007A0DBF" w:rsidRDefault="00D1374F" w:rsidP="009552AD">
    <w:pPr>
      <w:pStyle w:val="xPageNumber"/>
      <w:framePr w:hSpace="0" w:wrap="auto" w:vAnchor="margin" w:hAnchor="text" w:xAlign="left" w:yAlign="inline"/>
    </w:pPr>
    <w:sdt>
      <w:sdtPr>
        <w:id w:val="-641112119"/>
        <w:docPartObj>
          <w:docPartGallery w:val="Page Numbers (Top of Page)"/>
          <w:docPartUnique/>
        </w:docPartObj>
      </w:sdtPr>
      <w:sdtEndPr/>
      <w:sdtContent>
        <w:r w:rsidR="007A0DBF" w:rsidRPr="005E3688">
          <w:t xml:space="preserve">Page </w:t>
        </w:r>
        <w:r w:rsidR="00F267B4" w:rsidRPr="005E3688">
          <w:fldChar w:fldCharType="begin"/>
        </w:r>
        <w:r w:rsidR="007A0DBF" w:rsidRPr="005E3688">
          <w:instrText xml:space="preserve"> PAGE </w:instrText>
        </w:r>
        <w:r w:rsidR="00F267B4" w:rsidRPr="005E3688">
          <w:fldChar w:fldCharType="separate"/>
        </w:r>
        <w:r>
          <w:t>2</w:t>
        </w:r>
        <w:r w:rsidR="00F267B4" w:rsidRPr="005E3688">
          <w:fldChar w:fldCharType="end"/>
        </w:r>
        <w:r w:rsidR="007A0DBF" w:rsidRPr="005E3688">
          <w:t xml:space="preserve"> of </w:t>
        </w:r>
        <w:r w:rsidR="00F267B4" w:rsidRPr="005E3688">
          <w:fldChar w:fldCharType="begin"/>
        </w:r>
        <w:r w:rsidR="007A0DBF" w:rsidRPr="005E3688">
          <w:instrText xml:space="preserve"> NUMPAGES  </w:instrText>
        </w:r>
        <w:r w:rsidR="00F267B4" w:rsidRPr="005E3688">
          <w:fldChar w:fldCharType="separate"/>
        </w:r>
        <w:r>
          <w:t>2</w:t>
        </w:r>
        <w:r w:rsidR="00F267B4" w:rsidRPr="005E3688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8978" w14:textId="77777777" w:rsidR="007A0DBF" w:rsidRPr="000E73BC" w:rsidRDefault="00F267B4" w:rsidP="005C1DD4">
    <w:pPr>
      <w:pStyle w:val="Footer"/>
      <w:spacing w:after="200"/>
      <w:ind w:right="0"/>
      <w:rPr>
        <w:b/>
      </w:rPr>
    </w:pPr>
    <w:r w:rsidRPr="000E73BC">
      <w:rPr>
        <w:b/>
      </w:rPr>
      <w:fldChar w:fldCharType="begin"/>
    </w:r>
    <w:r w:rsidR="007A0DBF" w:rsidRPr="000E73BC">
      <w:rPr>
        <w:b/>
      </w:rPr>
      <w:instrText xml:space="preserve"> DOCPROPERTY  xBoardLine1  </w:instrText>
    </w:r>
    <w:r w:rsidRPr="000E73BC">
      <w:rPr>
        <w:b/>
      </w:rPr>
      <w:fldChar w:fldCharType="separate"/>
    </w:r>
    <w:r w:rsidR="00D1374F">
      <w:rPr>
        <w:b/>
      </w:rPr>
      <w:t>Australian</w:t>
    </w:r>
    <w:r w:rsidRPr="000E73BC">
      <w:rPr>
        <w:b/>
      </w:rPr>
      <w:fldChar w:fldCharType="end"/>
    </w:r>
    <w:r w:rsidR="007A0DBF" w:rsidRPr="000E73BC">
      <w:rPr>
        <w:b/>
      </w:rPr>
      <w:t xml:space="preserve"> </w:t>
    </w:r>
    <w:r w:rsidRPr="000E73BC">
      <w:rPr>
        <w:rStyle w:val="Blue"/>
        <w:b/>
      </w:rPr>
      <w:fldChar w:fldCharType="begin"/>
    </w:r>
    <w:r w:rsidR="007A0DBF" w:rsidRPr="000E73BC">
      <w:rPr>
        <w:rStyle w:val="Blue"/>
        <w:b/>
      </w:rPr>
      <w:instrText xml:space="preserve"> DOCPROPERTY  xBoardLine2  </w:instrText>
    </w:r>
    <w:r w:rsidRPr="000E73BC">
      <w:rPr>
        <w:rStyle w:val="Blue"/>
        <w:b/>
      </w:rPr>
      <w:fldChar w:fldCharType="separate"/>
    </w:r>
    <w:r w:rsidR="00D1374F">
      <w:rPr>
        <w:rStyle w:val="Blue"/>
        <w:b/>
      </w:rPr>
      <w:t>Health Practitioner</w:t>
    </w:r>
    <w:r w:rsidRPr="000E73BC">
      <w:rPr>
        <w:rStyle w:val="Blue"/>
        <w:b/>
      </w:rPr>
      <w:fldChar w:fldCharType="end"/>
    </w:r>
    <w:r w:rsidR="007A0DBF" w:rsidRPr="000E73BC">
      <w:rPr>
        <w:b/>
      </w:rPr>
      <w:t xml:space="preserve"> </w:t>
    </w:r>
    <w:r w:rsidRPr="000E73BC">
      <w:rPr>
        <w:b/>
      </w:rPr>
      <w:fldChar w:fldCharType="begin"/>
    </w:r>
    <w:r w:rsidR="007A0DBF" w:rsidRPr="000E73BC">
      <w:rPr>
        <w:b/>
      </w:rPr>
      <w:instrText xml:space="preserve"> DOCPROPERTY  xBoardLine3  </w:instrText>
    </w:r>
    <w:r w:rsidRPr="000E73BC">
      <w:rPr>
        <w:b/>
      </w:rPr>
      <w:fldChar w:fldCharType="separate"/>
    </w:r>
    <w:r w:rsidR="00D1374F">
      <w:rPr>
        <w:b/>
      </w:rPr>
      <w:t>Regulation Agency</w:t>
    </w:r>
    <w:r w:rsidRPr="000E73BC">
      <w:rPr>
        <w:b/>
      </w:rPr>
      <w:fldChar w:fldCharType="end"/>
    </w:r>
  </w:p>
  <w:p w14:paraId="32EC85D4" w14:textId="77777777" w:rsidR="007A0DBF" w:rsidRPr="004746DB" w:rsidRDefault="007A0DBF" w:rsidP="00FD77AB">
    <w:pPr>
      <w:pStyle w:val="Footer"/>
      <w:ind w:right="-15"/>
    </w:pPr>
    <w:r w:rsidRPr="003251B0">
      <w:t xml:space="preserve">G.P.O. Box 9958   </w:t>
    </w:r>
    <w:r w:rsidRPr="003251B0">
      <w:rPr>
        <w:b/>
        <w:color w:val="007DC3"/>
      </w:rPr>
      <w:t>|</w:t>
    </w:r>
    <w:r w:rsidRPr="003251B0">
      <w:t xml:space="preserve">   </w:t>
    </w:r>
    <w:fldSimple w:instr=" DOCPROPERTY  xOffice  \* MERGEFORMAT ">
      <w:r w:rsidR="00D1374F">
        <w:t>Melbourne VIC 3001</w:t>
      </w:r>
    </w:fldSimple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</w:t>
    </w:r>
    <w:fldSimple w:instr=" DOCPROPERTY  xWeb  \* MERGEFORMAT ">
      <w:r w:rsidR="00D1374F">
        <w:t>www.ahpra.gov.au</w:t>
      </w:r>
    </w:fldSimple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6C010" w14:textId="77777777" w:rsidR="00E94773" w:rsidRDefault="00E94773" w:rsidP="000E7E28">
      <w:r>
        <w:separator/>
      </w:r>
    </w:p>
    <w:p w14:paraId="5082F9BB" w14:textId="77777777" w:rsidR="00E94773" w:rsidRDefault="00E94773"/>
    <w:p w14:paraId="4BB3658E" w14:textId="77777777" w:rsidR="00E94773" w:rsidRDefault="00E94773"/>
  </w:footnote>
  <w:footnote w:type="continuationSeparator" w:id="0">
    <w:p w14:paraId="468EF1D8" w14:textId="77777777" w:rsidR="00E94773" w:rsidRDefault="00E94773" w:rsidP="00FC2881">
      <w:r>
        <w:continuationSeparator/>
      </w:r>
    </w:p>
    <w:p w14:paraId="74E0C0E2" w14:textId="77777777" w:rsidR="00E94773" w:rsidRDefault="00E94773"/>
    <w:p w14:paraId="6D54A100" w14:textId="77777777" w:rsidR="00E94773" w:rsidRDefault="00E94773"/>
    <w:p w14:paraId="62B1636D" w14:textId="77777777" w:rsidR="00E94773" w:rsidRDefault="00E94773"/>
  </w:footnote>
  <w:footnote w:type="continuationNotice" w:id="1">
    <w:p w14:paraId="1BCFD430" w14:textId="77777777" w:rsidR="00E94773" w:rsidRDefault="00E94773"/>
    <w:p w14:paraId="0F0BF1C2" w14:textId="77777777" w:rsidR="00E94773" w:rsidRDefault="00E94773"/>
    <w:p w14:paraId="58465B6B" w14:textId="77777777" w:rsidR="00E94773" w:rsidRDefault="00E94773"/>
  </w:footnote>
  <w:footnote w:id="2">
    <w:p w14:paraId="246B725E" w14:textId="77777777" w:rsidR="00E94773" w:rsidRPr="00137FB5" w:rsidRDefault="00E94773" w:rsidP="00E94773">
      <w:pPr>
        <w:pStyle w:val="FootnoteText"/>
        <w:rPr>
          <w:rFonts w:cs="Arial"/>
          <w:szCs w:val="18"/>
        </w:rPr>
      </w:pPr>
      <w:r w:rsidRPr="00137FB5">
        <w:rPr>
          <w:rStyle w:val="FootnoteReference"/>
          <w:rFonts w:cs="Arial"/>
          <w:szCs w:val="18"/>
        </w:rPr>
        <w:footnoteRef/>
      </w:r>
      <w:r w:rsidRPr="00137FB5">
        <w:rPr>
          <w:rFonts w:cs="Arial"/>
          <w:szCs w:val="18"/>
        </w:rPr>
        <w:t xml:space="preserve"> The </w:t>
      </w:r>
      <w:r w:rsidRPr="00137FB5">
        <w:rPr>
          <w:rFonts w:cs="Arial"/>
          <w:i/>
          <w:szCs w:val="18"/>
        </w:rPr>
        <w:t>National Health Practitioner Regulation Law</w:t>
      </w:r>
      <w:r w:rsidRPr="00137FB5">
        <w:rPr>
          <w:rFonts w:cs="Arial"/>
          <w:szCs w:val="18"/>
        </w:rPr>
        <w:t xml:space="preserve"> as in force in each state and territory.</w:t>
      </w:r>
    </w:p>
  </w:footnote>
  <w:footnote w:id="3">
    <w:p w14:paraId="490F4C80" w14:textId="77777777" w:rsidR="00E94773" w:rsidRDefault="00E94773" w:rsidP="00E94773">
      <w:pPr>
        <w:pStyle w:val="FootnoteText"/>
      </w:pPr>
      <w:r w:rsidRPr="00137FB5">
        <w:rPr>
          <w:rStyle w:val="FootnoteReference"/>
          <w:rFonts w:cs="Arial"/>
          <w:szCs w:val="18"/>
        </w:rPr>
        <w:footnoteRef/>
      </w:r>
      <w:r w:rsidRPr="00137FB5">
        <w:rPr>
          <w:rFonts w:cs="Arial"/>
          <w:szCs w:val="18"/>
        </w:rPr>
        <w:t xml:space="preserve"> Continuing professional development, Professional Indemnity Insurance, Criminal history, English language</w:t>
      </w:r>
      <w:r>
        <w:rPr>
          <w:rFonts w:cs="Arial"/>
          <w:szCs w:val="18"/>
        </w:rPr>
        <w:t xml:space="preserve"> skills</w:t>
      </w:r>
      <w:r w:rsidRPr="00137FB5">
        <w:rPr>
          <w:rFonts w:cs="Arial"/>
          <w:szCs w:val="18"/>
        </w:rPr>
        <w:t xml:space="preserve"> and Recency of practice.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012D" w14:textId="77777777" w:rsidR="002A000E" w:rsidRDefault="002A000E" w:rsidP="002A000E">
    <w:pPr>
      <w:pStyle w:val="Header"/>
      <w:spacing w:after="0"/>
      <w:ind w:right="-37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346C" w14:textId="336BCF07" w:rsidR="007A0DBF" w:rsidRDefault="005F24A0" w:rsidP="005F24A0">
    <w:pPr>
      <w:pStyle w:val="Header"/>
      <w:tabs>
        <w:tab w:val="left" w:pos="6495"/>
        <w:tab w:val="left" w:pos="7215"/>
        <w:tab w:val="left" w:pos="7485"/>
        <w:tab w:val="right" w:pos="9781"/>
      </w:tabs>
      <w:jc w:val="left"/>
    </w:pPr>
    <w:r>
      <w:tab/>
    </w:r>
    <w:r>
      <w:tab/>
    </w:r>
    <w:r>
      <w:tab/>
    </w:r>
    <w:r>
      <w:tab/>
    </w:r>
    <w:r w:rsidR="0090696C" w:rsidRPr="00D043FE">
      <w:rPr>
        <w:lang w:eastAsia="en-AU"/>
      </w:rPr>
      <w:drawing>
        <wp:anchor distT="0" distB="0" distL="114300" distR="114300" simplePos="0" relativeHeight="251659264" behindDoc="1" locked="0" layoutInCell="1" allowOverlap="1" wp14:anchorId="1FF5D002" wp14:editId="28EF63C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707200" cy="1008000"/>
          <wp:effectExtent l="0" t="0" r="0" b="0"/>
          <wp:wrapNone/>
          <wp:docPr id="35" name="Picture 35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ombinedBoards_1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4F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46E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A89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C2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F5D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1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7464F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3" w15:restartNumberingAfterBreak="0">
    <w:nsid w:val="0C037DB3"/>
    <w:multiLevelType w:val="multilevel"/>
    <w:tmpl w:val="2BAE0AF4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156A3506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5" w15:restartNumberingAfterBreak="0">
    <w:nsid w:val="16922706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6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7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8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34A3D"/>
    <w:multiLevelType w:val="hybridMultilevel"/>
    <w:tmpl w:val="9D5EA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2FC6"/>
    <w:multiLevelType w:val="hybridMultilevel"/>
    <w:tmpl w:val="F9DAB818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C7B8B"/>
    <w:multiLevelType w:val="hybridMultilevel"/>
    <w:tmpl w:val="9D5EA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C142C3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24" w15:restartNumberingAfterBreak="0">
    <w:nsid w:val="571E625E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5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7" w15:restartNumberingAfterBreak="0">
    <w:nsid w:val="6ACC55E0"/>
    <w:multiLevelType w:val="hybridMultilevel"/>
    <w:tmpl w:val="859E9746"/>
    <w:lvl w:ilvl="0" w:tplc="49187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044295"/>
    <w:multiLevelType w:val="hybridMultilevel"/>
    <w:tmpl w:val="6338CA24"/>
    <w:lvl w:ilvl="0" w:tplc="3C5E499A">
      <w:start w:val="1"/>
      <w:numFmt w:val="decimal"/>
      <w:pStyle w:val="Bodycontext"/>
      <w:lvlText w:val="%1."/>
      <w:lvlJc w:val="left"/>
      <w:pPr>
        <w:ind w:left="0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856E0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0" w15:restartNumberingAfterBreak="0">
    <w:nsid w:val="7C2610BB"/>
    <w:multiLevelType w:val="hybridMultilevel"/>
    <w:tmpl w:val="E014072C"/>
    <w:lvl w:ilvl="0" w:tplc="3B3C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31660"/>
    <w:multiLevelType w:val="multilevel"/>
    <w:tmpl w:val="E0AA6FF6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29"/>
  </w:num>
  <w:num w:numId="5">
    <w:abstractNumId w:val="23"/>
  </w:num>
  <w:num w:numId="6">
    <w:abstractNumId w:val="10"/>
  </w:num>
  <w:num w:numId="7">
    <w:abstractNumId w:val="15"/>
  </w:num>
  <w:num w:numId="8">
    <w:abstractNumId w:val="19"/>
  </w:num>
  <w:num w:numId="9">
    <w:abstractNumId w:val="30"/>
  </w:num>
  <w:num w:numId="10">
    <w:abstractNumId w:val="24"/>
  </w:num>
  <w:num w:numId="11">
    <w:abstractNumId w:val="13"/>
  </w:num>
  <w:num w:numId="12">
    <w:abstractNumId w:val="12"/>
  </w:num>
  <w:num w:numId="13">
    <w:abstractNumId w:val="31"/>
  </w:num>
  <w:num w:numId="14">
    <w:abstractNumId w:val="26"/>
  </w:num>
  <w:num w:numId="15">
    <w:abstractNumId w:val="25"/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8"/>
  </w:num>
  <w:num w:numId="32">
    <w:abstractNumId w:val="1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18"/>
  </w:num>
  <w:num w:numId="38">
    <w:abstractNumId w:val="16"/>
  </w:num>
  <w:num w:numId="39">
    <w:abstractNumId w:val="17"/>
  </w:num>
  <w:num w:numId="40">
    <w:abstractNumId w:val="28"/>
  </w:num>
  <w:num w:numId="41">
    <w:abstractNumId w:val="17"/>
  </w:num>
  <w:num w:numId="42">
    <w:abstractNumId w:val="20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BodyText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E94773"/>
    <w:rsid w:val="00000033"/>
    <w:rsid w:val="000002E9"/>
    <w:rsid w:val="0000161A"/>
    <w:rsid w:val="00006922"/>
    <w:rsid w:val="00015810"/>
    <w:rsid w:val="00017F92"/>
    <w:rsid w:val="00021C07"/>
    <w:rsid w:val="0002681B"/>
    <w:rsid w:val="00026E6A"/>
    <w:rsid w:val="000334D7"/>
    <w:rsid w:val="00037680"/>
    <w:rsid w:val="00037B6C"/>
    <w:rsid w:val="00037D3E"/>
    <w:rsid w:val="0004470A"/>
    <w:rsid w:val="00044F06"/>
    <w:rsid w:val="00046B93"/>
    <w:rsid w:val="00047B87"/>
    <w:rsid w:val="00060217"/>
    <w:rsid w:val="00064A19"/>
    <w:rsid w:val="00071439"/>
    <w:rsid w:val="000716C1"/>
    <w:rsid w:val="00080C29"/>
    <w:rsid w:val="000854D8"/>
    <w:rsid w:val="000855B3"/>
    <w:rsid w:val="00091D44"/>
    <w:rsid w:val="000945FB"/>
    <w:rsid w:val="00094E04"/>
    <w:rsid w:val="00095444"/>
    <w:rsid w:val="000A6BF7"/>
    <w:rsid w:val="000A767E"/>
    <w:rsid w:val="000A7B81"/>
    <w:rsid w:val="000B4139"/>
    <w:rsid w:val="000B6C34"/>
    <w:rsid w:val="000C1AB8"/>
    <w:rsid w:val="000C512C"/>
    <w:rsid w:val="000D15D2"/>
    <w:rsid w:val="000D5BC4"/>
    <w:rsid w:val="000E2DC1"/>
    <w:rsid w:val="000E2E3D"/>
    <w:rsid w:val="000E3B88"/>
    <w:rsid w:val="000E73BC"/>
    <w:rsid w:val="000E7E28"/>
    <w:rsid w:val="000F5D90"/>
    <w:rsid w:val="0010139F"/>
    <w:rsid w:val="001276C2"/>
    <w:rsid w:val="0014210B"/>
    <w:rsid w:val="00143CC2"/>
    <w:rsid w:val="00144DEF"/>
    <w:rsid w:val="001506FE"/>
    <w:rsid w:val="001602DD"/>
    <w:rsid w:val="001612BA"/>
    <w:rsid w:val="00162013"/>
    <w:rsid w:val="00164F0C"/>
    <w:rsid w:val="001765D0"/>
    <w:rsid w:val="00197251"/>
    <w:rsid w:val="0019772C"/>
    <w:rsid w:val="001B4A46"/>
    <w:rsid w:val="001C2CA5"/>
    <w:rsid w:val="001C3EBD"/>
    <w:rsid w:val="001C425C"/>
    <w:rsid w:val="001D006B"/>
    <w:rsid w:val="001D12A7"/>
    <w:rsid w:val="001D1851"/>
    <w:rsid w:val="001E0A9C"/>
    <w:rsid w:val="001E1937"/>
    <w:rsid w:val="001E1E31"/>
    <w:rsid w:val="001E2849"/>
    <w:rsid w:val="001E310D"/>
    <w:rsid w:val="001E4A94"/>
    <w:rsid w:val="001E5621"/>
    <w:rsid w:val="001E78C5"/>
    <w:rsid w:val="001E7F89"/>
    <w:rsid w:val="001F0320"/>
    <w:rsid w:val="001F0AFD"/>
    <w:rsid w:val="001F25BA"/>
    <w:rsid w:val="001F2B06"/>
    <w:rsid w:val="00201E71"/>
    <w:rsid w:val="0020335C"/>
    <w:rsid w:val="00206C26"/>
    <w:rsid w:val="0021204F"/>
    <w:rsid w:val="00213711"/>
    <w:rsid w:val="00213F25"/>
    <w:rsid w:val="00220A3B"/>
    <w:rsid w:val="00224708"/>
    <w:rsid w:val="00233790"/>
    <w:rsid w:val="00240708"/>
    <w:rsid w:val="002459FB"/>
    <w:rsid w:val="00262151"/>
    <w:rsid w:val="002700B9"/>
    <w:rsid w:val="00275CD5"/>
    <w:rsid w:val="002773BB"/>
    <w:rsid w:val="0028013F"/>
    <w:rsid w:val="00283894"/>
    <w:rsid w:val="002926A9"/>
    <w:rsid w:val="00292B6B"/>
    <w:rsid w:val="00295B44"/>
    <w:rsid w:val="00295FA0"/>
    <w:rsid w:val="002A000E"/>
    <w:rsid w:val="002B2D48"/>
    <w:rsid w:val="002B3208"/>
    <w:rsid w:val="002C08FB"/>
    <w:rsid w:val="002C34EA"/>
    <w:rsid w:val="002C60B2"/>
    <w:rsid w:val="002D384E"/>
    <w:rsid w:val="002E094E"/>
    <w:rsid w:val="002E2176"/>
    <w:rsid w:val="002E4160"/>
    <w:rsid w:val="002E53D8"/>
    <w:rsid w:val="002F100B"/>
    <w:rsid w:val="002F3873"/>
    <w:rsid w:val="002F4C83"/>
    <w:rsid w:val="00303BE1"/>
    <w:rsid w:val="003043CC"/>
    <w:rsid w:val="0030487C"/>
    <w:rsid w:val="003050FA"/>
    <w:rsid w:val="00305AFC"/>
    <w:rsid w:val="00306870"/>
    <w:rsid w:val="0031290C"/>
    <w:rsid w:val="00316920"/>
    <w:rsid w:val="00333985"/>
    <w:rsid w:val="003354E4"/>
    <w:rsid w:val="00341318"/>
    <w:rsid w:val="003459DE"/>
    <w:rsid w:val="00353D8A"/>
    <w:rsid w:val="00354BF5"/>
    <w:rsid w:val="00362071"/>
    <w:rsid w:val="0036498C"/>
    <w:rsid w:val="0037393E"/>
    <w:rsid w:val="0037520E"/>
    <w:rsid w:val="00376658"/>
    <w:rsid w:val="00385923"/>
    <w:rsid w:val="0038620E"/>
    <w:rsid w:val="00387617"/>
    <w:rsid w:val="00393C57"/>
    <w:rsid w:val="003A6663"/>
    <w:rsid w:val="003B1B7E"/>
    <w:rsid w:val="003D37B9"/>
    <w:rsid w:val="003D6DBD"/>
    <w:rsid w:val="003E00B5"/>
    <w:rsid w:val="003E3268"/>
    <w:rsid w:val="003E5071"/>
    <w:rsid w:val="003F2F06"/>
    <w:rsid w:val="003F3768"/>
    <w:rsid w:val="00405A61"/>
    <w:rsid w:val="00405C0A"/>
    <w:rsid w:val="00414F2C"/>
    <w:rsid w:val="00421B4D"/>
    <w:rsid w:val="00423E17"/>
    <w:rsid w:val="0043748A"/>
    <w:rsid w:val="00442124"/>
    <w:rsid w:val="00445590"/>
    <w:rsid w:val="00450B34"/>
    <w:rsid w:val="004606A7"/>
    <w:rsid w:val="00461C91"/>
    <w:rsid w:val="00462CF2"/>
    <w:rsid w:val="00463A7D"/>
    <w:rsid w:val="004746DB"/>
    <w:rsid w:val="00476845"/>
    <w:rsid w:val="004928C6"/>
    <w:rsid w:val="004A5E5D"/>
    <w:rsid w:val="004A78AB"/>
    <w:rsid w:val="004B5E85"/>
    <w:rsid w:val="004B747B"/>
    <w:rsid w:val="004C28C6"/>
    <w:rsid w:val="004C6889"/>
    <w:rsid w:val="004D743D"/>
    <w:rsid w:val="004D7537"/>
    <w:rsid w:val="004E3901"/>
    <w:rsid w:val="004F1724"/>
    <w:rsid w:val="004F4B61"/>
    <w:rsid w:val="004F4FFD"/>
    <w:rsid w:val="004F5811"/>
    <w:rsid w:val="004F5C05"/>
    <w:rsid w:val="00500E02"/>
    <w:rsid w:val="0050263B"/>
    <w:rsid w:val="00506D4F"/>
    <w:rsid w:val="005103F4"/>
    <w:rsid w:val="00513666"/>
    <w:rsid w:val="00521619"/>
    <w:rsid w:val="00523BFC"/>
    <w:rsid w:val="00536208"/>
    <w:rsid w:val="0053749F"/>
    <w:rsid w:val="005412EC"/>
    <w:rsid w:val="00546C3A"/>
    <w:rsid w:val="00553A4C"/>
    <w:rsid w:val="00554335"/>
    <w:rsid w:val="005565CE"/>
    <w:rsid w:val="005708AE"/>
    <w:rsid w:val="0057093E"/>
    <w:rsid w:val="005711E0"/>
    <w:rsid w:val="005816B4"/>
    <w:rsid w:val="00583AAD"/>
    <w:rsid w:val="005869C7"/>
    <w:rsid w:val="00593C13"/>
    <w:rsid w:val="00594A1B"/>
    <w:rsid w:val="005A0FA9"/>
    <w:rsid w:val="005A78AC"/>
    <w:rsid w:val="005B4DA9"/>
    <w:rsid w:val="005B4F22"/>
    <w:rsid w:val="005C1DD4"/>
    <w:rsid w:val="005C5932"/>
    <w:rsid w:val="005C5DFF"/>
    <w:rsid w:val="005C6817"/>
    <w:rsid w:val="005E2917"/>
    <w:rsid w:val="005E3457"/>
    <w:rsid w:val="005E3688"/>
    <w:rsid w:val="005F24A0"/>
    <w:rsid w:val="005F30E1"/>
    <w:rsid w:val="005F4845"/>
    <w:rsid w:val="006075BD"/>
    <w:rsid w:val="00616043"/>
    <w:rsid w:val="00620ADC"/>
    <w:rsid w:val="00623CAA"/>
    <w:rsid w:val="00624930"/>
    <w:rsid w:val="006277AF"/>
    <w:rsid w:val="00627B20"/>
    <w:rsid w:val="00627E73"/>
    <w:rsid w:val="00630DEE"/>
    <w:rsid w:val="0064047A"/>
    <w:rsid w:val="00640B2C"/>
    <w:rsid w:val="0064245E"/>
    <w:rsid w:val="006549DA"/>
    <w:rsid w:val="00654FC8"/>
    <w:rsid w:val="00661D95"/>
    <w:rsid w:val="00662594"/>
    <w:rsid w:val="00667CAD"/>
    <w:rsid w:val="00681D5E"/>
    <w:rsid w:val="0068203A"/>
    <w:rsid w:val="0068314E"/>
    <w:rsid w:val="0068396D"/>
    <w:rsid w:val="0069168C"/>
    <w:rsid w:val="006951A5"/>
    <w:rsid w:val="006A32D2"/>
    <w:rsid w:val="006B16AC"/>
    <w:rsid w:val="006B5ECF"/>
    <w:rsid w:val="006C0257"/>
    <w:rsid w:val="006C0E29"/>
    <w:rsid w:val="006C18F0"/>
    <w:rsid w:val="006D30FE"/>
    <w:rsid w:val="006D3757"/>
    <w:rsid w:val="006E1A3F"/>
    <w:rsid w:val="006F52B1"/>
    <w:rsid w:val="006F6EE1"/>
    <w:rsid w:val="006F7348"/>
    <w:rsid w:val="006F796D"/>
    <w:rsid w:val="0070155F"/>
    <w:rsid w:val="00704F1F"/>
    <w:rsid w:val="0070795B"/>
    <w:rsid w:val="00710097"/>
    <w:rsid w:val="00712036"/>
    <w:rsid w:val="00720DB0"/>
    <w:rsid w:val="007223A2"/>
    <w:rsid w:val="00727048"/>
    <w:rsid w:val="00733DAE"/>
    <w:rsid w:val="007372A4"/>
    <w:rsid w:val="00741B04"/>
    <w:rsid w:val="007432A4"/>
    <w:rsid w:val="00744B80"/>
    <w:rsid w:val="0076115C"/>
    <w:rsid w:val="00765A23"/>
    <w:rsid w:val="007664F3"/>
    <w:rsid w:val="007824B8"/>
    <w:rsid w:val="007832A2"/>
    <w:rsid w:val="00785670"/>
    <w:rsid w:val="0079197C"/>
    <w:rsid w:val="00792A91"/>
    <w:rsid w:val="007945CF"/>
    <w:rsid w:val="0079735C"/>
    <w:rsid w:val="007A0DBF"/>
    <w:rsid w:val="007A35B9"/>
    <w:rsid w:val="007A7D9E"/>
    <w:rsid w:val="007B773E"/>
    <w:rsid w:val="007B77D6"/>
    <w:rsid w:val="007C0B6E"/>
    <w:rsid w:val="007C333B"/>
    <w:rsid w:val="007C43D8"/>
    <w:rsid w:val="007C4766"/>
    <w:rsid w:val="007D0556"/>
    <w:rsid w:val="007D4836"/>
    <w:rsid w:val="007E215A"/>
    <w:rsid w:val="007E2725"/>
    <w:rsid w:val="007E2C84"/>
    <w:rsid w:val="007E3545"/>
    <w:rsid w:val="007E56CB"/>
    <w:rsid w:val="007E59E0"/>
    <w:rsid w:val="007E7B12"/>
    <w:rsid w:val="007F0095"/>
    <w:rsid w:val="00801E9C"/>
    <w:rsid w:val="008022D6"/>
    <w:rsid w:val="008104C2"/>
    <w:rsid w:val="00812DED"/>
    <w:rsid w:val="00813B57"/>
    <w:rsid w:val="00824427"/>
    <w:rsid w:val="00825AE0"/>
    <w:rsid w:val="008338F7"/>
    <w:rsid w:val="00836397"/>
    <w:rsid w:val="00845054"/>
    <w:rsid w:val="0084692E"/>
    <w:rsid w:val="00852D1C"/>
    <w:rsid w:val="008531C9"/>
    <w:rsid w:val="00853A6B"/>
    <w:rsid w:val="00856147"/>
    <w:rsid w:val="008567AE"/>
    <w:rsid w:val="00860F40"/>
    <w:rsid w:val="008615C9"/>
    <w:rsid w:val="00862C03"/>
    <w:rsid w:val="00864020"/>
    <w:rsid w:val="0087000E"/>
    <w:rsid w:val="00870052"/>
    <w:rsid w:val="00877659"/>
    <w:rsid w:val="008811D6"/>
    <w:rsid w:val="008850DC"/>
    <w:rsid w:val="00890572"/>
    <w:rsid w:val="00891254"/>
    <w:rsid w:val="008979D5"/>
    <w:rsid w:val="008A4C3B"/>
    <w:rsid w:val="008B2AD7"/>
    <w:rsid w:val="008C0EB7"/>
    <w:rsid w:val="008C28C3"/>
    <w:rsid w:val="008C2C82"/>
    <w:rsid w:val="008C4CC2"/>
    <w:rsid w:val="008D4206"/>
    <w:rsid w:val="008D4908"/>
    <w:rsid w:val="008D6B7E"/>
    <w:rsid w:val="008D7845"/>
    <w:rsid w:val="008E4B99"/>
    <w:rsid w:val="008E7121"/>
    <w:rsid w:val="008F51C3"/>
    <w:rsid w:val="0090696C"/>
    <w:rsid w:val="0091541F"/>
    <w:rsid w:val="009226B7"/>
    <w:rsid w:val="00923B23"/>
    <w:rsid w:val="0092442B"/>
    <w:rsid w:val="00931E60"/>
    <w:rsid w:val="0093356B"/>
    <w:rsid w:val="00937ED0"/>
    <w:rsid w:val="00952797"/>
    <w:rsid w:val="009552AD"/>
    <w:rsid w:val="00962BBE"/>
    <w:rsid w:val="00967F43"/>
    <w:rsid w:val="0097049B"/>
    <w:rsid w:val="00975A29"/>
    <w:rsid w:val="009777D3"/>
    <w:rsid w:val="00981019"/>
    <w:rsid w:val="009859E6"/>
    <w:rsid w:val="00996BFC"/>
    <w:rsid w:val="009A0A5D"/>
    <w:rsid w:val="009B2EB5"/>
    <w:rsid w:val="009C0BBF"/>
    <w:rsid w:val="009C6933"/>
    <w:rsid w:val="009C6957"/>
    <w:rsid w:val="009D1FCF"/>
    <w:rsid w:val="009D4F20"/>
    <w:rsid w:val="009F1A85"/>
    <w:rsid w:val="009F3ACB"/>
    <w:rsid w:val="009F3AEA"/>
    <w:rsid w:val="009F438F"/>
    <w:rsid w:val="009F6052"/>
    <w:rsid w:val="009F73E6"/>
    <w:rsid w:val="00A00917"/>
    <w:rsid w:val="00A00BB0"/>
    <w:rsid w:val="00A04C7A"/>
    <w:rsid w:val="00A058E5"/>
    <w:rsid w:val="00A05E19"/>
    <w:rsid w:val="00A06561"/>
    <w:rsid w:val="00A10C1A"/>
    <w:rsid w:val="00A2072E"/>
    <w:rsid w:val="00A20E34"/>
    <w:rsid w:val="00A213E2"/>
    <w:rsid w:val="00A237BB"/>
    <w:rsid w:val="00A2660A"/>
    <w:rsid w:val="00A318AA"/>
    <w:rsid w:val="00A36B03"/>
    <w:rsid w:val="00A46D93"/>
    <w:rsid w:val="00A5033E"/>
    <w:rsid w:val="00A509AB"/>
    <w:rsid w:val="00A5225F"/>
    <w:rsid w:val="00A56C8F"/>
    <w:rsid w:val="00A63C57"/>
    <w:rsid w:val="00A65C6A"/>
    <w:rsid w:val="00A70173"/>
    <w:rsid w:val="00A7596A"/>
    <w:rsid w:val="00A82078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B038F"/>
    <w:rsid w:val="00AB146F"/>
    <w:rsid w:val="00AB283D"/>
    <w:rsid w:val="00AC3D63"/>
    <w:rsid w:val="00AC754A"/>
    <w:rsid w:val="00AD312E"/>
    <w:rsid w:val="00AD4B09"/>
    <w:rsid w:val="00AE1495"/>
    <w:rsid w:val="00AE2230"/>
    <w:rsid w:val="00AE3EAF"/>
    <w:rsid w:val="00AF2B73"/>
    <w:rsid w:val="00AF4A0E"/>
    <w:rsid w:val="00AF5B55"/>
    <w:rsid w:val="00B00D5D"/>
    <w:rsid w:val="00B024B0"/>
    <w:rsid w:val="00B0286D"/>
    <w:rsid w:val="00B0321C"/>
    <w:rsid w:val="00B07433"/>
    <w:rsid w:val="00B11E76"/>
    <w:rsid w:val="00B15642"/>
    <w:rsid w:val="00B16755"/>
    <w:rsid w:val="00B2529B"/>
    <w:rsid w:val="00B3239A"/>
    <w:rsid w:val="00B34EDA"/>
    <w:rsid w:val="00B41762"/>
    <w:rsid w:val="00B473EF"/>
    <w:rsid w:val="00B47520"/>
    <w:rsid w:val="00B51748"/>
    <w:rsid w:val="00B57198"/>
    <w:rsid w:val="00B61F0F"/>
    <w:rsid w:val="00B66C89"/>
    <w:rsid w:val="00B66F64"/>
    <w:rsid w:val="00B73F57"/>
    <w:rsid w:val="00B76387"/>
    <w:rsid w:val="00B82910"/>
    <w:rsid w:val="00B85023"/>
    <w:rsid w:val="00B91852"/>
    <w:rsid w:val="00B95029"/>
    <w:rsid w:val="00BA2456"/>
    <w:rsid w:val="00BA261B"/>
    <w:rsid w:val="00BA469B"/>
    <w:rsid w:val="00BA50A0"/>
    <w:rsid w:val="00BA7E28"/>
    <w:rsid w:val="00BB4A5B"/>
    <w:rsid w:val="00BC1A68"/>
    <w:rsid w:val="00BC2244"/>
    <w:rsid w:val="00BC5E94"/>
    <w:rsid w:val="00BC78A3"/>
    <w:rsid w:val="00BD1554"/>
    <w:rsid w:val="00BF1365"/>
    <w:rsid w:val="00BF2534"/>
    <w:rsid w:val="00BF4ABF"/>
    <w:rsid w:val="00BF79DC"/>
    <w:rsid w:val="00C20513"/>
    <w:rsid w:val="00C35DE1"/>
    <w:rsid w:val="00C35DF3"/>
    <w:rsid w:val="00C3795C"/>
    <w:rsid w:val="00C524AA"/>
    <w:rsid w:val="00C54689"/>
    <w:rsid w:val="00C76587"/>
    <w:rsid w:val="00C808E4"/>
    <w:rsid w:val="00C81B3A"/>
    <w:rsid w:val="00C92CC8"/>
    <w:rsid w:val="00C933A7"/>
    <w:rsid w:val="00C93A3E"/>
    <w:rsid w:val="00C9657C"/>
    <w:rsid w:val="00CA71A1"/>
    <w:rsid w:val="00CB26F9"/>
    <w:rsid w:val="00CB585F"/>
    <w:rsid w:val="00CB6949"/>
    <w:rsid w:val="00CB6C08"/>
    <w:rsid w:val="00CD0DCA"/>
    <w:rsid w:val="00CD2031"/>
    <w:rsid w:val="00CD7EB8"/>
    <w:rsid w:val="00CE0AFA"/>
    <w:rsid w:val="00CE7759"/>
    <w:rsid w:val="00CF53B1"/>
    <w:rsid w:val="00CF7A38"/>
    <w:rsid w:val="00D02326"/>
    <w:rsid w:val="00D027F0"/>
    <w:rsid w:val="00D03971"/>
    <w:rsid w:val="00D043FE"/>
    <w:rsid w:val="00D12F61"/>
    <w:rsid w:val="00D1374F"/>
    <w:rsid w:val="00D16224"/>
    <w:rsid w:val="00D201C6"/>
    <w:rsid w:val="00D20413"/>
    <w:rsid w:val="00D2091C"/>
    <w:rsid w:val="00D23C0C"/>
    <w:rsid w:val="00D31835"/>
    <w:rsid w:val="00D33992"/>
    <w:rsid w:val="00D638E0"/>
    <w:rsid w:val="00D716BA"/>
    <w:rsid w:val="00D73083"/>
    <w:rsid w:val="00D80E9A"/>
    <w:rsid w:val="00D828BD"/>
    <w:rsid w:val="00D8404D"/>
    <w:rsid w:val="00D934A4"/>
    <w:rsid w:val="00D93AE3"/>
    <w:rsid w:val="00D93F67"/>
    <w:rsid w:val="00D975C3"/>
    <w:rsid w:val="00DA3013"/>
    <w:rsid w:val="00DA33BB"/>
    <w:rsid w:val="00DA69A8"/>
    <w:rsid w:val="00DA707C"/>
    <w:rsid w:val="00DB1963"/>
    <w:rsid w:val="00DB698F"/>
    <w:rsid w:val="00DC2952"/>
    <w:rsid w:val="00DC5407"/>
    <w:rsid w:val="00DD0666"/>
    <w:rsid w:val="00DD579C"/>
    <w:rsid w:val="00DE3B70"/>
    <w:rsid w:val="00DE7713"/>
    <w:rsid w:val="00DF1AB7"/>
    <w:rsid w:val="00DF1EE9"/>
    <w:rsid w:val="00DF3E79"/>
    <w:rsid w:val="00DF53FB"/>
    <w:rsid w:val="00DF7974"/>
    <w:rsid w:val="00E033F4"/>
    <w:rsid w:val="00E06DAE"/>
    <w:rsid w:val="00E075B6"/>
    <w:rsid w:val="00E07C02"/>
    <w:rsid w:val="00E122CD"/>
    <w:rsid w:val="00E1254E"/>
    <w:rsid w:val="00E12B06"/>
    <w:rsid w:val="00E13887"/>
    <w:rsid w:val="00E15BF6"/>
    <w:rsid w:val="00E165A9"/>
    <w:rsid w:val="00E27505"/>
    <w:rsid w:val="00E37FB9"/>
    <w:rsid w:val="00E40577"/>
    <w:rsid w:val="00E5170F"/>
    <w:rsid w:val="00E54878"/>
    <w:rsid w:val="00E61C81"/>
    <w:rsid w:val="00E63241"/>
    <w:rsid w:val="00E6377B"/>
    <w:rsid w:val="00E65B9D"/>
    <w:rsid w:val="00E704C0"/>
    <w:rsid w:val="00E71CB9"/>
    <w:rsid w:val="00E7357F"/>
    <w:rsid w:val="00E73698"/>
    <w:rsid w:val="00E74923"/>
    <w:rsid w:val="00E75ACD"/>
    <w:rsid w:val="00E75DFA"/>
    <w:rsid w:val="00E77E23"/>
    <w:rsid w:val="00E81D5B"/>
    <w:rsid w:val="00E8251C"/>
    <w:rsid w:val="00E844A0"/>
    <w:rsid w:val="00E866F6"/>
    <w:rsid w:val="00E91037"/>
    <w:rsid w:val="00E93DF0"/>
    <w:rsid w:val="00E94773"/>
    <w:rsid w:val="00EA18D5"/>
    <w:rsid w:val="00EA3B57"/>
    <w:rsid w:val="00EB2EE1"/>
    <w:rsid w:val="00EB7A6C"/>
    <w:rsid w:val="00ED210E"/>
    <w:rsid w:val="00ED56F0"/>
    <w:rsid w:val="00ED61A9"/>
    <w:rsid w:val="00EE2563"/>
    <w:rsid w:val="00EF1AA8"/>
    <w:rsid w:val="00EF22D0"/>
    <w:rsid w:val="00F10E67"/>
    <w:rsid w:val="00F13ED2"/>
    <w:rsid w:val="00F157B8"/>
    <w:rsid w:val="00F26015"/>
    <w:rsid w:val="00F267B4"/>
    <w:rsid w:val="00F27ACB"/>
    <w:rsid w:val="00F35321"/>
    <w:rsid w:val="00F3616F"/>
    <w:rsid w:val="00F42509"/>
    <w:rsid w:val="00F47E23"/>
    <w:rsid w:val="00F5217A"/>
    <w:rsid w:val="00F6040B"/>
    <w:rsid w:val="00F6618F"/>
    <w:rsid w:val="00F6749B"/>
    <w:rsid w:val="00F67D28"/>
    <w:rsid w:val="00F70DD5"/>
    <w:rsid w:val="00F73165"/>
    <w:rsid w:val="00F75E40"/>
    <w:rsid w:val="00F809BF"/>
    <w:rsid w:val="00F90BCE"/>
    <w:rsid w:val="00F95CA2"/>
    <w:rsid w:val="00FA6521"/>
    <w:rsid w:val="00FB0DB4"/>
    <w:rsid w:val="00FB531F"/>
    <w:rsid w:val="00FC2881"/>
    <w:rsid w:val="00FC6B27"/>
    <w:rsid w:val="00FD39A0"/>
    <w:rsid w:val="00FD77AB"/>
    <w:rsid w:val="00FD7DC1"/>
    <w:rsid w:val="00FE5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A6411E"/>
  <w15:docId w15:val="{CE11EA24-ECA8-4BE2-A034-657D2CF0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99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99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99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28BD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1"/>
    <w:rsid w:val="00C20513"/>
    <w:pPr>
      <w:keepNext/>
      <w:spacing w:before="200" w:after="200"/>
      <w:outlineLvl w:val="0"/>
    </w:pPr>
    <w:rPr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1"/>
    <w:qFormat/>
    <w:rsid w:val="00785670"/>
    <w:pPr>
      <w:keepNext/>
      <w:spacing w:before="240" w:after="200"/>
      <w:outlineLvl w:val="1"/>
    </w:pPr>
    <w:rPr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1"/>
    <w:qFormat/>
    <w:rsid w:val="00785670"/>
    <w:pPr>
      <w:keepNext/>
      <w:spacing w:before="240" w:after="200"/>
      <w:outlineLvl w:val="2"/>
    </w:pPr>
    <w:rPr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1"/>
    <w:qFormat/>
    <w:rsid w:val="00785670"/>
    <w:pPr>
      <w:keepNext/>
      <w:spacing w:before="200" w:after="200"/>
      <w:outlineLvl w:val="3"/>
    </w:pPr>
    <w:rPr>
      <w:rFonts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1"/>
    <w:qFormat/>
    <w:rsid w:val="008022D6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1"/>
    <w:qFormat/>
    <w:rsid w:val="008022D6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56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5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39A"/>
    <w:rPr>
      <w:noProof/>
      <w:color w:val="5F6062"/>
      <w:sz w:val="32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B82910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uiPriority w:val="9"/>
    <w:semiHidden/>
    <w:qFormat/>
    <w:rsid w:val="00785670"/>
    <w:rPr>
      <w:noProof/>
      <w:color w:val="007DC3"/>
      <w:lang w:val="en-AU"/>
    </w:rPr>
  </w:style>
  <w:style w:type="numbering" w:customStyle="1" w:styleId="AHPRABullets">
    <w:name w:val="AHPRA Bullets"/>
    <w:uiPriority w:val="99"/>
    <w:rsid w:val="00E81D5B"/>
    <w:pPr>
      <w:numPr>
        <w:numId w:val="17"/>
      </w:numPr>
    </w:pPr>
  </w:style>
  <w:style w:type="paragraph" w:customStyle="1" w:styleId="BodyTextBullets">
    <w:name w:val="Body Text Bullets"/>
    <w:uiPriority w:val="1"/>
    <w:qFormat/>
    <w:rsid w:val="006F6EE1"/>
    <w:pPr>
      <w:numPr>
        <w:numId w:val="17"/>
      </w:numPr>
      <w:spacing w:after="120"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63241"/>
    <w:pPr>
      <w:numPr>
        <w:numId w:val="39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white"/>
    <w:uiPriority w:val="8"/>
    <w:rsid w:val="001D12A7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rsid w:val="00D828BD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3239A"/>
    <w:rPr>
      <w:noProof/>
      <w:color w:val="000000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1"/>
    <w:semiHidden/>
    <w:rsid w:val="0024070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240708"/>
    <w:rPr>
      <w:noProof/>
      <w:sz w:val="24"/>
      <w:szCs w:val="24"/>
      <w:lang w:val="en-AU"/>
    </w:rPr>
  </w:style>
  <w:style w:type="paragraph" w:styleId="FootnoteText">
    <w:name w:val="footnote text"/>
    <w:link w:val="FootnoteTextChar"/>
    <w:uiPriority w:val="99"/>
    <w:unhideWhenUsed/>
    <w:rsid w:val="00091D44"/>
    <w:pPr>
      <w:spacing w:after="120"/>
    </w:pPr>
    <w:rPr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E04"/>
    <w:rPr>
      <w:noProof/>
      <w:sz w:val="18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B34EDA"/>
    <w:rPr>
      <w:rFonts w:ascii="Arial" w:hAnsi="Arial"/>
      <w:noProof/>
      <w:color w:val="auto"/>
      <w:sz w:val="18"/>
      <w:vertAlign w:val="superscript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3239A"/>
    <w:rPr>
      <w:b/>
      <w:noProof/>
      <w:color w:val="007DC3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semiHidden/>
    <w:rsid w:val="00A94DF4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1">
    <w:name w:val="toc 1"/>
    <w:next w:val="Normal"/>
    <w:autoRedefine/>
    <w:uiPriority w:val="39"/>
    <w:semiHidden/>
    <w:rsid w:val="000D15D2"/>
    <w:pPr>
      <w:tabs>
        <w:tab w:val="right" w:leader="dot" w:pos="9488"/>
      </w:tabs>
    </w:pPr>
    <w:rPr>
      <w:b/>
      <w:noProof/>
      <w:color w:val="007DC3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A94DF4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character" w:styleId="Hyperlink">
    <w:name w:val="Hyperlink"/>
    <w:uiPriority w:val="99"/>
    <w:rsid w:val="00E73698"/>
    <w:rPr>
      <w:noProof/>
      <w:color w:val="0000FF"/>
      <w:u w:val="single"/>
      <w:lang w:val="en-AU"/>
    </w:rPr>
  </w:style>
  <w:style w:type="paragraph" w:customStyle="1" w:styleId="Tabletext">
    <w:name w:val="Table text"/>
    <w:uiPriority w:val="9"/>
    <w:rsid w:val="001D12A7"/>
    <w:pPr>
      <w:spacing w:before="80" w:after="80"/>
      <w:ind w:left="113" w:right="113"/>
    </w:pPr>
    <w:rPr>
      <w:rFonts w:cs="Arial"/>
      <w:noProof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828BD"/>
    <w:rPr>
      <w:rFonts w:ascii="Tahoma" w:eastAsia="Times New Roman" w:hAnsi="Tahoma" w:cs="Tahoma"/>
      <w:noProof/>
      <w:sz w:val="16"/>
      <w:szCs w:val="16"/>
      <w:lang w:val="en-AU" w:eastAsia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785670"/>
    <w:rPr>
      <w:rFonts w:ascii="Arial" w:hAnsi="Arial" w:cs="Arial"/>
      <w:noProof/>
      <w:sz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28BD"/>
    <w:rPr>
      <w:rFonts w:cs="Arial"/>
      <w:noProof/>
      <w:color w:val="5F6062"/>
      <w:sz w:val="18"/>
      <w:lang w:val="en-AU"/>
    </w:rPr>
  </w:style>
  <w:style w:type="numbering" w:customStyle="1" w:styleId="AHPRAHeadings">
    <w:name w:val="AHPRA Headings"/>
    <w:uiPriority w:val="99"/>
    <w:rsid w:val="00C20513"/>
    <w:pPr>
      <w:numPr>
        <w:numId w:val="15"/>
      </w:numPr>
    </w:pPr>
  </w:style>
  <w:style w:type="paragraph" w:styleId="TOCHeading">
    <w:name w:val="TOC Heading"/>
    <w:basedOn w:val="Normal"/>
    <w:next w:val="Normal"/>
    <w:uiPriority w:val="39"/>
    <w:semiHidden/>
    <w:rsid w:val="005E3457"/>
    <w:pPr>
      <w:keepLines/>
      <w:spacing w:before="480" w:line="276" w:lineRule="auto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eastAsia="Times New Roman" w:hAnsi="Tahoma" w:cs="Tahoma"/>
      <w:noProof/>
      <w:sz w:val="16"/>
      <w:szCs w:val="16"/>
      <w:lang w:val="en-AU" w:eastAsia="en-AU"/>
    </w:rPr>
  </w:style>
  <w:style w:type="numbering" w:customStyle="1" w:styleId="AHPRAlist">
    <w:name w:val="AHPRA list"/>
    <w:uiPriority w:val="99"/>
    <w:rsid w:val="009F6052"/>
    <w:pPr>
      <w:numPr>
        <w:numId w:val="14"/>
      </w:numPr>
    </w:pPr>
  </w:style>
  <w:style w:type="paragraph" w:styleId="BodyText">
    <w:name w:val="Body Text"/>
    <w:basedOn w:val="Normal"/>
    <w:link w:val="BodyTextChar"/>
    <w:qFormat/>
    <w:rsid w:val="008022D6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473EF"/>
    <w:rPr>
      <w:rFonts w:cs="Arial"/>
      <w:noProof/>
      <w:szCs w:val="24"/>
      <w:lang w:val="en-AU"/>
    </w:rPr>
  </w:style>
  <w:style w:type="paragraph" w:customStyle="1" w:styleId="Tableheadingblack">
    <w:name w:val="Table heading black"/>
    <w:basedOn w:val="Tableheadingwhite"/>
    <w:uiPriority w:val="8"/>
    <w:qFormat/>
    <w:rsid w:val="00785670"/>
    <w:rPr>
      <w:color w:val="000000"/>
    </w:rPr>
  </w:style>
  <w:style w:type="paragraph" w:customStyle="1" w:styleId="TableBullet1">
    <w:name w:val="Table Bullet 1"/>
    <w:uiPriority w:val="10"/>
    <w:qFormat/>
    <w:rsid w:val="00785670"/>
    <w:pPr>
      <w:numPr>
        <w:numId w:val="37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785670"/>
    <w:pPr>
      <w:numPr>
        <w:ilvl w:val="1"/>
        <w:numId w:val="37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785670"/>
    <w:pPr>
      <w:numPr>
        <w:ilvl w:val="2"/>
        <w:numId w:val="37"/>
      </w:numPr>
      <w:spacing w:before="80" w:after="80"/>
      <w:ind w:right="113"/>
    </w:pPr>
    <w:rPr>
      <w:noProof/>
      <w:szCs w:val="24"/>
      <w:lang w:val="en-AU"/>
    </w:rPr>
  </w:style>
  <w:style w:type="numbering" w:customStyle="1" w:styleId="AHPRATableBullets">
    <w:name w:val="AHPRA Table Bullets"/>
    <w:uiPriority w:val="99"/>
    <w:rsid w:val="00DC5407"/>
    <w:pPr>
      <w:numPr>
        <w:numId w:val="19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styleId="FollowedHyperlink">
    <w:name w:val="FollowedHyperlink"/>
    <w:basedOn w:val="DefaultParagraphFont"/>
    <w:uiPriority w:val="1"/>
    <w:semiHidden/>
    <w:unhideWhenUsed/>
    <w:rsid w:val="0037393E"/>
    <w:rPr>
      <w:noProof/>
      <w:color w:val="5F6062" w:themeColor="followedHyperlink"/>
      <w:u w:val="single"/>
      <w:lang w:val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785670"/>
    <w:pPr>
      <w:spacing w:after="200"/>
    </w:pPr>
    <w:rPr>
      <w:b/>
      <w:bCs/>
      <w:color w:val="007DC3" w:themeColor="accent1"/>
      <w:sz w:val="18"/>
      <w:szCs w:val="18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6549D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6549DA"/>
    <w:rPr>
      <w:rFonts w:eastAsia="Times New Roman" w:cs="Arial"/>
      <w:b/>
      <w:bCs/>
      <w:noProof/>
      <w:lang w:val="en-AU" w:eastAsia="en-AU"/>
    </w:rPr>
  </w:style>
  <w:style w:type="paragraph" w:styleId="Date">
    <w:name w:val="Date"/>
    <w:basedOn w:val="Normal"/>
    <w:next w:val="Normal"/>
    <w:link w:val="DateChar"/>
    <w:uiPriority w:val="1"/>
    <w:unhideWhenUsed/>
    <w:rsid w:val="0036498C"/>
    <w:rPr>
      <w:sz w:val="20"/>
    </w:rPr>
  </w:style>
  <w:style w:type="character" w:customStyle="1" w:styleId="DateChar">
    <w:name w:val="Date Char"/>
    <w:basedOn w:val="DefaultParagraphFont"/>
    <w:link w:val="Date"/>
    <w:uiPriority w:val="1"/>
    <w:rsid w:val="0036498C"/>
    <w:rPr>
      <w:rFonts w:eastAsia="Times New Roman" w:cs="Arial"/>
      <w:noProof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37393E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373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7393E"/>
    <w:rPr>
      <w:rFonts w:eastAsia="Times New Roman" w:cs="Arial"/>
      <w:noProof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B3239A"/>
    <w:rPr>
      <w:rFonts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B3239A"/>
    <w:rPr>
      <w:rFonts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B3239A"/>
    <w:rPr>
      <w:rFonts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85670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3739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37393E"/>
    <w:rPr>
      <w:rFonts w:eastAsia="Times New Roman" w:cs="Arial"/>
      <w:i/>
      <w:iCs/>
      <w:noProof/>
      <w:sz w:val="22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3739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37393E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37393E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37393E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37393E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37393E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37393E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37393E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37393E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37393E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3739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37393E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37393E"/>
    <w:rPr>
      <w:rFonts w:eastAsia="Times New Roman"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paragraph" w:styleId="List">
    <w:name w:val="List"/>
    <w:basedOn w:val="Normal"/>
    <w:uiPriority w:val="1"/>
    <w:semiHidden/>
    <w:unhideWhenUsed/>
    <w:rsid w:val="0037393E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37393E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37393E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37393E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37393E"/>
    <w:pPr>
      <w:ind w:left="1415" w:hanging="283"/>
      <w:contextualSpacing/>
    </w:pPr>
  </w:style>
  <w:style w:type="paragraph" w:styleId="ListBullet">
    <w:name w:val="List Bullet"/>
    <w:uiPriority w:val="2"/>
    <w:rsid w:val="00E63241"/>
    <w:pPr>
      <w:numPr>
        <w:numId w:val="39"/>
      </w:numPr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37393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37393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3739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3739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3739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3739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37393E"/>
    <w:pPr>
      <w:spacing w:after="120"/>
      <w:ind w:left="1415"/>
      <w:contextualSpacing/>
    </w:pPr>
  </w:style>
  <w:style w:type="paragraph" w:styleId="ListNumber">
    <w:name w:val="List Number"/>
    <w:uiPriority w:val="1"/>
    <w:rsid w:val="008022D6"/>
    <w:pPr>
      <w:numPr>
        <w:numId w:val="38"/>
      </w:numPr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37393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1"/>
    <w:semiHidden/>
    <w:rsid w:val="0037393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37393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37393E"/>
    <w:pPr>
      <w:numPr>
        <w:numId w:val="29"/>
      </w:numPr>
      <w:contextualSpacing/>
    </w:pPr>
  </w:style>
  <w:style w:type="paragraph" w:styleId="MacroText">
    <w:name w:val="macro"/>
    <w:link w:val="MacroTextChar"/>
    <w:uiPriority w:val="1"/>
    <w:semiHidden/>
    <w:unhideWhenUsed/>
    <w:rsid w:val="00373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MessageHeader">
    <w:name w:val="Message Header"/>
    <w:basedOn w:val="Normal"/>
    <w:link w:val="MessageHeaderChar"/>
    <w:uiPriority w:val="1"/>
    <w:semiHidden/>
    <w:unhideWhenUsed/>
    <w:rsid w:val="00373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37393E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37393E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37393E"/>
    <w:rPr>
      <w:rFonts w:ascii="Times New Roman" w:hAnsi="Times New Roman" w:cs="Times New Roman"/>
      <w:sz w:val="24"/>
    </w:rPr>
  </w:style>
  <w:style w:type="paragraph" w:styleId="TableofAuthorities">
    <w:name w:val="table of authorities"/>
    <w:basedOn w:val="Normal"/>
    <w:next w:val="Normal"/>
    <w:uiPriority w:val="1"/>
    <w:semiHidden/>
    <w:unhideWhenUsed/>
    <w:rsid w:val="0037393E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37393E"/>
  </w:style>
  <w:style w:type="paragraph" w:styleId="Title">
    <w:name w:val="Title"/>
    <w:basedOn w:val="Normal"/>
    <w:next w:val="Normal"/>
    <w:link w:val="TitleChar"/>
    <w:uiPriority w:val="1"/>
    <w:rsid w:val="0036498C"/>
    <w:pPr>
      <w:framePr w:hSpace="181" w:wrap="around" w:vAnchor="page" w:hAnchor="page" w:y="3539"/>
      <w:jc w:val="left"/>
    </w:pPr>
    <w:rPr>
      <w:rFonts w:eastAsia="Cambria"/>
      <w:color w:val="007DC3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36498C"/>
    <w:rPr>
      <w:rFonts w:cs="Arial"/>
      <w:noProof/>
      <w:color w:val="007DC3"/>
      <w:sz w:val="32"/>
      <w:szCs w:val="24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3739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39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3739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3739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3739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3739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37393E"/>
    <w:pPr>
      <w:spacing w:after="100"/>
      <w:ind w:left="1760"/>
    </w:pPr>
  </w:style>
  <w:style w:type="paragraph" w:customStyle="1" w:styleId="FooterBold">
    <w:name w:val="Footer Bold"/>
    <w:semiHidden/>
    <w:qFormat/>
    <w:rsid w:val="00785670"/>
    <w:pPr>
      <w:jc w:val="center"/>
    </w:pPr>
    <w:rPr>
      <w:rFonts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785670"/>
    <w:rPr>
      <w:color w:val="007DC3"/>
    </w:rPr>
  </w:style>
  <w:style w:type="paragraph" w:customStyle="1" w:styleId="Bodycontext">
    <w:name w:val="Body context"/>
    <w:basedOn w:val="BodyText"/>
    <w:qFormat/>
    <w:rsid w:val="007C43D8"/>
    <w:pPr>
      <w:numPr>
        <w:numId w:val="40"/>
      </w:numPr>
    </w:pPr>
  </w:style>
  <w:style w:type="table" w:styleId="ColorfulGrid-Accent1">
    <w:name w:val="Colorful Grid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Grid-Accent4">
    <w:name w:val="Colorful Grid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table" w:styleId="ColorfulList-Accent4">
    <w:name w:val="Colorful List Accent 4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"/>
    <w:semiHidden/>
    <w:unhideWhenUsed/>
    <w:rsid w:val="00E704C0"/>
    <w:rPr>
      <w:noProof/>
      <w:sz w:val="16"/>
      <w:szCs w:val="16"/>
      <w:lang w:val="en-AU"/>
    </w:rPr>
  </w:style>
  <w:style w:type="table" w:styleId="DarkList">
    <w:name w:val="Dark List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character" w:styleId="EndnoteReference">
    <w:name w:val="endnote reference"/>
    <w:basedOn w:val="DefaultParagraphFont"/>
    <w:uiPriority w:val="1"/>
    <w:semiHidden/>
    <w:unhideWhenUsed/>
    <w:rsid w:val="00E704C0"/>
    <w:rPr>
      <w:noProof/>
      <w:vertAlign w:val="superscript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E704C0"/>
    <w:rPr>
      <w:noProof/>
      <w:lang w:val="en-AU"/>
    </w:rPr>
  </w:style>
  <w:style w:type="character" w:styleId="HTMLCite">
    <w:name w:val="HTML Cit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Sample">
    <w:name w:val="HTML Sample"/>
    <w:basedOn w:val="DefaultParagraphFont"/>
    <w:uiPriority w:val="1"/>
    <w:semiHidden/>
    <w:unhideWhenUsed/>
    <w:rsid w:val="00E704C0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IntenseReference">
    <w:name w:val="Intense Reference"/>
    <w:basedOn w:val="DefaultParagraphFont"/>
    <w:uiPriority w:val="1"/>
    <w:semiHidden/>
    <w:unhideWhenUsed/>
    <w:rsid w:val="00E704C0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E704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E704C0"/>
    <w:rPr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E704C0"/>
    <w:rPr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E704C0"/>
    <w:rPr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E704C0"/>
    <w:rPr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E704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E704C0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99"/>
    <w:unhideWhenUsed/>
    <w:qFormat/>
    <w:rsid w:val="00E704C0"/>
    <w:pPr>
      <w:ind w:left="720"/>
      <w:contextualSpacing/>
    </w:pPr>
  </w:style>
  <w:style w:type="table" w:styleId="MediumGrid1">
    <w:name w:val="Medium Grid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"/>
    <w:semiHidden/>
    <w:unhideWhenUsed/>
    <w:rsid w:val="00E704C0"/>
    <w:rPr>
      <w:noProof/>
      <w:lang w:val="en-AU"/>
    </w:rPr>
  </w:style>
  <w:style w:type="table" w:styleId="Table3Deffects1">
    <w:name w:val="Table 3D effects 1"/>
    <w:basedOn w:val="TableNormal"/>
    <w:rsid w:val="00E704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04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04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04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04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04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04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04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04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04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04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704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04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04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04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04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04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04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04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04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04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704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04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04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04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04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704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04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04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PageNumber">
    <w:name w:val="xPageNumber"/>
    <w:semiHidden/>
    <w:qFormat/>
    <w:rsid w:val="009552AD"/>
    <w:pPr>
      <w:framePr w:hSpace="181" w:wrap="around" w:vAnchor="text" w:hAnchor="margin" w:xAlign="center" w:y="114"/>
      <w:spacing w:before="120"/>
      <w:jc w:val="center"/>
    </w:pPr>
    <w:rPr>
      <w:rFonts w:cs="Arial"/>
      <w:noProof/>
      <w:color w:val="5F6062"/>
      <w:sz w:val="18"/>
      <w:lang w:val="en-AU"/>
    </w:rPr>
  </w:style>
  <w:style w:type="table" w:customStyle="1" w:styleId="TableGrid10">
    <w:name w:val="Table Grid1"/>
    <w:basedOn w:val="TableNormal"/>
    <w:next w:val="TableGrid"/>
    <w:rsid w:val="0036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E94773"/>
    <w:rPr>
      <w:rFonts w:eastAsia="Times New Roman" w:cs="Arial"/>
      <w:noProof/>
      <w:sz w:val="22"/>
      <w:szCs w:val="24"/>
      <w:lang w:val="en-AU" w:eastAsia="en-AU"/>
    </w:rPr>
  </w:style>
  <w:style w:type="paragraph" w:customStyle="1" w:styleId="Default">
    <w:name w:val="Default"/>
    <w:rsid w:val="00E9477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E94773"/>
    <w:pPr>
      <w:spacing w:after="200"/>
      <w:jc w:val="left"/>
    </w:pPr>
    <w:rPr>
      <w:rFonts w:eastAsia="Cambria" w:cs="Times New Roman"/>
      <w:noProof w:val="0"/>
      <w:color w:val="008EC4"/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E94773"/>
    <w:pPr>
      <w:spacing w:after="120"/>
      <w:ind w:left="283"/>
      <w:jc w:val="left"/>
    </w:pPr>
    <w:rPr>
      <w:rFonts w:ascii="Times New Roman" w:hAnsi="Times New Roman" w:cs="Times New Roman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94773"/>
    <w:rPr>
      <w:rFonts w:ascii="Times New Roman" w:eastAsia="Times New Roman" w:hAnsi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roy\appdata\roaming\microsoft\word\startup\AHPRA_Glob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64EFCB14A24A23910E792651B8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8348-73C0-4F5C-B1C9-D281A48D44DF}"/>
      </w:docPartPr>
      <w:docPartBody>
        <w:p w:rsidR="00006BED" w:rsidRDefault="00006BED">
          <w:pPr>
            <w:pStyle w:val="A764EFCB14A24A23910E792651B8F4BA"/>
          </w:pPr>
          <w:r w:rsidRPr="009E77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6BED"/>
    <w:rsid w:val="00006BED"/>
    <w:rsid w:val="007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"/>
    <w:unhideWhenUsed/>
    <w:rsid w:val="00006BED"/>
    <w:rPr>
      <w:color w:val="808080"/>
    </w:rPr>
  </w:style>
  <w:style w:type="paragraph" w:customStyle="1" w:styleId="A764EFCB14A24A23910E792651B8F4BA">
    <w:name w:val="A764EFCB14A24A23910E792651B8F4BA"/>
    <w:rsid w:val="00006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6BB2-A053-479D-9ADE-9069C46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AHPRA_Global</Template>
  <TotalTime>0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report: Professional Indemnity Insurance (PII)</vt:lpstr>
    </vt:vector>
  </TitlesOfParts>
  <Company>Johanna Villani Design</Company>
  <LinksUpToDate>false</LinksUpToDate>
  <CharactersWithSpaces>4380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report: Professional Indemnity Insurance (PII)</dc:title>
  <dc:subject>Report</dc:subject>
  <dc:creator>AHPRA</dc:creator>
  <cp:lastModifiedBy>Gareth Meade</cp:lastModifiedBy>
  <cp:revision>5</cp:revision>
  <cp:lastPrinted>2015-10-29T03:25:00Z</cp:lastPrinted>
  <dcterms:created xsi:type="dcterms:W3CDTF">2015-10-29T03:24:00Z</dcterms:created>
  <dcterms:modified xsi:type="dcterms:W3CDTF">2015-10-29T03:25:00Z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ate">
    <vt:lpwstr>Date</vt:lpwstr>
  </property>
  <property fmtid="{D5CDD505-2E9C-101B-9397-08002B2CF9AE}" pid="3" name="xName">
    <vt:lpwstr>Taryn Drewett</vt:lpwstr>
  </property>
  <property fmtid="{D5CDD505-2E9C-101B-9397-08002B2CF9AE}" pid="4" name="xPosition">
    <vt:lpwstr>_x000d_Position</vt:lpwstr>
  </property>
  <property fmtid="{D5CDD505-2E9C-101B-9397-08002B2CF9AE}" pid="5" name="xCompany">
    <vt:lpwstr>_x000d_COMPANY NAME</vt:lpwstr>
  </property>
  <property fmtid="{D5CDD505-2E9C-101B-9397-08002B2CF9AE}" pid="6" name="xAddress">
    <vt:lpwstr>Address_x000d_
Address 2</vt:lpwstr>
  </property>
  <property fmtid="{D5CDD505-2E9C-101B-9397-08002B2CF9AE}" pid="7" name="xSuburb">
    <vt:lpwstr>CITY</vt:lpwstr>
  </property>
  <property fmtid="{D5CDD505-2E9C-101B-9397-08002B2CF9AE}" pid="8" name="xState">
    <vt:lpwstr>STATE</vt:lpwstr>
  </property>
  <property fmtid="{D5CDD505-2E9C-101B-9397-08002B2CF9AE}" pid="9" name="xSubject">
    <vt:lpwstr>Subject</vt:lpwstr>
  </property>
  <property fmtid="{D5CDD505-2E9C-101B-9397-08002B2CF9AE}" pid="10" name="xSalutation">
    <vt:lpwstr>Dear Taryn</vt:lpwstr>
  </property>
  <property fmtid="{D5CDD505-2E9C-101B-9397-08002B2CF9AE}" pid="11" name="xSignoff">
    <vt:lpwstr>Yours faithfully</vt:lpwstr>
  </property>
  <property fmtid="{D5CDD505-2E9C-101B-9397-08002B2CF9AE}" pid="12" name="xSenderName">
    <vt:lpwstr>Lisa Pardo</vt:lpwstr>
  </property>
  <property fmtid="{D5CDD505-2E9C-101B-9397-08002B2CF9AE}" pid="13" name="xSenderPosition">
    <vt:lpwstr>This is my Position</vt:lpwstr>
  </property>
  <property fmtid="{D5CDD505-2E9C-101B-9397-08002B2CF9AE}" pid="14" name="xSenderPhone">
    <vt:lpwstr>0409 251 161</vt:lpwstr>
  </property>
  <property fmtid="{D5CDD505-2E9C-101B-9397-08002B2CF9AE}" pid="15" name="xCC">
    <vt:lpwstr>_x000d_
_x000d_
CC	Person 1</vt:lpwstr>
  </property>
  <property fmtid="{D5CDD505-2E9C-101B-9397-08002B2CF9AE}" pid="16" name="xPostcode">
    <vt:lpwstr>Pcode</vt:lpwstr>
  </property>
  <property fmtid="{D5CDD505-2E9C-101B-9397-08002B2CF9AE}" pid="17" name="xLogo">
    <vt:lpwstr>obAHPRAplus</vt:lpwstr>
  </property>
  <property fmtid="{D5CDD505-2E9C-101B-9397-08002B2CF9AE}" pid="18" name="xBoardLine1">
    <vt:lpwstr>Australian</vt:lpwstr>
  </property>
  <property fmtid="{D5CDD505-2E9C-101B-9397-08002B2CF9AE}" pid="19" name="xBoardLine2">
    <vt:lpwstr>Health Practitioner</vt:lpwstr>
  </property>
  <property fmtid="{D5CDD505-2E9C-101B-9397-08002B2CF9AE}" pid="20" name="xBoardLine3">
    <vt:lpwstr>Regulation Agency</vt:lpwstr>
  </property>
  <property fmtid="{D5CDD505-2E9C-101B-9397-08002B2CF9AE}" pid="21" name="xOffice">
    <vt:lpwstr>Melbourne VIC 3001</vt:lpwstr>
  </property>
  <property fmtid="{D5CDD505-2E9C-101B-9397-08002B2CF9AE}" pid="22" name="xWeb">
    <vt:lpwstr>www.ahpra.gov.au</vt:lpwstr>
  </property>
</Properties>
</file>