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B33222" w:rsidP="00C3795C">
      <w:pPr>
        <w:pStyle w:val="AHPRADocumenttitle"/>
      </w:pPr>
      <w:bookmarkStart w:id="0" w:name="_GoBack"/>
      <w:bookmarkEnd w:id="0"/>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165.0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105,-1,105"/>
        </w:pict>
      </w:r>
      <w:r w:rsidR="00EB069B">
        <w:t>Communiqué</w:t>
      </w:r>
      <w:r w:rsidR="00B5187D">
        <w:t xml:space="preserve"> – Prescribing Working Group</w:t>
      </w:r>
    </w:p>
    <w:p w:rsidR="00C3795C" w:rsidRDefault="00C3795C" w:rsidP="00FC2881">
      <w:pPr>
        <w:outlineLvl w:val="0"/>
      </w:pPr>
    </w:p>
    <w:p w:rsidR="00C35DE1" w:rsidRPr="00952633" w:rsidRDefault="00235AA0" w:rsidP="00C3795C">
      <w:pPr>
        <w:pStyle w:val="AHPRAbody"/>
        <w:rPr>
          <w:b/>
        </w:rPr>
      </w:pPr>
      <w:r w:rsidRPr="00E048DC">
        <w:rPr>
          <w:b/>
        </w:rPr>
        <w:t>13 November 2014</w:t>
      </w:r>
    </w:p>
    <w:p w:rsidR="00C3795C" w:rsidRDefault="00235AA0" w:rsidP="00C3795C">
      <w:pPr>
        <w:pStyle w:val="AHPRADocumentsubheading"/>
      </w:pPr>
      <w:bookmarkStart w:id="1" w:name="_Toc316635488"/>
      <w:r>
        <w:t>Working group to focus o</w:t>
      </w:r>
      <w:bookmarkEnd w:id="1"/>
      <w:r>
        <w:t>n regulatory policy for the prescribing of medicines</w:t>
      </w:r>
    </w:p>
    <w:p w:rsidR="00235AA0" w:rsidRDefault="00235AA0" w:rsidP="00235AA0">
      <w:pPr>
        <w:pStyle w:val="AHPRAbody"/>
        <w:rPr>
          <w:szCs w:val="20"/>
        </w:rPr>
      </w:pPr>
      <w:r>
        <w:rPr>
          <w:szCs w:val="20"/>
        </w:rPr>
        <w:t>A new working group that will focus on the prescribing of medicines by re</w:t>
      </w:r>
      <w:r w:rsidR="00315C1D">
        <w:rPr>
          <w:szCs w:val="20"/>
        </w:rPr>
        <w:t>gistered</w:t>
      </w:r>
      <w:r>
        <w:rPr>
          <w:szCs w:val="20"/>
        </w:rPr>
        <w:t xml:space="preserve"> health practitioners has been formed by the Chairs of National Boards in the National Registration and Accreditation Scheme (the National Scheme)</w:t>
      </w:r>
      <w:r w:rsidR="007A49A8">
        <w:rPr>
          <w:szCs w:val="20"/>
        </w:rPr>
        <w:t xml:space="preserve"> and met for the first time today in Melbourne</w:t>
      </w:r>
      <w:r>
        <w:rPr>
          <w:szCs w:val="20"/>
        </w:rPr>
        <w:t>.</w:t>
      </w:r>
    </w:p>
    <w:p w:rsidR="00235AA0" w:rsidRDefault="00235AA0" w:rsidP="00235AA0">
      <w:pPr>
        <w:pStyle w:val="AHPRAbody"/>
        <w:rPr>
          <w:szCs w:val="20"/>
        </w:rPr>
      </w:pPr>
      <w:r>
        <w:rPr>
          <w:szCs w:val="20"/>
        </w:rPr>
        <w:t xml:space="preserve">The Prescribing Working Group (PWG) will review and </w:t>
      </w:r>
      <w:proofErr w:type="gramStart"/>
      <w:r>
        <w:rPr>
          <w:szCs w:val="20"/>
        </w:rPr>
        <w:t>advise</w:t>
      </w:r>
      <w:proofErr w:type="gramEnd"/>
      <w:r>
        <w:rPr>
          <w:szCs w:val="20"/>
        </w:rPr>
        <w:t xml:space="preserve"> on regulatory policy related to the prescribing of medicines by</w:t>
      </w:r>
      <w:r w:rsidR="00315C1D">
        <w:rPr>
          <w:szCs w:val="20"/>
        </w:rPr>
        <w:t xml:space="preserve"> registered</w:t>
      </w:r>
      <w:r>
        <w:rPr>
          <w:szCs w:val="20"/>
        </w:rPr>
        <w:t xml:space="preserve"> health practitioners. </w:t>
      </w:r>
      <w:r w:rsidR="00315C1D">
        <w:rPr>
          <w:szCs w:val="20"/>
        </w:rPr>
        <w:t>The role of the group does not include</w:t>
      </w:r>
      <w:r>
        <w:rPr>
          <w:szCs w:val="20"/>
        </w:rPr>
        <w:t xml:space="preserve"> recommending new prescribing rights for health professionals.</w:t>
      </w:r>
    </w:p>
    <w:p w:rsidR="007A49A8" w:rsidRDefault="007A49A8" w:rsidP="007A49A8">
      <w:pPr>
        <w:pStyle w:val="AHPRAbody"/>
        <w:rPr>
          <w:szCs w:val="20"/>
        </w:rPr>
      </w:pPr>
      <w:r>
        <w:rPr>
          <w:szCs w:val="20"/>
        </w:rPr>
        <w:t xml:space="preserve">The PWG consists of representatives from the National Boards, the Health Professions Accreditation Councils’ Forum, NPS </w:t>
      </w:r>
      <w:proofErr w:type="spellStart"/>
      <w:r>
        <w:rPr>
          <w:szCs w:val="20"/>
        </w:rPr>
        <w:t>MedicineWise</w:t>
      </w:r>
      <w:proofErr w:type="spellEnd"/>
      <w:r>
        <w:rPr>
          <w:szCs w:val="20"/>
        </w:rPr>
        <w:t xml:space="preserve">, State </w:t>
      </w:r>
      <w:r w:rsidR="00D80078">
        <w:rPr>
          <w:szCs w:val="20"/>
        </w:rPr>
        <w:t>and Territory health departments, consumers and health professionals.</w:t>
      </w:r>
    </w:p>
    <w:p w:rsidR="00D80078" w:rsidRDefault="007A49A8" w:rsidP="00235AA0">
      <w:pPr>
        <w:pStyle w:val="AHPRAbody"/>
        <w:rPr>
          <w:szCs w:val="20"/>
        </w:rPr>
      </w:pPr>
      <w:r>
        <w:rPr>
          <w:szCs w:val="20"/>
        </w:rPr>
        <w:t xml:space="preserve">At its first meeting today, the working group noted developments in the </w:t>
      </w:r>
      <w:r w:rsidR="00D80078">
        <w:rPr>
          <w:szCs w:val="20"/>
        </w:rPr>
        <w:t xml:space="preserve">practice and </w:t>
      </w:r>
      <w:r>
        <w:rPr>
          <w:szCs w:val="20"/>
        </w:rPr>
        <w:t>regulation of prescr</w:t>
      </w:r>
      <w:r w:rsidR="00D80078">
        <w:rPr>
          <w:szCs w:val="20"/>
        </w:rPr>
        <w:t>ibing in Australia, including:</w:t>
      </w:r>
    </w:p>
    <w:p w:rsidR="00D80078" w:rsidRDefault="00D80078" w:rsidP="00D80078">
      <w:pPr>
        <w:pStyle w:val="AHPRAbody"/>
        <w:numPr>
          <w:ilvl w:val="0"/>
          <w:numId w:val="17"/>
        </w:numPr>
        <w:rPr>
          <w:szCs w:val="20"/>
        </w:rPr>
      </w:pPr>
      <w:r>
        <w:rPr>
          <w:szCs w:val="20"/>
        </w:rPr>
        <w:t xml:space="preserve">the development of models of care involving prescribing within health services, </w:t>
      </w:r>
    </w:p>
    <w:p w:rsidR="00315C1D" w:rsidRDefault="00315C1D" w:rsidP="00D80078">
      <w:pPr>
        <w:pStyle w:val="AHPRAbody"/>
        <w:numPr>
          <w:ilvl w:val="0"/>
          <w:numId w:val="17"/>
        </w:numPr>
        <w:rPr>
          <w:szCs w:val="20"/>
        </w:rPr>
      </w:pPr>
      <w:r>
        <w:rPr>
          <w:szCs w:val="20"/>
        </w:rPr>
        <w:t>the endorsement in relation to scheduled medicines provided by the National Law,</w:t>
      </w:r>
    </w:p>
    <w:p w:rsidR="007A49A8" w:rsidRDefault="00D80078" w:rsidP="00D80078">
      <w:pPr>
        <w:pStyle w:val="AHPRAbody"/>
        <w:numPr>
          <w:ilvl w:val="0"/>
          <w:numId w:val="17"/>
        </w:numPr>
        <w:rPr>
          <w:szCs w:val="20"/>
        </w:rPr>
      </w:pPr>
      <w:r>
        <w:rPr>
          <w:szCs w:val="20"/>
        </w:rPr>
        <w:t>the completion of a nationally recognised prescribing competency framework for health professionals, and</w:t>
      </w:r>
    </w:p>
    <w:p w:rsidR="00D80078" w:rsidRDefault="00D80078" w:rsidP="00D80078">
      <w:pPr>
        <w:pStyle w:val="AHPRAbody"/>
        <w:numPr>
          <w:ilvl w:val="0"/>
          <w:numId w:val="17"/>
        </w:numPr>
        <w:rPr>
          <w:szCs w:val="20"/>
        </w:rPr>
      </w:pPr>
      <w:proofErr w:type="gramStart"/>
      <w:r>
        <w:rPr>
          <w:szCs w:val="20"/>
        </w:rPr>
        <w:t>the</w:t>
      </w:r>
      <w:proofErr w:type="gramEnd"/>
      <w:r>
        <w:rPr>
          <w:szCs w:val="20"/>
        </w:rPr>
        <w:t xml:space="preserve"> development of the Health Professionals Prescribing Pathway by Health Workforce Australia.</w:t>
      </w:r>
    </w:p>
    <w:p w:rsidR="007A49A8" w:rsidRDefault="00D80078" w:rsidP="00235AA0">
      <w:pPr>
        <w:pStyle w:val="AHPRAbody"/>
        <w:rPr>
          <w:szCs w:val="20"/>
        </w:rPr>
      </w:pPr>
      <w:r>
        <w:rPr>
          <w:szCs w:val="20"/>
        </w:rPr>
        <w:t xml:space="preserve">The PWG considered it was important that the National Scheme have </w:t>
      </w:r>
      <w:r w:rsidR="00E017C5">
        <w:rPr>
          <w:szCs w:val="20"/>
        </w:rPr>
        <w:t xml:space="preserve">a </w:t>
      </w:r>
      <w:r w:rsidR="00315C1D">
        <w:rPr>
          <w:szCs w:val="20"/>
        </w:rPr>
        <w:t xml:space="preserve">consistent, transparent and rigorous </w:t>
      </w:r>
      <w:r w:rsidR="00E017C5">
        <w:rPr>
          <w:szCs w:val="20"/>
        </w:rPr>
        <w:t>approach</w:t>
      </w:r>
      <w:r>
        <w:rPr>
          <w:szCs w:val="20"/>
        </w:rPr>
        <w:t xml:space="preserve"> to regulatory policy for prescribing, in order to ensure the objectives of the National Scheme are met.  </w:t>
      </w:r>
    </w:p>
    <w:p w:rsidR="00E017C5" w:rsidRDefault="00D80078" w:rsidP="00E017C5">
      <w:pPr>
        <w:pStyle w:val="AHPRAbody"/>
        <w:rPr>
          <w:szCs w:val="20"/>
        </w:rPr>
      </w:pPr>
      <w:r>
        <w:rPr>
          <w:szCs w:val="20"/>
        </w:rPr>
        <w:t xml:space="preserve">The </w:t>
      </w:r>
      <w:r w:rsidR="00E017C5">
        <w:rPr>
          <w:szCs w:val="20"/>
        </w:rPr>
        <w:t>group</w:t>
      </w:r>
      <w:r>
        <w:rPr>
          <w:szCs w:val="20"/>
        </w:rPr>
        <w:t xml:space="preserve"> also discussed </w:t>
      </w:r>
      <w:r w:rsidR="00E017C5">
        <w:rPr>
          <w:szCs w:val="20"/>
        </w:rPr>
        <w:t xml:space="preserve">the development of a framework to guide regulatory policy for prescribing, including the purpose, the principles and scope for such a framework.   </w:t>
      </w:r>
      <w:r w:rsidR="00315C1D">
        <w:rPr>
          <w:szCs w:val="20"/>
        </w:rPr>
        <w:t>The enabling of improved access to health services by consumers and the s</w:t>
      </w:r>
      <w:r w:rsidR="00E017C5">
        <w:rPr>
          <w:szCs w:val="20"/>
        </w:rPr>
        <w:t>afe and quality use of medicines w</w:t>
      </w:r>
      <w:r w:rsidR="00315C1D">
        <w:rPr>
          <w:szCs w:val="20"/>
        </w:rPr>
        <w:t>ere</w:t>
      </w:r>
      <w:r w:rsidR="00E017C5">
        <w:rPr>
          <w:szCs w:val="20"/>
        </w:rPr>
        <w:t xml:space="preserve"> considered to be the primary consideration</w:t>
      </w:r>
      <w:r w:rsidR="00315C1D">
        <w:rPr>
          <w:szCs w:val="20"/>
        </w:rPr>
        <w:t>s</w:t>
      </w:r>
      <w:r w:rsidR="00E017C5">
        <w:rPr>
          <w:szCs w:val="20"/>
        </w:rPr>
        <w:t xml:space="preserve"> in the development of regulatory policy.   </w:t>
      </w:r>
    </w:p>
    <w:p w:rsidR="00E017C5" w:rsidRDefault="00E017C5" w:rsidP="00E017C5">
      <w:pPr>
        <w:pStyle w:val="AHPRAbody"/>
        <w:rPr>
          <w:szCs w:val="20"/>
        </w:rPr>
      </w:pPr>
      <w:r>
        <w:rPr>
          <w:szCs w:val="20"/>
        </w:rPr>
        <w:t>The group agreed to further consider the development of a framework at its next meeting in February 2015.</w:t>
      </w:r>
    </w:p>
    <w:p w:rsidR="007A49A8" w:rsidRPr="00E017C5" w:rsidRDefault="007A49A8" w:rsidP="00235AA0">
      <w:pPr>
        <w:pStyle w:val="AHPRAbody"/>
        <w:rPr>
          <w:b/>
          <w:szCs w:val="20"/>
        </w:rPr>
      </w:pPr>
      <w:r w:rsidRPr="00E017C5">
        <w:rPr>
          <w:b/>
          <w:szCs w:val="20"/>
        </w:rPr>
        <w:t>Background</w:t>
      </w:r>
    </w:p>
    <w:p w:rsidR="00235AA0" w:rsidRDefault="00235AA0" w:rsidP="00235AA0">
      <w:pPr>
        <w:pStyle w:val="AHPRAbody"/>
        <w:rPr>
          <w:szCs w:val="20"/>
        </w:rPr>
      </w:pPr>
      <w:r>
        <w:rPr>
          <w:szCs w:val="20"/>
        </w:rPr>
        <w:t>Health practitioners regulated under the National Scheme and who prescribe medicines are medical practitioners, dentists, nurses and nurse practitioners, midwives, optometrists, podiatrists and pharmacists.</w:t>
      </w:r>
    </w:p>
    <w:p w:rsidR="00235AA0" w:rsidRDefault="00235AA0" w:rsidP="00235AA0">
      <w:pPr>
        <w:pStyle w:val="AHPRAbody"/>
        <w:rPr>
          <w:szCs w:val="20"/>
        </w:rPr>
      </w:pPr>
      <w:r>
        <w:rPr>
          <w:szCs w:val="20"/>
        </w:rPr>
        <w:t xml:space="preserve">Authorisation for these health professionals to prescribe medicines depends on the medicines legislation in each state and territory and this can differ across the professions and where they are based. The legal authority to prescribe medicines </w:t>
      </w:r>
      <w:r w:rsidR="001667EF">
        <w:rPr>
          <w:szCs w:val="20"/>
        </w:rPr>
        <w:t xml:space="preserve">is </w:t>
      </w:r>
      <w:r>
        <w:rPr>
          <w:szCs w:val="20"/>
        </w:rPr>
        <w:t xml:space="preserve">the responsibility of state and territory governments. </w:t>
      </w:r>
    </w:p>
    <w:p w:rsidR="00235AA0" w:rsidRDefault="00235AA0" w:rsidP="00235AA0">
      <w:pPr>
        <w:pStyle w:val="AHPRASubhead"/>
        <w:rPr>
          <w:b w:val="0"/>
          <w:i/>
          <w:szCs w:val="20"/>
        </w:rPr>
      </w:pPr>
    </w:p>
    <w:p w:rsidR="00235AA0" w:rsidRDefault="00235AA0" w:rsidP="00235AA0">
      <w:pPr>
        <w:pStyle w:val="AHPRASubhead"/>
        <w:rPr>
          <w:b w:val="0"/>
          <w:i/>
          <w:szCs w:val="20"/>
        </w:rPr>
      </w:pPr>
    </w:p>
    <w:p w:rsidR="00235AA0" w:rsidRDefault="00235AA0" w:rsidP="00235AA0">
      <w:pPr>
        <w:pStyle w:val="AHPRASubhead"/>
        <w:rPr>
          <w:b w:val="0"/>
          <w:i/>
          <w:szCs w:val="20"/>
        </w:rPr>
      </w:pPr>
      <w:r>
        <w:rPr>
          <w:b w:val="0"/>
          <w:i/>
          <w:szCs w:val="20"/>
        </w:rPr>
        <w:lastRenderedPageBreak/>
        <w:t>For more information</w:t>
      </w:r>
    </w:p>
    <w:p w:rsidR="00235AA0" w:rsidRDefault="00235AA0" w:rsidP="00235AA0">
      <w:pPr>
        <w:pStyle w:val="ListParagraph"/>
        <w:numPr>
          <w:ilvl w:val="0"/>
          <w:numId w:val="14"/>
        </w:numPr>
        <w:spacing w:after="0"/>
        <w:rPr>
          <w:rFonts w:ascii="Arial" w:hAnsi="Arial"/>
          <w:sz w:val="20"/>
          <w:szCs w:val="20"/>
        </w:rPr>
      </w:pPr>
      <w:r>
        <w:rPr>
          <w:rFonts w:ascii="Arial" w:hAnsi="Arial"/>
          <w:sz w:val="20"/>
          <w:szCs w:val="20"/>
        </w:rPr>
        <w:t xml:space="preserve">Visit </w:t>
      </w:r>
      <w:hyperlink r:id="rId8" w:history="1">
        <w:r>
          <w:rPr>
            <w:rStyle w:val="Hyperlink"/>
            <w:rFonts w:ascii="Arial" w:hAnsi="Arial"/>
            <w:sz w:val="20"/>
            <w:szCs w:val="20"/>
          </w:rPr>
          <w:t>www.ahpra.gov.au</w:t>
        </w:r>
      </w:hyperlink>
      <w:r>
        <w:rPr>
          <w:rFonts w:ascii="Arial" w:hAnsi="Arial"/>
          <w:sz w:val="20"/>
          <w:szCs w:val="20"/>
        </w:rPr>
        <w:t xml:space="preserve"> under </w:t>
      </w:r>
      <w:r>
        <w:rPr>
          <w:rFonts w:ascii="Arial" w:hAnsi="Arial"/>
          <w:i/>
          <w:sz w:val="20"/>
          <w:szCs w:val="20"/>
        </w:rPr>
        <w:t xml:space="preserve">Contact us </w:t>
      </w:r>
      <w:r>
        <w:rPr>
          <w:rFonts w:ascii="Arial" w:hAnsi="Arial"/>
          <w:sz w:val="20"/>
          <w:szCs w:val="20"/>
        </w:rPr>
        <w:t>to lodge an online enquiry form</w:t>
      </w:r>
    </w:p>
    <w:p w:rsidR="00235AA0" w:rsidRDefault="00235AA0" w:rsidP="00235AA0">
      <w:pPr>
        <w:pStyle w:val="ListParagraph"/>
        <w:numPr>
          <w:ilvl w:val="0"/>
          <w:numId w:val="14"/>
        </w:numPr>
        <w:spacing w:after="0"/>
        <w:rPr>
          <w:rFonts w:ascii="Arial" w:hAnsi="Arial"/>
          <w:sz w:val="20"/>
          <w:szCs w:val="20"/>
        </w:rPr>
      </w:pPr>
      <w:r>
        <w:rPr>
          <w:rFonts w:ascii="Arial" w:hAnsi="Arial"/>
          <w:sz w:val="20"/>
          <w:szCs w:val="20"/>
        </w:rPr>
        <w:t xml:space="preserve">Visit the individual Boards’ websites for specific registration information and FAQ, accessible via </w:t>
      </w:r>
      <w:hyperlink r:id="rId9" w:history="1">
        <w:r>
          <w:rPr>
            <w:rStyle w:val="Hyperlink"/>
            <w:rFonts w:ascii="Arial" w:hAnsi="Arial"/>
            <w:sz w:val="20"/>
            <w:szCs w:val="20"/>
          </w:rPr>
          <w:t>www.ahpra.gov.au</w:t>
        </w:r>
      </w:hyperlink>
      <w:r>
        <w:rPr>
          <w:rFonts w:ascii="Arial" w:hAnsi="Arial"/>
          <w:sz w:val="20"/>
          <w:szCs w:val="20"/>
        </w:rPr>
        <w:t xml:space="preserve"> </w:t>
      </w:r>
    </w:p>
    <w:p w:rsidR="00235AA0" w:rsidRDefault="00235AA0" w:rsidP="00235AA0">
      <w:pPr>
        <w:pStyle w:val="ListParagraph"/>
        <w:numPr>
          <w:ilvl w:val="0"/>
          <w:numId w:val="14"/>
        </w:numPr>
        <w:spacing w:after="0"/>
        <w:rPr>
          <w:rFonts w:ascii="Arial" w:hAnsi="Arial"/>
          <w:sz w:val="20"/>
          <w:szCs w:val="20"/>
        </w:rPr>
      </w:pPr>
      <w:r>
        <w:rPr>
          <w:rFonts w:ascii="Arial" w:hAnsi="Arial"/>
          <w:sz w:val="20"/>
          <w:szCs w:val="20"/>
        </w:rPr>
        <w:t>For registration enquiries: 1300 419 495 (within Australia) +61 3 8708 9001 (overseas callers)</w:t>
      </w:r>
    </w:p>
    <w:p w:rsidR="00235AA0" w:rsidRDefault="00235AA0" w:rsidP="00235AA0">
      <w:pPr>
        <w:pStyle w:val="ListParagraph"/>
        <w:numPr>
          <w:ilvl w:val="0"/>
          <w:numId w:val="14"/>
        </w:numPr>
        <w:spacing w:after="0"/>
        <w:rPr>
          <w:rFonts w:ascii="Arial" w:hAnsi="Arial"/>
          <w:sz w:val="20"/>
          <w:szCs w:val="20"/>
        </w:rPr>
      </w:pPr>
      <w:r>
        <w:rPr>
          <w:rFonts w:ascii="Arial" w:hAnsi="Arial"/>
          <w:sz w:val="20"/>
          <w:szCs w:val="20"/>
        </w:rPr>
        <w:t>For media enquiries: (03) 8708 9200</w:t>
      </w:r>
    </w:p>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0F5D90" w:rsidRPr="000E7E28" w:rsidRDefault="000F5D90" w:rsidP="000F5D90"/>
    <w:p w:rsidR="00E77E23" w:rsidRPr="000E7E28" w:rsidRDefault="000F5D90" w:rsidP="000F5D90">
      <w:pPr>
        <w:tabs>
          <w:tab w:val="left" w:pos="5678"/>
        </w:tabs>
      </w:pPr>
      <w:r w:rsidRPr="000E7E28">
        <w:tab/>
      </w:r>
    </w:p>
    <w:sectPr w:rsidR="00E77E23" w:rsidRPr="000E7E28" w:rsidSect="004B438E">
      <w:headerReference w:type="default" r:id="rId10"/>
      <w:footerReference w:type="even" r:id="rId11"/>
      <w:footerReference w:type="default" r:id="rId12"/>
      <w:headerReference w:type="first" r:id="rId13"/>
      <w:footerReference w:type="first" r:id="rId14"/>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78" w:rsidRDefault="00D80078" w:rsidP="00FC2881">
      <w:pPr>
        <w:spacing w:after="0"/>
      </w:pPr>
      <w:r>
        <w:separator/>
      </w:r>
    </w:p>
    <w:p w:rsidR="00D80078" w:rsidRDefault="00D80078"/>
  </w:endnote>
  <w:endnote w:type="continuationSeparator" w:id="0">
    <w:p w:rsidR="00D80078" w:rsidRDefault="00D80078" w:rsidP="00FC2881">
      <w:pPr>
        <w:spacing w:after="0"/>
      </w:pPr>
      <w:r>
        <w:continuationSeparator/>
      </w:r>
    </w:p>
    <w:p w:rsidR="00D80078" w:rsidRDefault="00D80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78" w:rsidRDefault="00172676" w:rsidP="00FC2881">
    <w:pPr>
      <w:pStyle w:val="AHPRAfootnote"/>
      <w:framePr w:wrap="around" w:vAnchor="text" w:hAnchor="margin" w:xAlign="right" w:y="1"/>
    </w:pPr>
    <w:r>
      <w:fldChar w:fldCharType="begin"/>
    </w:r>
    <w:r w:rsidR="00D80078">
      <w:instrText xml:space="preserve">PAGE  </w:instrText>
    </w:r>
    <w:r>
      <w:fldChar w:fldCharType="end"/>
    </w:r>
  </w:p>
  <w:p w:rsidR="00D80078" w:rsidRDefault="00D80078" w:rsidP="00FC2881">
    <w:pPr>
      <w:pStyle w:val="AHPRAfootnote"/>
      <w:ind w:right="360"/>
    </w:pPr>
  </w:p>
  <w:p w:rsidR="00D80078" w:rsidRDefault="00D800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78" w:rsidRDefault="00E017C5" w:rsidP="001506FE">
    <w:pPr>
      <w:pStyle w:val="AHPRAfooter"/>
      <w:rPr>
        <w:szCs w:val="16"/>
      </w:rPr>
    </w:pPr>
    <w:r>
      <w:rPr>
        <w:szCs w:val="16"/>
      </w:rPr>
      <w:t xml:space="preserve">Prescribing Working Group Communique </w:t>
    </w:r>
    <w:r w:rsidR="00D80078" w:rsidRPr="00E77E23">
      <w:rPr>
        <w:szCs w:val="16"/>
      </w:rPr>
      <w:t>/</w:t>
    </w:r>
    <w:r w:rsidR="00D80078">
      <w:rPr>
        <w:szCs w:val="16"/>
      </w:rPr>
      <w:t>13 November 2014</w:t>
    </w:r>
  </w:p>
  <w:p w:rsidR="00D80078" w:rsidRPr="000E7E28" w:rsidRDefault="00B33222" w:rsidP="000E7E28">
    <w:pPr>
      <w:pStyle w:val="AHPRApagenumber"/>
    </w:pPr>
    <w:sdt>
      <w:sdtPr>
        <w:id w:val="16333165"/>
        <w:docPartObj>
          <w:docPartGallery w:val="Page Numbers (Top of Page)"/>
          <w:docPartUnique/>
        </w:docPartObj>
      </w:sdtPr>
      <w:sdtEndPr/>
      <w:sdtContent>
        <w:r w:rsidR="00D80078" w:rsidRPr="000E7E28">
          <w:t xml:space="preserve">Page </w:t>
        </w:r>
        <w:r w:rsidR="00F63EB8">
          <w:fldChar w:fldCharType="begin"/>
        </w:r>
        <w:r w:rsidR="00F63EB8">
          <w:instrText xml:space="preserve"> PAGE </w:instrText>
        </w:r>
        <w:r w:rsidR="00F63EB8">
          <w:fldChar w:fldCharType="separate"/>
        </w:r>
        <w:r>
          <w:rPr>
            <w:noProof/>
          </w:rPr>
          <w:t>2</w:t>
        </w:r>
        <w:r w:rsidR="00F63EB8">
          <w:rPr>
            <w:noProof/>
          </w:rPr>
          <w:fldChar w:fldCharType="end"/>
        </w:r>
        <w:r w:rsidR="00D80078" w:rsidRPr="000E7E28">
          <w:t xml:space="preserve"> of </w:t>
        </w:r>
        <w:r w:rsidR="00F63EB8">
          <w:fldChar w:fldCharType="begin"/>
        </w:r>
        <w:r w:rsidR="00F63EB8">
          <w:instrText xml:space="preserve"> NUMPAGES  </w:instrText>
        </w:r>
        <w:r w:rsidR="00F63EB8">
          <w:fldChar w:fldCharType="separate"/>
        </w:r>
        <w:r>
          <w:rPr>
            <w:noProof/>
          </w:rPr>
          <w:t>2</w:t>
        </w:r>
        <w:r w:rsidR="00F63EB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78" w:rsidRPr="00E77E23" w:rsidRDefault="00D80078"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D80078" w:rsidRDefault="00D8007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78" w:rsidRDefault="00D80078" w:rsidP="000E7E28">
      <w:pPr>
        <w:spacing w:after="0"/>
      </w:pPr>
      <w:r>
        <w:separator/>
      </w:r>
    </w:p>
  </w:footnote>
  <w:footnote w:type="continuationSeparator" w:id="0">
    <w:p w:rsidR="00D80078" w:rsidRDefault="00D80078" w:rsidP="00FC2881">
      <w:pPr>
        <w:spacing w:after="0"/>
      </w:pPr>
      <w:r>
        <w:continuationSeparator/>
      </w:r>
    </w:p>
    <w:p w:rsidR="00D80078" w:rsidRDefault="00D80078"/>
  </w:footnote>
  <w:footnote w:type="continuationNotice" w:id="1">
    <w:p w:rsidR="00D80078" w:rsidRDefault="00D8007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78" w:rsidRPr="00315933" w:rsidRDefault="00D80078" w:rsidP="00D638E0">
    <w:pPr>
      <w:ind w:left="-1134" w:right="-567"/>
      <w:jc w:val="right"/>
    </w:pPr>
  </w:p>
  <w:p w:rsidR="00D80078" w:rsidRDefault="00D800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78" w:rsidRDefault="00D80078" w:rsidP="00E844A0"/>
  <w:p w:rsidR="00D80078" w:rsidRDefault="00D80078" w:rsidP="00E844A0"/>
  <w:p w:rsidR="00D80078" w:rsidRDefault="00D80078" w:rsidP="00E844A0"/>
  <w:p w:rsidR="00D80078" w:rsidRDefault="00D80078"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D80078" w:rsidRDefault="00D8007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301430D"/>
    <w:multiLevelType w:val="hybridMultilevel"/>
    <w:tmpl w:val="0A142218"/>
    <w:lvl w:ilvl="0" w:tplc="0C090001">
      <w:start w:val="1"/>
      <w:numFmt w:val="bullet"/>
      <w:lvlText w:val=""/>
      <w:lvlJc w:val="left"/>
      <w:pPr>
        <w:ind w:left="107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52D19FF"/>
    <w:multiLevelType w:val="multilevel"/>
    <w:tmpl w:val="BE20683A"/>
    <w:numStyleLink w:val="AHPRANumberedheadinglist"/>
  </w:abstractNum>
  <w:abstractNum w:abstractNumId="6">
    <w:nsid w:val="19DF3619"/>
    <w:multiLevelType w:val="hybridMultilevel"/>
    <w:tmpl w:val="2506D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22578D"/>
    <w:multiLevelType w:val="multilevel"/>
    <w:tmpl w:val="BE20683A"/>
    <w:numStyleLink w:val="AHPRANumberedheadinglist"/>
  </w:abstractNum>
  <w:abstractNum w:abstractNumId="8">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D4049"/>
    <w:multiLevelType w:val="hybridMultilevel"/>
    <w:tmpl w:val="D3C6F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4433A"/>
    <w:multiLevelType w:val="multilevel"/>
    <w:tmpl w:val="C4183F12"/>
    <w:numStyleLink w:val="AHPRANumberedlist"/>
  </w:abstractNum>
  <w:abstractNum w:abstractNumId="12">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6840F3"/>
    <w:multiLevelType w:val="hybridMultilevel"/>
    <w:tmpl w:val="DA9C1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6E154B0"/>
    <w:multiLevelType w:val="multilevel"/>
    <w:tmpl w:val="C4183F12"/>
    <w:numStyleLink w:val="AHPRANumberedlist"/>
  </w:abstractNum>
  <w:abstractNum w:abstractNumId="15">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31660"/>
    <w:multiLevelType w:val="multilevel"/>
    <w:tmpl w:val="C4183F12"/>
    <w:numStyleLink w:val="AHPRANumberedlist"/>
  </w:abstractNum>
  <w:num w:numId="1">
    <w:abstractNumId w:val="12"/>
  </w:num>
  <w:num w:numId="2">
    <w:abstractNumId w:val="10"/>
  </w:num>
  <w:num w:numId="3">
    <w:abstractNumId w:val="1"/>
  </w:num>
  <w:num w:numId="4">
    <w:abstractNumId w:val="3"/>
  </w:num>
  <w:num w:numId="5">
    <w:abstractNumId w:val="5"/>
  </w:num>
  <w:num w:numId="6">
    <w:abstractNumId w:val="7"/>
  </w:num>
  <w:num w:numId="7">
    <w:abstractNumId w:val="0"/>
  </w:num>
  <w:num w:numId="8">
    <w:abstractNumId w:val="8"/>
  </w:num>
  <w:num w:numId="9">
    <w:abstractNumId w:val="15"/>
  </w:num>
  <w:num w:numId="10">
    <w:abstractNumId w:val="11"/>
  </w:num>
  <w:num w:numId="11">
    <w:abstractNumId w:val="2"/>
  </w:num>
  <w:num w:numId="12">
    <w:abstractNumId w:val="14"/>
  </w:num>
  <w:num w:numId="13">
    <w:abstractNumId w:val="16"/>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9"/>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2"/>
  </w:compat>
  <w:rsids>
    <w:rsidRoot w:val="00EB1D0F"/>
    <w:rsid w:val="00000033"/>
    <w:rsid w:val="00006922"/>
    <w:rsid w:val="000334D7"/>
    <w:rsid w:val="00071439"/>
    <w:rsid w:val="00084BBA"/>
    <w:rsid w:val="000945FB"/>
    <w:rsid w:val="000A6BF7"/>
    <w:rsid w:val="000E7E28"/>
    <w:rsid w:val="000F5D90"/>
    <w:rsid w:val="0010139F"/>
    <w:rsid w:val="00144DEF"/>
    <w:rsid w:val="001506FE"/>
    <w:rsid w:val="001667EF"/>
    <w:rsid w:val="00172676"/>
    <w:rsid w:val="00196F14"/>
    <w:rsid w:val="001C425C"/>
    <w:rsid w:val="001D598E"/>
    <w:rsid w:val="001E1E31"/>
    <w:rsid w:val="001E2849"/>
    <w:rsid w:val="001E4A94"/>
    <w:rsid w:val="001E5621"/>
    <w:rsid w:val="00220A3B"/>
    <w:rsid w:val="00224708"/>
    <w:rsid w:val="00235AA0"/>
    <w:rsid w:val="0028013F"/>
    <w:rsid w:val="00295B44"/>
    <w:rsid w:val="002B2D48"/>
    <w:rsid w:val="002C08FB"/>
    <w:rsid w:val="002C34EA"/>
    <w:rsid w:val="00303BE1"/>
    <w:rsid w:val="00305AFC"/>
    <w:rsid w:val="00315C1D"/>
    <w:rsid w:val="003354E4"/>
    <w:rsid w:val="00351334"/>
    <w:rsid w:val="00393516"/>
    <w:rsid w:val="003D6DBD"/>
    <w:rsid w:val="003E00B5"/>
    <w:rsid w:val="003E3268"/>
    <w:rsid w:val="003F2F06"/>
    <w:rsid w:val="00405C0A"/>
    <w:rsid w:val="00414F2C"/>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A0FA9"/>
    <w:rsid w:val="005C5932"/>
    <w:rsid w:val="005C6817"/>
    <w:rsid w:val="00616043"/>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372A4"/>
    <w:rsid w:val="00741B04"/>
    <w:rsid w:val="0076115C"/>
    <w:rsid w:val="007664F3"/>
    <w:rsid w:val="0079197C"/>
    <w:rsid w:val="007A35B9"/>
    <w:rsid w:val="007A49A8"/>
    <w:rsid w:val="007B77D6"/>
    <w:rsid w:val="007C0B6E"/>
    <w:rsid w:val="007D4836"/>
    <w:rsid w:val="007E2C84"/>
    <w:rsid w:val="007E3545"/>
    <w:rsid w:val="007F0095"/>
    <w:rsid w:val="00805698"/>
    <w:rsid w:val="008338F7"/>
    <w:rsid w:val="00836397"/>
    <w:rsid w:val="00845054"/>
    <w:rsid w:val="00852D1C"/>
    <w:rsid w:val="00856147"/>
    <w:rsid w:val="00860F40"/>
    <w:rsid w:val="008615C9"/>
    <w:rsid w:val="00864020"/>
    <w:rsid w:val="00871F84"/>
    <w:rsid w:val="008979D5"/>
    <w:rsid w:val="008A4C3B"/>
    <w:rsid w:val="008B2AD7"/>
    <w:rsid w:val="008D6B7E"/>
    <w:rsid w:val="008D7845"/>
    <w:rsid w:val="009031EA"/>
    <w:rsid w:val="00923B23"/>
    <w:rsid w:val="00937ED0"/>
    <w:rsid w:val="00952633"/>
    <w:rsid w:val="00952797"/>
    <w:rsid w:val="009777D3"/>
    <w:rsid w:val="009859E6"/>
    <w:rsid w:val="009A0A5D"/>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33222"/>
    <w:rsid w:val="00B34EDA"/>
    <w:rsid w:val="00B51748"/>
    <w:rsid w:val="00B5187D"/>
    <w:rsid w:val="00B57198"/>
    <w:rsid w:val="00B85023"/>
    <w:rsid w:val="00BA2456"/>
    <w:rsid w:val="00BA469B"/>
    <w:rsid w:val="00BB4A5B"/>
    <w:rsid w:val="00BF2534"/>
    <w:rsid w:val="00BF79DC"/>
    <w:rsid w:val="00C35DE1"/>
    <w:rsid w:val="00C3795C"/>
    <w:rsid w:val="00C524AA"/>
    <w:rsid w:val="00C54689"/>
    <w:rsid w:val="00C81B3A"/>
    <w:rsid w:val="00CB6C08"/>
    <w:rsid w:val="00CD0DCA"/>
    <w:rsid w:val="00CD2058"/>
    <w:rsid w:val="00D12F61"/>
    <w:rsid w:val="00D201C6"/>
    <w:rsid w:val="00D638E0"/>
    <w:rsid w:val="00D716BA"/>
    <w:rsid w:val="00D80078"/>
    <w:rsid w:val="00D8404D"/>
    <w:rsid w:val="00D87C12"/>
    <w:rsid w:val="00DC2952"/>
    <w:rsid w:val="00DF1AB7"/>
    <w:rsid w:val="00E017C5"/>
    <w:rsid w:val="00E048DC"/>
    <w:rsid w:val="00E07C02"/>
    <w:rsid w:val="00E12B06"/>
    <w:rsid w:val="00E15BF6"/>
    <w:rsid w:val="00E54005"/>
    <w:rsid w:val="00E71CB9"/>
    <w:rsid w:val="00E73698"/>
    <w:rsid w:val="00E77E23"/>
    <w:rsid w:val="00E8251C"/>
    <w:rsid w:val="00E844A0"/>
    <w:rsid w:val="00EB069B"/>
    <w:rsid w:val="00EB1D0F"/>
    <w:rsid w:val="00F13ED2"/>
    <w:rsid w:val="00F27ACB"/>
    <w:rsid w:val="00F3616F"/>
    <w:rsid w:val="00F53AFB"/>
    <w:rsid w:val="00F63EB8"/>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AutoShape 3"/>
      </o:rules>
    </o:shapelayout>
  </w:shapeDefaults>
  <w:decimalSymbol w:val="."/>
  <w:listSeparator w:val=","/>
  <w15:docId w15:val="{7ED6C124-6C06-4BA7-880D-12465EFC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 w:unhideWhenUsed="1" w:qFormat="1"/>
    <w:lsdException w:name="Intense Emphasis" w:uiPriority="21" w:qFormat="1"/>
    <w:lsdException w:name="Subtle Reference" w:semiHidden="1" w:uiPriority="1" w:unhideWhenUsed="1" w:qFormat="1"/>
    <w:lsdException w:name="Intense Reference" w:semiHidden="1" w:uiPriority="1" w:unhideWhenUsed="1" w:qFormat="1"/>
    <w:lsdException w:name="Book Title" w:semiHidden="1" w:uiPriority="99" w:unhideWhenUsed="1"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5E712A"/>
    <w:rPr>
      <w:rFonts w:ascii="Lucida Grande" w:hAnsi="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ListParagraph">
    <w:name w:val="List Paragraph"/>
    <w:basedOn w:val="Normal"/>
    <w:qFormat/>
    <w:rsid w:val="00235AA0"/>
    <w:pPr>
      <w:ind w:left="720"/>
      <w:contextualSpacing/>
    </w:pPr>
    <w:rPr>
      <w:rFonts w:ascii="Cambria" w:hAnsi="Cambria"/>
    </w:rPr>
  </w:style>
  <w:style w:type="paragraph" w:customStyle="1" w:styleId="AHPRAHeadline">
    <w:name w:val="AHPRA Headline"/>
    <w:basedOn w:val="Normal"/>
    <w:qFormat/>
    <w:rsid w:val="00235AA0"/>
    <w:rPr>
      <w:color w:val="008EC4"/>
      <w:sz w:val="28"/>
    </w:rPr>
  </w:style>
  <w:style w:type="paragraph" w:customStyle="1" w:styleId="AHPRASubhead">
    <w:name w:val="AHPRA Subhead"/>
    <w:basedOn w:val="Normal"/>
    <w:qFormat/>
    <w:rsid w:val="00235AA0"/>
    <w:rPr>
      <w:b/>
      <w:color w:val="008EC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20192612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2A83-77BA-49B7-A79B-E1A1BC60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Working group to focus on regulatory policy for the prescribing of medicines</vt:lpstr>
    </vt:vector>
  </TitlesOfParts>
  <Company>Johanna Villani Design</Company>
  <LinksUpToDate>false</LinksUpToDate>
  <CharactersWithSpaces>3029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to focus on regulatory policy for the prescribing of medicines</dc:title>
  <dc:subject>Communique</dc:subject>
  <dc:creator>AHPRA</dc:creator>
  <cp:lastModifiedBy>Gareth Meade</cp:lastModifiedBy>
  <cp:revision>3</cp:revision>
  <cp:lastPrinted>2015-05-27T06:24:00Z</cp:lastPrinted>
  <dcterms:created xsi:type="dcterms:W3CDTF">2015-05-27T06:22:00Z</dcterms:created>
  <dcterms:modified xsi:type="dcterms:W3CDTF">2015-05-27T06:24:00Z</dcterms:modified>
</cp:coreProperties>
</file>