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02" w:rsidRDefault="00500E02" w:rsidP="00500E02">
      <w:pPr>
        <w:pStyle w:val="BodyText"/>
      </w:pPr>
    </w:p>
    <w:p w:rsidR="00500E02" w:rsidRPr="00AF5B55" w:rsidRDefault="00997A2E" w:rsidP="00B82910">
      <w:pPr>
        <w:pStyle w:val="Title"/>
        <w:framePr w:wrap="notBeside"/>
      </w:pPr>
      <w:r>
        <w:t>Expert Panel on Drug and Alcohol Screening</w:t>
      </w:r>
    </w:p>
    <w:p w:rsidR="00500E02" w:rsidRDefault="00500E02" w:rsidP="00A42E7C">
      <w:pPr>
        <w:pStyle w:val="BodyText"/>
        <w:spacing w:after="240"/>
      </w:pPr>
    </w:p>
    <w:p w:rsidR="00500E02" w:rsidRDefault="00997A2E" w:rsidP="00A42E7C">
      <w:pPr>
        <w:pStyle w:val="Heading1"/>
        <w:spacing w:before="120"/>
      </w:pPr>
      <w:r>
        <w:t>Terms of Reference</w:t>
      </w:r>
    </w:p>
    <w:p w:rsidR="00997A2E" w:rsidRPr="00A42E7C" w:rsidRDefault="00997A2E" w:rsidP="00A42E7C">
      <w:pPr>
        <w:pStyle w:val="AHPRASubheading"/>
        <w:outlineLvl w:val="0"/>
      </w:pPr>
      <w:r w:rsidRPr="00A42E7C">
        <w:t xml:space="preserve">1. Purpose </w:t>
      </w:r>
    </w:p>
    <w:p w:rsidR="00997A2E" w:rsidRPr="00997A2E" w:rsidRDefault="00997A2E" w:rsidP="00997A2E">
      <w:pPr>
        <w:pStyle w:val="BodyText"/>
      </w:pPr>
      <w:r w:rsidRPr="00997A2E">
        <w:t>The Expert Panel has been established by AHPRA to provide ongoing expert advice on the biological assessment, testing and monitoring of applicants and reg</w:t>
      </w:r>
      <w:bookmarkStart w:id="0" w:name="_GoBack"/>
      <w:bookmarkEnd w:id="0"/>
      <w:r w:rsidRPr="00997A2E">
        <w:t>istrants with drug and/or alcohol misuse, including impairment.</w:t>
      </w:r>
    </w:p>
    <w:p w:rsidR="00997A2E" w:rsidRPr="00A42E7C" w:rsidRDefault="00997A2E" w:rsidP="00A42E7C">
      <w:pPr>
        <w:pStyle w:val="AHPRASubheading"/>
        <w:outlineLvl w:val="0"/>
      </w:pPr>
      <w:r w:rsidRPr="00A42E7C">
        <w:t xml:space="preserve">2. Functions  </w:t>
      </w:r>
    </w:p>
    <w:p w:rsidR="00997A2E" w:rsidRPr="00997A2E" w:rsidRDefault="00997A2E" w:rsidP="00997A2E">
      <w:pPr>
        <w:pStyle w:val="BodyText"/>
      </w:pPr>
      <w:r w:rsidRPr="00997A2E">
        <w:t>The functions of the Expert Panel are to:</w:t>
      </w:r>
    </w:p>
    <w:p w:rsidR="00997A2E" w:rsidRPr="00997A2E" w:rsidRDefault="00997A2E" w:rsidP="00A42E7C">
      <w:pPr>
        <w:pStyle w:val="BodyText"/>
        <w:numPr>
          <w:ilvl w:val="1"/>
          <w:numId w:val="46"/>
        </w:numPr>
        <w:ind w:left="357" w:hanging="357"/>
      </w:pPr>
      <w:r w:rsidRPr="00997A2E">
        <w:t>review and provide advice on the drug and alcohol screening protocol, including the schedule of drugs, cut-off limits and testing methodologies</w:t>
      </w:r>
    </w:p>
    <w:p w:rsidR="00997A2E" w:rsidRPr="00997A2E" w:rsidRDefault="00997A2E" w:rsidP="00A7755A">
      <w:pPr>
        <w:pStyle w:val="BodyText"/>
        <w:numPr>
          <w:ilvl w:val="1"/>
          <w:numId w:val="46"/>
        </w:numPr>
        <w:ind w:left="357" w:hanging="357"/>
      </w:pPr>
      <w:r w:rsidRPr="00997A2E">
        <w:t>provide advice on the testing methodology and cut-off for drugs not included in the schedule of drugs to be tested when required</w:t>
      </w:r>
    </w:p>
    <w:p w:rsidR="00997A2E" w:rsidRPr="00997A2E" w:rsidRDefault="00997A2E" w:rsidP="00A7755A">
      <w:pPr>
        <w:pStyle w:val="BodyText"/>
        <w:numPr>
          <w:ilvl w:val="1"/>
          <w:numId w:val="46"/>
        </w:numPr>
        <w:ind w:left="357" w:hanging="357"/>
      </w:pPr>
      <w:r w:rsidRPr="00997A2E">
        <w:t>provide advice on atypical screening results on referral, and</w:t>
      </w:r>
    </w:p>
    <w:p w:rsidR="00997A2E" w:rsidRPr="00997A2E" w:rsidRDefault="00997A2E" w:rsidP="00A7755A">
      <w:pPr>
        <w:pStyle w:val="BodyText"/>
        <w:numPr>
          <w:ilvl w:val="1"/>
          <w:numId w:val="46"/>
        </w:numPr>
        <w:ind w:left="357" w:hanging="357"/>
      </w:pPr>
      <w:r w:rsidRPr="00997A2E">
        <w:t>annually review available intelligence regarding current and emerging patterns of drug and alcohol use within society and recommend any required changes to the schedule of drugs for testing, the testing methodology and cut-offs.</w:t>
      </w:r>
    </w:p>
    <w:p w:rsidR="00997A2E" w:rsidRPr="00A42E7C" w:rsidRDefault="00997A2E" w:rsidP="00A42E7C">
      <w:pPr>
        <w:pStyle w:val="AHPRASubheading"/>
        <w:outlineLvl w:val="0"/>
      </w:pPr>
      <w:r w:rsidRPr="00A42E7C">
        <w:t xml:space="preserve">3. Membership </w:t>
      </w:r>
    </w:p>
    <w:p w:rsidR="00997A2E" w:rsidRPr="0046194D" w:rsidRDefault="00997A2E" w:rsidP="00A42E7C">
      <w:pPr>
        <w:pStyle w:val="BodyText"/>
        <w:rPr>
          <w:szCs w:val="20"/>
        </w:rPr>
      </w:pPr>
      <w:r w:rsidRPr="0046194D">
        <w:rPr>
          <w:szCs w:val="20"/>
        </w:rPr>
        <w:t xml:space="preserve">The Expert Panel will be constituted </w:t>
      </w:r>
      <w:r>
        <w:rPr>
          <w:szCs w:val="20"/>
        </w:rPr>
        <w:t xml:space="preserve">through direct invitation </w:t>
      </w:r>
      <w:r w:rsidRPr="0046194D">
        <w:rPr>
          <w:szCs w:val="20"/>
        </w:rPr>
        <w:t>by:</w:t>
      </w:r>
    </w:p>
    <w:p w:rsidR="00997A2E" w:rsidRPr="00A42E7C" w:rsidRDefault="00997A2E" w:rsidP="00A42E7C">
      <w:pPr>
        <w:pStyle w:val="BodyTextBullets"/>
      </w:pPr>
      <w:r w:rsidRPr="00A42E7C">
        <w:t>a medical practitioner with expertise in the diagnosis and treatment of persons with drug and/or alcohol misuse, including impairment</w:t>
      </w:r>
    </w:p>
    <w:p w:rsidR="00997A2E" w:rsidRPr="00A42E7C" w:rsidRDefault="00997A2E" w:rsidP="00A42E7C">
      <w:pPr>
        <w:pStyle w:val="BodyTextBullets"/>
      </w:pPr>
      <w:r w:rsidRPr="00A42E7C">
        <w:t>a health practitioner with expertise in clinical pharmacology and toxicology, and</w:t>
      </w:r>
    </w:p>
    <w:p w:rsidR="00997A2E" w:rsidRPr="00A42E7C" w:rsidRDefault="00997A2E" w:rsidP="00A42E7C">
      <w:pPr>
        <w:pStyle w:val="BodyTextBullets"/>
      </w:pPr>
      <w:r w:rsidRPr="00A42E7C">
        <w:t>a person with expertise in forensic analytical techniques used in the detection and quantification of drugs and alcohol in biological samples including urine, hair, breath, blood and saliva.</w:t>
      </w:r>
    </w:p>
    <w:p w:rsidR="00997A2E" w:rsidRPr="00A42E7C" w:rsidRDefault="00997A2E" w:rsidP="00A42E7C">
      <w:pPr>
        <w:pStyle w:val="AHPRASubheading"/>
        <w:outlineLvl w:val="0"/>
      </w:pPr>
      <w:r w:rsidRPr="00A42E7C">
        <w:t>4. Facilitator</w:t>
      </w:r>
    </w:p>
    <w:p w:rsidR="00997A2E" w:rsidRPr="00A42E7C" w:rsidRDefault="00997A2E" w:rsidP="00A42E7C">
      <w:pPr>
        <w:pStyle w:val="BodyText"/>
        <w:rPr>
          <w:szCs w:val="20"/>
        </w:rPr>
      </w:pPr>
      <w:r>
        <w:rPr>
          <w:szCs w:val="20"/>
        </w:rPr>
        <w:t>The National Director, Compliance will facilitate meetings of the Expert Panel</w:t>
      </w:r>
      <w:r w:rsidRPr="00404C26">
        <w:rPr>
          <w:szCs w:val="20"/>
        </w:rPr>
        <w:t xml:space="preserve">.  </w:t>
      </w:r>
    </w:p>
    <w:p w:rsidR="00997A2E" w:rsidRPr="00A42E7C" w:rsidRDefault="00997A2E" w:rsidP="00A42E7C">
      <w:pPr>
        <w:pStyle w:val="AHPRASubheading"/>
        <w:outlineLvl w:val="0"/>
      </w:pPr>
      <w:r w:rsidRPr="00A42E7C">
        <w:lastRenderedPageBreak/>
        <w:t>5. Meetings</w:t>
      </w:r>
    </w:p>
    <w:p w:rsidR="00997A2E" w:rsidRPr="00404C26" w:rsidRDefault="00997A2E" w:rsidP="00A42E7C">
      <w:pPr>
        <w:pStyle w:val="BodyText"/>
        <w:rPr>
          <w:szCs w:val="20"/>
        </w:rPr>
      </w:pPr>
      <w:r w:rsidRPr="00404C26">
        <w:rPr>
          <w:szCs w:val="20"/>
        </w:rPr>
        <w:t xml:space="preserve">The </w:t>
      </w:r>
      <w:r>
        <w:rPr>
          <w:szCs w:val="20"/>
        </w:rPr>
        <w:t>Expert Panel will meet at a minimum annually and as required.</w:t>
      </w:r>
      <w:r w:rsidR="00A42E7C">
        <w:rPr>
          <w:szCs w:val="20"/>
        </w:rPr>
        <w:t xml:space="preserve"> </w:t>
      </w:r>
    </w:p>
    <w:p w:rsidR="00997A2E" w:rsidRPr="00A42E7C" w:rsidRDefault="00997A2E" w:rsidP="00A42E7C">
      <w:pPr>
        <w:pStyle w:val="AHPRASubheading"/>
        <w:outlineLvl w:val="0"/>
      </w:pPr>
      <w:r w:rsidRPr="00A42E7C">
        <w:t>6. Decision Making</w:t>
      </w:r>
    </w:p>
    <w:p w:rsidR="00997A2E" w:rsidRDefault="00997A2E" w:rsidP="00A42E7C">
      <w:pPr>
        <w:pStyle w:val="BodyText"/>
        <w:rPr>
          <w:szCs w:val="20"/>
        </w:rPr>
      </w:pPr>
      <w:r w:rsidRPr="00404C26">
        <w:rPr>
          <w:szCs w:val="20"/>
        </w:rPr>
        <w:t xml:space="preserve">Outcomes will be by consensus. </w:t>
      </w:r>
      <w:r>
        <w:rPr>
          <w:szCs w:val="20"/>
        </w:rPr>
        <w:t>Voting will not be necessary as the Expert Panel is an advisory body.</w:t>
      </w:r>
    </w:p>
    <w:p w:rsidR="00061C14" w:rsidRDefault="00061C14">
      <w:pPr>
        <w:jc w:val="left"/>
        <w:rPr>
          <w:rFonts w:eastAsia="Cambria" w:cs="Times New Roman"/>
          <w:b/>
          <w:noProof w:val="0"/>
          <w:color w:val="007DC3"/>
          <w:sz w:val="20"/>
          <w:lang w:eastAsia="en-US"/>
        </w:rPr>
      </w:pPr>
      <w:r>
        <w:br w:type="page"/>
      </w:r>
    </w:p>
    <w:p w:rsidR="00997A2E" w:rsidRPr="00A42E7C" w:rsidRDefault="00997A2E" w:rsidP="00A42E7C">
      <w:pPr>
        <w:pStyle w:val="AHPRASubheading"/>
        <w:outlineLvl w:val="0"/>
      </w:pPr>
      <w:r w:rsidRPr="00A42E7C">
        <w:lastRenderedPageBreak/>
        <w:t>7. Meeting Fees</w:t>
      </w:r>
    </w:p>
    <w:p w:rsidR="00997A2E" w:rsidRPr="00404C26" w:rsidRDefault="00997A2E" w:rsidP="00A42E7C">
      <w:pPr>
        <w:pStyle w:val="BodyText"/>
        <w:rPr>
          <w:szCs w:val="20"/>
        </w:rPr>
      </w:pPr>
      <w:r>
        <w:rPr>
          <w:szCs w:val="20"/>
        </w:rPr>
        <w:t>Meeting fees will be payable equivalent to a Board member as per the Schedule of fees for Board, Committee and Panel Members</w:t>
      </w:r>
    </w:p>
    <w:p w:rsidR="00997A2E" w:rsidRPr="00A42E7C" w:rsidRDefault="00997A2E" w:rsidP="00A42E7C">
      <w:pPr>
        <w:pStyle w:val="AHPRASubheading"/>
        <w:outlineLvl w:val="0"/>
      </w:pPr>
      <w:r w:rsidRPr="00A42E7C">
        <w:t>8. Conflict of Interest</w:t>
      </w:r>
    </w:p>
    <w:p w:rsidR="00997A2E" w:rsidRPr="00404C26" w:rsidRDefault="00997A2E" w:rsidP="00A42E7C">
      <w:pPr>
        <w:pStyle w:val="BodyText"/>
        <w:rPr>
          <w:szCs w:val="20"/>
        </w:rPr>
      </w:pPr>
      <w:r w:rsidRPr="00404C26">
        <w:rPr>
          <w:szCs w:val="20"/>
        </w:rPr>
        <w:t xml:space="preserve">Members of the </w:t>
      </w:r>
      <w:r>
        <w:rPr>
          <w:szCs w:val="20"/>
        </w:rPr>
        <w:t xml:space="preserve">Expert Panel </w:t>
      </w:r>
      <w:r w:rsidRPr="00404C26">
        <w:rPr>
          <w:szCs w:val="20"/>
        </w:rPr>
        <w:t>are required to declare any potential or actual conflicts of interest at t</w:t>
      </w:r>
      <w:r>
        <w:rPr>
          <w:szCs w:val="20"/>
        </w:rPr>
        <w:t>he commencement of each</w:t>
      </w:r>
      <w:r w:rsidRPr="00404C26">
        <w:rPr>
          <w:szCs w:val="20"/>
        </w:rPr>
        <w:t xml:space="preserve"> meeting. </w:t>
      </w:r>
    </w:p>
    <w:p w:rsidR="00997A2E" w:rsidRPr="00A42E7C" w:rsidRDefault="00997A2E" w:rsidP="00A42E7C">
      <w:pPr>
        <w:pStyle w:val="AHPRASubheading"/>
        <w:outlineLvl w:val="0"/>
      </w:pPr>
      <w:r w:rsidRPr="00A42E7C">
        <w:t>9. Support</w:t>
      </w:r>
    </w:p>
    <w:p w:rsidR="00997A2E" w:rsidRPr="00012051" w:rsidRDefault="00997A2E" w:rsidP="00A42E7C">
      <w:pPr>
        <w:pStyle w:val="BodyText"/>
        <w:rPr>
          <w:szCs w:val="20"/>
        </w:rPr>
      </w:pPr>
      <w:r w:rsidRPr="00012051">
        <w:rPr>
          <w:szCs w:val="20"/>
        </w:rPr>
        <w:t xml:space="preserve">The </w:t>
      </w:r>
      <w:r>
        <w:rPr>
          <w:szCs w:val="20"/>
        </w:rPr>
        <w:t>Expert Panel</w:t>
      </w:r>
      <w:r w:rsidRPr="00012051">
        <w:rPr>
          <w:szCs w:val="20"/>
        </w:rPr>
        <w:t xml:space="preserve"> </w:t>
      </w:r>
      <w:r w:rsidRPr="00A42E7C">
        <w:t>secretariat</w:t>
      </w:r>
      <w:r w:rsidRPr="00012051">
        <w:rPr>
          <w:szCs w:val="20"/>
        </w:rPr>
        <w:t xml:space="preserve"> and support will be provided by </w:t>
      </w:r>
      <w:r>
        <w:rPr>
          <w:szCs w:val="20"/>
        </w:rPr>
        <w:t>the Regulatory Operations</w:t>
      </w:r>
      <w:r w:rsidRPr="00012051">
        <w:rPr>
          <w:szCs w:val="20"/>
        </w:rPr>
        <w:t xml:space="preserve"> Directorate.</w:t>
      </w:r>
    </w:p>
    <w:p w:rsidR="00997A2E" w:rsidRDefault="00997A2E" w:rsidP="002A000E">
      <w:pPr>
        <w:pStyle w:val="BodyText"/>
      </w:pPr>
    </w:p>
    <w:tbl>
      <w:tblPr>
        <w:tblStyle w:val="AHPRATable2"/>
        <w:tblW w:w="4519" w:type="pct"/>
        <w:tblLayout w:type="fixed"/>
        <w:tblLook w:val="04A0" w:firstRow="1" w:lastRow="0" w:firstColumn="1" w:lastColumn="0" w:noHBand="0" w:noVBand="1"/>
      </w:tblPr>
      <w:tblGrid>
        <w:gridCol w:w="2354"/>
        <w:gridCol w:w="6156"/>
      </w:tblGrid>
      <w:tr w:rsidR="00A42E7C" w:rsidTr="00A42E7C">
        <w:tc>
          <w:tcPr>
            <w:tcW w:w="2354" w:type="dxa"/>
          </w:tcPr>
          <w:p w:rsidR="00A42E7C" w:rsidRPr="00012051" w:rsidRDefault="00A42E7C" w:rsidP="00A42E7C">
            <w:pPr>
              <w:pStyle w:val="Tableheadingblack"/>
            </w:pPr>
            <w:r w:rsidRPr="00012051">
              <w:t xml:space="preserve">Approved By </w:t>
            </w:r>
          </w:p>
        </w:tc>
        <w:tc>
          <w:tcPr>
            <w:tcW w:w="6156" w:type="dxa"/>
          </w:tcPr>
          <w:p w:rsidR="00A42E7C" w:rsidRPr="00A42E7C" w:rsidRDefault="00A42E7C" w:rsidP="00A42E7C">
            <w:pPr>
              <w:pStyle w:val="Tableheadingblack"/>
              <w:rPr>
                <w:b w:val="0"/>
              </w:rPr>
            </w:pPr>
            <w:r w:rsidRPr="00A42E7C">
              <w:rPr>
                <w:b w:val="0"/>
              </w:rPr>
              <w:t>Executive Director, Regulatory Operations</w:t>
            </w:r>
          </w:p>
        </w:tc>
      </w:tr>
      <w:tr w:rsidR="00A42E7C" w:rsidTr="00A42E7C">
        <w:tc>
          <w:tcPr>
            <w:tcW w:w="2354" w:type="dxa"/>
          </w:tcPr>
          <w:p w:rsidR="00A42E7C" w:rsidRPr="00012051" w:rsidRDefault="00A42E7C" w:rsidP="00A42E7C">
            <w:pPr>
              <w:pStyle w:val="Tableheadingblack"/>
            </w:pPr>
            <w:r w:rsidRPr="00012051">
              <w:t>Approved Date</w:t>
            </w:r>
          </w:p>
        </w:tc>
        <w:tc>
          <w:tcPr>
            <w:tcW w:w="6156" w:type="dxa"/>
          </w:tcPr>
          <w:p w:rsidR="00A42E7C" w:rsidRPr="00012051" w:rsidRDefault="00A42E7C" w:rsidP="001B5DD9">
            <w:pPr>
              <w:pStyle w:val="Default"/>
              <w:rPr>
                <w:sz w:val="20"/>
                <w:szCs w:val="20"/>
              </w:rPr>
            </w:pPr>
            <w:r>
              <w:rPr>
                <w:sz w:val="20"/>
                <w:szCs w:val="20"/>
              </w:rPr>
              <w:t xml:space="preserve">November </w:t>
            </w:r>
            <w:r w:rsidRPr="00012051">
              <w:rPr>
                <w:sz w:val="20"/>
                <w:szCs w:val="20"/>
              </w:rPr>
              <w:t>201</w:t>
            </w:r>
            <w:r>
              <w:rPr>
                <w:sz w:val="20"/>
                <w:szCs w:val="20"/>
              </w:rPr>
              <w:t>4</w:t>
            </w:r>
          </w:p>
        </w:tc>
      </w:tr>
      <w:tr w:rsidR="00A42E7C" w:rsidTr="00A42E7C">
        <w:tc>
          <w:tcPr>
            <w:tcW w:w="2354" w:type="dxa"/>
          </w:tcPr>
          <w:p w:rsidR="00A42E7C" w:rsidRPr="00012051" w:rsidRDefault="00A42E7C" w:rsidP="00A42E7C">
            <w:pPr>
              <w:pStyle w:val="Tableheadingblack"/>
            </w:pPr>
            <w:r>
              <w:t xml:space="preserve">To be </w:t>
            </w:r>
            <w:r w:rsidRPr="00012051">
              <w:t>Reviewed</w:t>
            </w:r>
          </w:p>
        </w:tc>
        <w:tc>
          <w:tcPr>
            <w:tcW w:w="6156" w:type="dxa"/>
          </w:tcPr>
          <w:p w:rsidR="00A42E7C" w:rsidRPr="00012051" w:rsidRDefault="00A42E7C" w:rsidP="001B5DD9">
            <w:pPr>
              <w:pStyle w:val="Default"/>
              <w:rPr>
                <w:sz w:val="20"/>
                <w:szCs w:val="20"/>
              </w:rPr>
            </w:pPr>
            <w:r>
              <w:rPr>
                <w:sz w:val="20"/>
                <w:szCs w:val="20"/>
              </w:rPr>
              <w:t>November 2016</w:t>
            </w:r>
          </w:p>
        </w:tc>
      </w:tr>
    </w:tbl>
    <w:p w:rsidR="00AF5B55" w:rsidRDefault="00AF5B55" w:rsidP="00AF5B55">
      <w:pPr>
        <w:pStyle w:val="BodyText"/>
      </w:pPr>
    </w:p>
    <w:sectPr w:rsidR="00AF5B55" w:rsidSect="00733DAE">
      <w:headerReference w:type="default" r:id="rId8"/>
      <w:footerReference w:type="even" r:id="rId9"/>
      <w:footerReference w:type="default" r:id="rId10"/>
      <w:headerReference w:type="first" r:id="rId11"/>
      <w:footerReference w:type="first" r:id="rId12"/>
      <w:pgSz w:w="11900" w:h="16840" w:code="9"/>
      <w:pgMar w:top="1418" w:right="1247" w:bottom="1418" w:left="1247" w:header="851"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A2E" w:rsidRDefault="00997A2E" w:rsidP="00FC2881">
      <w:r>
        <w:separator/>
      </w:r>
    </w:p>
    <w:p w:rsidR="00997A2E" w:rsidRDefault="00997A2E"/>
    <w:p w:rsidR="00997A2E" w:rsidRDefault="00997A2E"/>
    <w:p w:rsidR="00997A2E" w:rsidRDefault="00997A2E"/>
  </w:endnote>
  <w:endnote w:type="continuationSeparator" w:id="0">
    <w:p w:rsidR="00997A2E" w:rsidRDefault="00997A2E" w:rsidP="00FC2881">
      <w:r>
        <w:continuationSeparator/>
      </w:r>
    </w:p>
    <w:p w:rsidR="00997A2E" w:rsidRDefault="00997A2E"/>
    <w:p w:rsidR="00997A2E" w:rsidRDefault="00997A2E"/>
    <w:p w:rsidR="00997A2E" w:rsidRDefault="00997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7A0DBF" w:rsidP="00FC2881">
    <w:pPr>
      <w:framePr w:wrap="around" w:vAnchor="text" w:hAnchor="margin" w:xAlign="right" w:y="1"/>
    </w:pPr>
    <w:r>
      <w:rPr>
        <w:noProof w:val="0"/>
      </w:rPr>
      <w:fldChar w:fldCharType="begin"/>
    </w:r>
    <w:r>
      <w:instrText xml:space="preserve">PAGE  </w:instrText>
    </w:r>
    <w:r>
      <w:rPr>
        <w:noProof w:val="0"/>
      </w:rPr>
      <w:fldChar w:fldCharType="separate"/>
    </w:r>
    <w:r>
      <w:t>2</w:t>
    </w:r>
    <w:r>
      <w:fldChar w:fldCharType="end"/>
    </w:r>
  </w:p>
  <w:p w:rsidR="007A0DBF" w:rsidRDefault="007A0DBF" w:rsidP="00FC2881">
    <w:pPr>
      <w:ind w:right="360"/>
    </w:pPr>
  </w:p>
  <w:p w:rsidR="007A0DBF" w:rsidRDefault="007A0DBF"/>
  <w:p w:rsidR="007A0DBF" w:rsidRDefault="007A0DBF"/>
  <w:p w:rsidR="007A0DBF" w:rsidRDefault="007A0D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383D8B" w:rsidP="0087000E">
    <w:pPr>
      <w:pStyle w:val="xPageNumber"/>
      <w:framePr w:wrap="around"/>
    </w:pPr>
    <w:sdt>
      <w:sdtPr>
        <w:id w:val="-641112119"/>
        <w:docPartObj>
          <w:docPartGallery w:val="Page Numbers (Top of Page)"/>
          <w:docPartUnique/>
        </w:docPartObj>
      </w:sdtPr>
      <w:sdtEndPr/>
      <w:sdtContent>
        <w:r w:rsidR="007A0DBF">
          <w:t xml:space="preserve"> </w:t>
        </w:r>
        <w:r w:rsidR="007A0DBF">
          <w:tab/>
        </w:r>
        <w:r w:rsidR="007A0DBF" w:rsidRPr="004928C6">
          <w:t xml:space="preserve">Page </w:t>
        </w:r>
        <w:r w:rsidR="007A0DBF">
          <w:rPr>
            <w:noProof w:val="0"/>
          </w:rPr>
          <w:fldChar w:fldCharType="begin"/>
        </w:r>
        <w:r w:rsidR="007A0DBF">
          <w:instrText xml:space="preserve"> PAGE </w:instrText>
        </w:r>
        <w:r w:rsidR="007A0DBF">
          <w:rPr>
            <w:noProof w:val="0"/>
          </w:rPr>
          <w:fldChar w:fldCharType="separate"/>
        </w:r>
        <w:r>
          <w:t>2</w:t>
        </w:r>
        <w:r w:rsidR="007A0DBF">
          <w:fldChar w:fldCharType="end"/>
        </w:r>
        <w:r w:rsidR="007A0DBF" w:rsidRPr="004928C6">
          <w:t xml:space="preserve"> of </w:t>
        </w:r>
        <w:r w:rsidR="007A0DBF">
          <w:fldChar w:fldCharType="begin"/>
        </w:r>
        <w:r w:rsidR="007A0DBF">
          <w:instrText xml:space="preserve"> NUMPAGES  </w:instrText>
        </w:r>
        <w:r w:rsidR="007A0DBF">
          <w:fldChar w:fldCharType="separate"/>
        </w:r>
        <w:r>
          <w:t>2</w:t>
        </w:r>
        <w:r w:rsidR="007A0DBF">
          <w:fldChar w:fldCharType="end"/>
        </w:r>
      </w:sdtContent>
    </w:sdt>
  </w:p>
  <w:p w:rsidR="007A0DBF" w:rsidRDefault="007A0D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Pr="000E73BC" w:rsidRDefault="007A0DBF" w:rsidP="005C1DD4">
    <w:pPr>
      <w:pStyle w:val="Footer"/>
      <w:spacing w:after="200"/>
      <w:ind w:right="0"/>
      <w:rPr>
        <w:b/>
      </w:rPr>
    </w:pPr>
    <w:r w:rsidRPr="000E73BC">
      <w:rPr>
        <w:b/>
      </w:rPr>
      <w:fldChar w:fldCharType="begin"/>
    </w:r>
    <w:r w:rsidRPr="000E73BC">
      <w:rPr>
        <w:b/>
      </w:rPr>
      <w:instrText xml:space="preserve"> DOCPROPERTY  xBoardLine1  </w:instrText>
    </w:r>
    <w:r w:rsidRPr="000E73BC">
      <w:rPr>
        <w:b/>
      </w:rPr>
      <w:fldChar w:fldCharType="separate"/>
    </w:r>
    <w:r w:rsidR="00383D8B">
      <w:rPr>
        <w:b/>
      </w:rPr>
      <w:t>Australian</w:t>
    </w:r>
    <w:r w:rsidRPr="000E73BC">
      <w:rPr>
        <w:b/>
      </w:rPr>
      <w:fldChar w:fldCharType="end"/>
    </w:r>
    <w:r w:rsidRPr="000E73BC">
      <w:rPr>
        <w:b/>
      </w:rPr>
      <w:t xml:space="preserve"> </w:t>
    </w:r>
    <w:r w:rsidRPr="000E73BC">
      <w:rPr>
        <w:rStyle w:val="Blue"/>
        <w:b/>
      </w:rPr>
      <w:fldChar w:fldCharType="begin"/>
    </w:r>
    <w:r w:rsidRPr="000E73BC">
      <w:rPr>
        <w:rStyle w:val="Blue"/>
        <w:b/>
      </w:rPr>
      <w:instrText xml:space="preserve"> DOCPROPERTY  xBoardLine2  </w:instrText>
    </w:r>
    <w:r w:rsidRPr="000E73BC">
      <w:rPr>
        <w:rStyle w:val="Blue"/>
        <w:b/>
      </w:rPr>
      <w:fldChar w:fldCharType="separate"/>
    </w:r>
    <w:r w:rsidR="00383D8B">
      <w:rPr>
        <w:rStyle w:val="Blue"/>
        <w:b/>
      </w:rPr>
      <w:t>Health Practitioner</w:t>
    </w:r>
    <w:r w:rsidRPr="000E73BC">
      <w:rPr>
        <w:rStyle w:val="Blue"/>
        <w:b/>
      </w:rPr>
      <w:fldChar w:fldCharType="end"/>
    </w:r>
    <w:r w:rsidRPr="000E73BC">
      <w:rPr>
        <w:b/>
      </w:rPr>
      <w:t xml:space="preserve"> </w:t>
    </w:r>
    <w:r w:rsidRPr="000E73BC">
      <w:rPr>
        <w:b/>
      </w:rPr>
      <w:fldChar w:fldCharType="begin"/>
    </w:r>
    <w:r w:rsidRPr="000E73BC">
      <w:rPr>
        <w:b/>
      </w:rPr>
      <w:instrText xml:space="preserve"> DOCPROPERTY  xBoardLine3  </w:instrText>
    </w:r>
    <w:r w:rsidRPr="000E73BC">
      <w:rPr>
        <w:b/>
      </w:rPr>
      <w:fldChar w:fldCharType="separate"/>
    </w:r>
    <w:r w:rsidR="00383D8B">
      <w:rPr>
        <w:b/>
      </w:rPr>
      <w:t>Regulation Agency</w:t>
    </w:r>
    <w:r w:rsidRPr="000E73BC">
      <w:rPr>
        <w:b/>
      </w:rPr>
      <w:fldChar w:fldCharType="end"/>
    </w:r>
  </w:p>
  <w:p w:rsidR="007A0DBF" w:rsidRPr="004746DB" w:rsidRDefault="007A0DBF" w:rsidP="00FD77AB">
    <w:pPr>
      <w:pStyle w:val="Footer"/>
      <w:ind w:right="-15"/>
    </w:pPr>
    <w:r w:rsidRPr="003251B0">
      <w:t xml:space="preserve">G.P.O. Box 9958   </w:t>
    </w:r>
    <w:r w:rsidRPr="003251B0">
      <w:rPr>
        <w:b/>
        <w:color w:val="007DC3"/>
      </w:rPr>
      <w:t>|</w:t>
    </w:r>
    <w:r w:rsidRPr="003251B0">
      <w:t xml:space="preserve">   </w:t>
    </w:r>
    <w:r w:rsidR="00383D8B">
      <w:fldChar w:fldCharType="begin"/>
    </w:r>
    <w:r w:rsidR="00383D8B">
      <w:instrText xml:space="preserve"> DOCPROPERTY  xOffice  \* MERGEFORMAT </w:instrText>
    </w:r>
    <w:r w:rsidR="00383D8B">
      <w:fldChar w:fldCharType="separate"/>
    </w:r>
    <w:r w:rsidR="00383D8B">
      <w:t>Melbourne VIC 3001</w:t>
    </w:r>
    <w:r w:rsidR="00383D8B">
      <w:fldChar w:fldCharType="end"/>
    </w:r>
    <w:r w:rsidRPr="003251B0">
      <w:t xml:space="preserve">   </w:t>
    </w:r>
    <w:r w:rsidRPr="003251B0">
      <w:rPr>
        <w:b/>
        <w:color w:val="007DC3"/>
      </w:rPr>
      <w:t>|</w:t>
    </w:r>
    <w:r w:rsidRPr="003251B0">
      <w:t xml:space="preserve">   </w:t>
    </w:r>
    <w:r w:rsidR="00F92CB6">
      <w:fldChar w:fldCharType="begin"/>
    </w:r>
    <w:r w:rsidR="00F92CB6">
      <w:instrText xml:space="preserve"> DOCPROPERTY  xWeb  \* MERGEFORMAT </w:instrText>
    </w:r>
    <w:r w:rsidR="00F92CB6">
      <w:fldChar w:fldCharType="separate"/>
    </w:r>
    <w:r w:rsidR="00383D8B">
      <w:t>www.ahpra.gov.au</w:t>
    </w:r>
    <w:r w:rsidR="00F92CB6">
      <w:fldChar w:fldCharType="end"/>
    </w:r>
    <w:r w:rsidRPr="003251B0">
      <w:t xml:space="preserve">   </w:t>
    </w:r>
    <w:r w:rsidRPr="003251B0">
      <w:rPr>
        <w:b/>
        <w:color w:val="007DC3"/>
      </w:rPr>
      <w:t>|</w:t>
    </w:r>
    <w:r w:rsidRPr="003251B0">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A2E" w:rsidRDefault="00997A2E" w:rsidP="000E7E28">
      <w:r>
        <w:separator/>
      </w:r>
    </w:p>
    <w:p w:rsidR="00997A2E" w:rsidRDefault="00997A2E"/>
    <w:p w:rsidR="00997A2E" w:rsidRDefault="00997A2E"/>
  </w:footnote>
  <w:footnote w:type="continuationSeparator" w:id="0">
    <w:p w:rsidR="00997A2E" w:rsidRDefault="00997A2E" w:rsidP="00FC2881">
      <w:r>
        <w:continuationSeparator/>
      </w:r>
    </w:p>
    <w:p w:rsidR="00997A2E" w:rsidRDefault="00997A2E"/>
    <w:p w:rsidR="00997A2E" w:rsidRDefault="00997A2E"/>
    <w:p w:rsidR="00997A2E" w:rsidRDefault="00997A2E"/>
  </w:footnote>
  <w:footnote w:type="continuationNotice" w:id="1">
    <w:p w:rsidR="00997A2E" w:rsidRDefault="00997A2E"/>
    <w:p w:rsidR="00997A2E" w:rsidRDefault="00997A2E"/>
    <w:p w:rsidR="00997A2E" w:rsidRDefault="00997A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0E" w:rsidRDefault="002A000E" w:rsidP="002A000E">
    <w:pPr>
      <w:pStyle w:val="Header"/>
      <w:spacing w:after="0"/>
      <w:ind w:right="-37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832583" w:rsidP="00832583">
    <w:pPr>
      <w:pStyle w:val="Header"/>
      <w:tabs>
        <w:tab w:val="left" w:pos="7012"/>
        <w:tab w:val="left" w:pos="7576"/>
        <w:tab w:val="right" w:pos="9781"/>
      </w:tabs>
      <w:jc w:val="left"/>
    </w:pPr>
    <w:r>
      <w:tab/>
    </w:r>
    <w:r>
      <w:tab/>
    </w:r>
    <w:r>
      <w:tab/>
    </w:r>
    <w:r w:rsidR="00997A2E" w:rsidRPr="00D043FE">
      <w:rPr>
        <w:lang w:eastAsia="en-AU"/>
      </w:rPr>
      <w:drawing>
        <wp:anchor distT="0" distB="0" distL="114300" distR="114300" simplePos="0" relativeHeight="251658752" behindDoc="1" locked="0" layoutInCell="1" allowOverlap="1">
          <wp:simplePos x="0" y="0"/>
          <wp:positionH relativeFrom="column">
            <wp:align>right</wp:align>
          </wp:positionH>
          <wp:positionV relativeFrom="paragraph">
            <wp:posOffset>0</wp:posOffset>
          </wp:positionV>
          <wp:extent cx="2707200" cy="1008000"/>
          <wp:effectExtent l="0" t="0" r="0" b="1905"/>
          <wp:wrapNone/>
          <wp:docPr id="35" name="Picture 35" descr="AHPRA and National Board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ombinedBoards_14.emf"/>
                  <pic:cNvPicPr/>
                </pic:nvPicPr>
                <pic:blipFill>
                  <a:blip r:embed="rId1">
                    <a:extLst>
                      <a:ext uri="{28A0092B-C50C-407E-A947-70E740481C1C}">
                        <a14:useLocalDpi xmlns:a14="http://schemas.microsoft.com/office/drawing/2010/main" val="0"/>
                      </a:ext>
                    </a:extLst>
                  </a:blip>
                  <a:stretch>
                    <a:fillRect/>
                  </a:stretch>
                </pic:blipFill>
                <pic:spPr>
                  <a:xfrm>
                    <a:off x="0" y="0"/>
                    <a:ext cx="2707200" cy="100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4F5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46E2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A8955A"/>
    <w:lvl w:ilvl="0">
      <w:start w:val="1"/>
      <w:numFmt w:val="decimal"/>
      <w:lvlText w:val="%1."/>
      <w:lvlJc w:val="left"/>
      <w:pPr>
        <w:tabs>
          <w:tab w:val="num" w:pos="360"/>
        </w:tabs>
        <w:ind w:left="360" w:hanging="360"/>
      </w:pPr>
    </w:lvl>
  </w:abstractNum>
  <w:abstractNum w:abstractNumId="9">
    <w:nsid w:val="FFFFFF89"/>
    <w:multiLevelType w:val="singleLevel"/>
    <w:tmpl w:val="028C2590"/>
    <w:lvl w:ilvl="0">
      <w:start w:val="1"/>
      <w:numFmt w:val="bullet"/>
      <w:lvlText w:val=""/>
      <w:lvlJc w:val="left"/>
      <w:pPr>
        <w:tabs>
          <w:tab w:val="num" w:pos="360"/>
        </w:tabs>
        <w:ind w:left="360" w:hanging="360"/>
      </w:pPr>
      <w:rPr>
        <w:rFonts w:ascii="Symbol" w:hAnsi="Symbol" w:hint="default"/>
      </w:rPr>
    </w:lvl>
  </w:abstractNum>
  <w:abstractNum w:abstractNumId="10">
    <w:nsid w:val="00D81F5D"/>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937464F"/>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4">
    <w:nsid w:val="156A35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5">
    <w:nsid w:val="169227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6">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7">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8">
    <w:nsid w:val="23AF19FF"/>
    <w:multiLevelType w:val="multilevel"/>
    <w:tmpl w:val="E322426C"/>
    <w:lvl w:ilvl="0">
      <w:start w:val="2"/>
      <w:numFmt w:val="decimal"/>
      <w:lvlText w:val="%1.1"/>
      <w:lvlJc w:val="left"/>
      <w:pPr>
        <w:ind w:left="360" w:hanging="360"/>
      </w:pPr>
      <w:rPr>
        <w:rFonts w:hint="default"/>
      </w:rPr>
    </w:lvl>
    <w:lvl w:ilvl="1">
      <w:start w:val="1"/>
      <w:numFmt w:val="decimal"/>
      <w:lvlText w:val="%1.%2"/>
      <w:lvlJc w:val="left"/>
      <w:pPr>
        <w:ind w:left="502" w:hanging="360"/>
      </w:pPr>
      <w:rPr>
        <w:rFonts w:ascii="Arial" w:hAnsi="Arial" w:cs="Symbol"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B70906"/>
    <w:multiLevelType w:val="multilevel"/>
    <w:tmpl w:val="E322426C"/>
    <w:lvl w:ilvl="0">
      <w:start w:val="2"/>
      <w:numFmt w:val="decimal"/>
      <w:lvlText w:val="%1.1"/>
      <w:lvlJc w:val="left"/>
      <w:pPr>
        <w:ind w:left="360" w:hanging="360"/>
      </w:pPr>
      <w:rPr>
        <w:rFonts w:hint="default"/>
      </w:rPr>
    </w:lvl>
    <w:lvl w:ilvl="1">
      <w:start w:val="1"/>
      <w:numFmt w:val="decimal"/>
      <w:lvlText w:val="%1.%2"/>
      <w:lvlJc w:val="left"/>
      <w:pPr>
        <w:ind w:left="502" w:hanging="360"/>
      </w:pPr>
      <w:rPr>
        <w:rFonts w:ascii="Arial" w:hAnsi="Arial" w:cs="Symbol"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60D33"/>
    <w:multiLevelType w:val="hybridMultilevel"/>
    <w:tmpl w:val="0ECC26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1EF1E29"/>
    <w:multiLevelType w:val="hybridMultilevel"/>
    <w:tmpl w:val="4D3EC3BA"/>
    <w:lvl w:ilvl="0" w:tplc="83084206">
      <w:start w:val="2"/>
      <w:numFmt w:val="decimal"/>
      <w:lvlText w:val="%1.2"/>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8192FC6"/>
    <w:multiLevelType w:val="hybridMultilevel"/>
    <w:tmpl w:val="F9DAB818"/>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142C3"/>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6">
    <w:nsid w:val="571E625E"/>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7">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9">
    <w:nsid w:val="6ACC55E0"/>
    <w:multiLevelType w:val="hybridMultilevel"/>
    <w:tmpl w:val="859E9746"/>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A503A8"/>
    <w:multiLevelType w:val="multilevel"/>
    <w:tmpl w:val="0A48D604"/>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Arial" w:hAnsi="Arial" w:cs="Symbol"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FC82BE4"/>
    <w:multiLevelType w:val="hybridMultilevel"/>
    <w:tmpl w:val="1186A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50A5F21"/>
    <w:multiLevelType w:val="hybridMultilevel"/>
    <w:tmpl w:val="C584EED2"/>
    <w:lvl w:ilvl="0" w:tplc="31888D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6044295"/>
    <w:multiLevelType w:val="hybridMultilevel"/>
    <w:tmpl w:val="6338CA24"/>
    <w:lvl w:ilvl="0" w:tplc="3C5E499A">
      <w:start w:val="1"/>
      <w:numFmt w:val="decimal"/>
      <w:pStyle w:val="Bodycontext"/>
      <w:lvlText w:val="%1."/>
      <w:lvlJc w:val="left"/>
      <w:pPr>
        <w:ind w:left="0"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A0856E0"/>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5">
    <w:nsid w:val="7C2610BB"/>
    <w:multiLevelType w:val="hybridMultilevel"/>
    <w:tmpl w:val="E014072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731660"/>
    <w:multiLevelType w:val="multilevel"/>
    <w:tmpl w:val="E0AA6FF6"/>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9"/>
  </w:num>
  <w:num w:numId="2">
    <w:abstractNumId w:val="24"/>
  </w:num>
  <w:num w:numId="3">
    <w:abstractNumId w:val="14"/>
  </w:num>
  <w:num w:numId="4">
    <w:abstractNumId w:val="34"/>
  </w:num>
  <w:num w:numId="5">
    <w:abstractNumId w:val="25"/>
  </w:num>
  <w:num w:numId="6">
    <w:abstractNumId w:val="10"/>
  </w:num>
  <w:num w:numId="7">
    <w:abstractNumId w:val="15"/>
  </w:num>
  <w:num w:numId="8">
    <w:abstractNumId w:val="21"/>
  </w:num>
  <w:num w:numId="9">
    <w:abstractNumId w:val="35"/>
  </w:num>
  <w:num w:numId="10">
    <w:abstractNumId w:val="26"/>
  </w:num>
  <w:num w:numId="11">
    <w:abstractNumId w:val="13"/>
  </w:num>
  <w:num w:numId="12">
    <w:abstractNumId w:val="12"/>
  </w:num>
  <w:num w:numId="13">
    <w:abstractNumId w:val="36"/>
  </w:num>
  <w:num w:numId="14">
    <w:abstractNumId w:val="28"/>
  </w:num>
  <w:num w:numId="15">
    <w:abstractNumId w:val="27"/>
  </w:num>
  <w:num w:numId="1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19"/>
  </w:num>
  <w:num w:numId="32">
    <w:abstractNumId w:val="19"/>
  </w:num>
  <w:num w:numId="33">
    <w:abstractNumId w:val="19"/>
  </w:num>
  <w:num w:numId="34">
    <w:abstractNumId w:val="11"/>
  </w:num>
  <w:num w:numId="35">
    <w:abstractNumId w:val="19"/>
  </w:num>
  <w:num w:numId="36">
    <w:abstractNumId w:val="19"/>
  </w:num>
  <w:num w:numId="37">
    <w:abstractNumId w:val="19"/>
  </w:num>
  <w:num w:numId="38">
    <w:abstractNumId w:val="16"/>
  </w:num>
  <w:num w:numId="39">
    <w:abstractNumId w:val="17"/>
  </w:num>
  <w:num w:numId="40">
    <w:abstractNumId w:val="33"/>
  </w:num>
  <w:num w:numId="41">
    <w:abstractNumId w:val="17"/>
  </w:num>
  <w:num w:numId="42">
    <w:abstractNumId w:val="22"/>
  </w:num>
  <w:num w:numId="43">
    <w:abstractNumId w:val="30"/>
  </w:num>
  <w:num w:numId="44">
    <w:abstractNumId w:val="31"/>
  </w:num>
  <w:num w:numId="45">
    <w:abstractNumId w:val="23"/>
  </w:num>
  <w:num w:numId="46">
    <w:abstractNumId w:val="20"/>
  </w:num>
  <w:num w:numId="47">
    <w:abstractNumId w:val="18"/>
  </w:num>
  <w:num w:numId="48">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lickAndTypeStyle w:val="BodyText"/>
  <w:drawingGridHorizontalSpacing w:val="11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997A2E"/>
    <w:rsid w:val="00000033"/>
    <w:rsid w:val="000002E9"/>
    <w:rsid w:val="0000161A"/>
    <w:rsid w:val="00006922"/>
    <w:rsid w:val="00015810"/>
    <w:rsid w:val="00017F92"/>
    <w:rsid w:val="00021C07"/>
    <w:rsid w:val="00026E6A"/>
    <w:rsid w:val="000334D7"/>
    <w:rsid w:val="00037680"/>
    <w:rsid w:val="00037B6C"/>
    <w:rsid w:val="00037D3E"/>
    <w:rsid w:val="0004470A"/>
    <w:rsid w:val="00044F06"/>
    <w:rsid w:val="00046B93"/>
    <w:rsid w:val="00047B87"/>
    <w:rsid w:val="00060217"/>
    <w:rsid w:val="00061C14"/>
    <w:rsid w:val="00064A19"/>
    <w:rsid w:val="00071439"/>
    <w:rsid w:val="000716C1"/>
    <w:rsid w:val="00080C29"/>
    <w:rsid w:val="000854D8"/>
    <w:rsid w:val="000855B3"/>
    <w:rsid w:val="00091D44"/>
    <w:rsid w:val="000945FB"/>
    <w:rsid w:val="00094E04"/>
    <w:rsid w:val="00095444"/>
    <w:rsid w:val="000A6BF7"/>
    <w:rsid w:val="000A767E"/>
    <w:rsid w:val="000B4139"/>
    <w:rsid w:val="000C1AB8"/>
    <w:rsid w:val="000C512C"/>
    <w:rsid w:val="000D15D2"/>
    <w:rsid w:val="000D5BC4"/>
    <w:rsid w:val="000E2DC1"/>
    <w:rsid w:val="000E2E3D"/>
    <w:rsid w:val="000E3B88"/>
    <w:rsid w:val="000E73BC"/>
    <w:rsid w:val="000E7E28"/>
    <w:rsid w:val="000F5D90"/>
    <w:rsid w:val="0010139F"/>
    <w:rsid w:val="001276C2"/>
    <w:rsid w:val="0014210B"/>
    <w:rsid w:val="00143CC2"/>
    <w:rsid w:val="00144DEF"/>
    <w:rsid w:val="001506FE"/>
    <w:rsid w:val="001602DD"/>
    <w:rsid w:val="001612BA"/>
    <w:rsid w:val="00162013"/>
    <w:rsid w:val="00164F0C"/>
    <w:rsid w:val="001765D0"/>
    <w:rsid w:val="0019772C"/>
    <w:rsid w:val="001B4A46"/>
    <w:rsid w:val="001C2CA5"/>
    <w:rsid w:val="001C425C"/>
    <w:rsid w:val="001D006B"/>
    <w:rsid w:val="001D12A7"/>
    <w:rsid w:val="001D1851"/>
    <w:rsid w:val="001E0A9C"/>
    <w:rsid w:val="001E1937"/>
    <w:rsid w:val="001E1E31"/>
    <w:rsid w:val="001E2849"/>
    <w:rsid w:val="001E310D"/>
    <w:rsid w:val="001E4A94"/>
    <w:rsid w:val="001E5621"/>
    <w:rsid w:val="001E78C5"/>
    <w:rsid w:val="001E7F89"/>
    <w:rsid w:val="001F0320"/>
    <w:rsid w:val="001F0AFD"/>
    <w:rsid w:val="001F25BA"/>
    <w:rsid w:val="001F2B06"/>
    <w:rsid w:val="00201E71"/>
    <w:rsid w:val="0020335C"/>
    <w:rsid w:val="00206C26"/>
    <w:rsid w:val="0021204F"/>
    <w:rsid w:val="00213F25"/>
    <w:rsid w:val="00220A3B"/>
    <w:rsid w:val="00224708"/>
    <w:rsid w:val="00233790"/>
    <w:rsid w:val="00240708"/>
    <w:rsid w:val="002459FB"/>
    <w:rsid w:val="002700B9"/>
    <w:rsid w:val="00275CD5"/>
    <w:rsid w:val="002773BB"/>
    <w:rsid w:val="0028013F"/>
    <w:rsid w:val="00283894"/>
    <w:rsid w:val="002926A9"/>
    <w:rsid w:val="00292B6B"/>
    <w:rsid w:val="00295B44"/>
    <w:rsid w:val="00295FA0"/>
    <w:rsid w:val="002A000E"/>
    <w:rsid w:val="002B2D48"/>
    <w:rsid w:val="002B3208"/>
    <w:rsid w:val="002C08FB"/>
    <w:rsid w:val="002C34EA"/>
    <w:rsid w:val="002C60B2"/>
    <w:rsid w:val="002D384E"/>
    <w:rsid w:val="002E094E"/>
    <w:rsid w:val="002E2176"/>
    <w:rsid w:val="002E4160"/>
    <w:rsid w:val="002E53D8"/>
    <w:rsid w:val="002F3873"/>
    <w:rsid w:val="002F4C83"/>
    <w:rsid w:val="00303BE1"/>
    <w:rsid w:val="003043CC"/>
    <w:rsid w:val="0030487C"/>
    <w:rsid w:val="003050FA"/>
    <w:rsid w:val="00305AFC"/>
    <w:rsid w:val="00306870"/>
    <w:rsid w:val="0031290C"/>
    <w:rsid w:val="00316920"/>
    <w:rsid w:val="00333985"/>
    <w:rsid w:val="003354E4"/>
    <w:rsid w:val="00341318"/>
    <w:rsid w:val="003459DE"/>
    <w:rsid w:val="00353D8A"/>
    <w:rsid w:val="00354BF5"/>
    <w:rsid w:val="00362071"/>
    <w:rsid w:val="0037393E"/>
    <w:rsid w:val="0037520E"/>
    <w:rsid w:val="00376658"/>
    <w:rsid w:val="00383D8B"/>
    <w:rsid w:val="00385923"/>
    <w:rsid w:val="0038620E"/>
    <w:rsid w:val="00387617"/>
    <w:rsid w:val="00393C57"/>
    <w:rsid w:val="003A6663"/>
    <w:rsid w:val="003B1B7E"/>
    <w:rsid w:val="003D37B9"/>
    <w:rsid w:val="003D6DBD"/>
    <w:rsid w:val="003E00B5"/>
    <w:rsid w:val="003E3268"/>
    <w:rsid w:val="003E5071"/>
    <w:rsid w:val="003F2F06"/>
    <w:rsid w:val="003F3768"/>
    <w:rsid w:val="00405A61"/>
    <w:rsid w:val="00405C0A"/>
    <w:rsid w:val="00414F2C"/>
    <w:rsid w:val="00421B4D"/>
    <w:rsid w:val="00423E17"/>
    <w:rsid w:val="0043748A"/>
    <w:rsid w:val="00442124"/>
    <w:rsid w:val="00445590"/>
    <w:rsid w:val="00450B34"/>
    <w:rsid w:val="004606A7"/>
    <w:rsid w:val="00461C91"/>
    <w:rsid w:val="00462CF2"/>
    <w:rsid w:val="00463A7D"/>
    <w:rsid w:val="004746DB"/>
    <w:rsid w:val="00476845"/>
    <w:rsid w:val="004928C6"/>
    <w:rsid w:val="004A5E5D"/>
    <w:rsid w:val="004A78AB"/>
    <w:rsid w:val="004B5E85"/>
    <w:rsid w:val="004B747B"/>
    <w:rsid w:val="004C28C6"/>
    <w:rsid w:val="004C6889"/>
    <w:rsid w:val="004D743D"/>
    <w:rsid w:val="004D7537"/>
    <w:rsid w:val="004E3901"/>
    <w:rsid w:val="004F1724"/>
    <w:rsid w:val="004F4B61"/>
    <w:rsid w:val="004F4FFD"/>
    <w:rsid w:val="004F5811"/>
    <w:rsid w:val="004F5C05"/>
    <w:rsid w:val="00500E02"/>
    <w:rsid w:val="0050263B"/>
    <w:rsid w:val="00506D4F"/>
    <w:rsid w:val="005103F4"/>
    <w:rsid w:val="00513666"/>
    <w:rsid w:val="00521619"/>
    <w:rsid w:val="00523BFC"/>
    <w:rsid w:val="00536208"/>
    <w:rsid w:val="0053749F"/>
    <w:rsid w:val="005412EC"/>
    <w:rsid w:val="00546C3A"/>
    <w:rsid w:val="00553A4C"/>
    <w:rsid w:val="00554335"/>
    <w:rsid w:val="005565CE"/>
    <w:rsid w:val="005708AE"/>
    <w:rsid w:val="0057093E"/>
    <w:rsid w:val="005711E0"/>
    <w:rsid w:val="005816B4"/>
    <w:rsid w:val="00583AAD"/>
    <w:rsid w:val="005869C7"/>
    <w:rsid w:val="00593C13"/>
    <w:rsid w:val="00594A1B"/>
    <w:rsid w:val="005A0FA9"/>
    <w:rsid w:val="005A78AC"/>
    <w:rsid w:val="005B4DA9"/>
    <w:rsid w:val="005B4F22"/>
    <w:rsid w:val="005C1DD4"/>
    <w:rsid w:val="005C5932"/>
    <w:rsid w:val="005C5DFF"/>
    <w:rsid w:val="005C6817"/>
    <w:rsid w:val="005E2917"/>
    <w:rsid w:val="005E3457"/>
    <w:rsid w:val="005F30E1"/>
    <w:rsid w:val="005F4845"/>
    <w:rsid w:val="006075BD"/>
    <w:rsid w:val="00616043"/>
    <w:rsid w:val="00620ADC"/>
    <w:rsid w:val="00623CAA"/>
    <w:rsid w:val="00624930"/>
    <w:rsid w:val="006277AF"/>
    <w:rsid w:val="00627B20"/>
    <w:rsid w:val="00627E73"/>
    <w:rsid w:val="00630DEE"/>
    <w:rsid w:val="0064047A"/>
    <w:rsid w:val="00640B2C"/>
    <w:rsid w:val="0064245E"/>
    <w:rsid w:val="006549DA"/>
    <w:rsid w:val="00654FC8"/>
    <w:rsid w:val="00661D95"/>
    <w:rsid w:val="00662594"/>
    <w:rsid w:val="00667CAD"/>
    <w:rsid w:val="00681D5E"/>
    <w:rsid w:val="0068203A"/>
    <w:rsid w:val="0068314E"/>
    <w:rsid w:val="0068396D"/>
    <w:rsid w:val="0069168C"/>
    <w:rsid w:val="006951A5"/>
    <w:rsid w:val="006A32D2"/>
    <w:rsid w:val="006B16AC"/>
    <w:rsid w:val="006B5ECF"/>
    <w:rsid w:val="006C0257"/>
    <w:rsid w:val="006C0E29"/>
    <w:rsid w:val="006C18F0"/>
    <w:rsid w:val="006D30FE"/>
    <w:rsid w:val="006D3757"/>
    <w:rsid w:val="006E1A3F"/>
    <w:rsid w:val="006F52B1"/>
    <w:rsid w:val="006F6EE1"/>
    <w:rsid w:val="006F7348"/>
    <w:rsid w:val="006F796D"/>
    <w:rsid w:val="0070155F"/>
    <w:rsid w:val="00704F1F"/>
    <w:rsid w:val="0070795B"/>
    <w:rsid w:val="00710097"/>
    <w:rsid w:val="00712036"/>
    <w:rsid w:val="00720DB0"/>
    <w:rsid w:val="007223A2"/>
    <w:rsid w:val="00727048"/>
    <w:rsid w:val="00733DAE"/>
    <w:rsid w:val="007372A4"/>
    <w:rsid w:val="00741B04"/>
    <w:rsid w:val="007432A4"/>
    <w:rsid w:val="00744B80"/>
    <w:rsid w:val="0076115C"/>
    <w:rsid w:val="007664F3"/>
    <w:rsid w:val="007824B8"/>
    <w:rsid w:val="007832A2"/>
    <w:rsid w:val="00785670"/>
    <w:rsid w:val="0079197C"/>
    <w:rsid w:val="00792A91"/>
    <w:rsid w:val="007945CF"/>
    <w:rsid w:val="0079735C"/>
    <w:rsid w:val="007A0DBF"/>
    <w:rsid w:val="007A35B9"/>
    <w:rsid w:val="007A7D9E"/>
    <w:rsid w:val="007B773E"/>
    <w:rsid w:val="007B77D6"/>
    <w:rsid w:val="007C0B6E"/>
    <w:rsid w:val="007C333B"/>
    <w:rsid w:val="007C43D8"/>
    <w:rsid w:val="007C4766"/>
    <w:rsid w:val="007D0556"/>
    <w:rsid w:val="007D4836"/>
    <w:rsid w:val="007E215A"/>
    <w:rsid w:val="007E2725"/>
    <w:rsid w:val="007E2C84"/>
    <w:rsid w:val="007E3545"/>
    <w:rsid w:val="007E56CB"/>
    <w:rsid w:val="007E59E0"/>
    <w:rsid w:val="007E7B12"/>
    <w:rsid w:val="007F0095"/>
    <w:rsid w:val="00801E9C"/>
    <w:rsid w:val="008022D6"/>
    <w:rsid w:val="008104C2"/>
    <w:rsid w:val="00812DED"/>
    <w:rsid w:val="00813B57"/>
    <w:rsid w:val="00824427"/>
    <w:rsid w:val="00825AE0"/>
    <w:rsid w:val="00832583"/>
    <w:rsid w:val="008338F7"/>
    <w:rsid w:val="00836397"/>
    <w:rsid w:val="00845054"/>
    <w:rsid w:val="0084692E"/>
    <w:rsid w:val="00852D1C"/>
    <w:rsid w:val="008531C9"/>
    <w:rsid w:val="00853A6B"/>
    <w:rsid w:val="00856147"/>
    <w:rsid w:val="008567AE"/>
    <w:rsid w:val="00860F40"/>
    <w:rsid w:val="008615C9"/>
    <w:rsid w:val="00862C03"/>
    <w:rsid w:val="00864020"/>
    <w:rsid w:val="0087000E"/>
    <w:rsid w:val="00870052"/>
    <w:rsid w:val="00877659"/>
    <w:rsid w:val="008811D6"/>
    <w:rsid w:val="008850DC"/>
    <w:rsid w:val="00890572"/>
    <w:rsid w:val="00891254"/>
    <w:rsid w:val="008979D5"/>
    <w:rsid w:val="008A4C3B"/>
    <w:rsid w:val="008B2AD7"/>
    <w:rsid w:val="008C0EB7"/>
    <w:rsid w:val="008C28C3"/>
    <w:rsid w:val="008C2C82"/>
    <w:rsid w:val="008C4CC2"/>
    <w:rsid w:val="008D4206"/>
    <w:rsid w:val="008D4908"/>
    <w:rsid w:val="008D6B7E"/>
    <w:rsid w:val="008D7845"/>
    <w:rsid w:val="008E4B99"/>
    <w:rsid w:val="008E7121"/>
    <w:rsid w:val="008F51C3"/>
    <w:rsid w:val="0091541F"/>
    <w:rsid w:val="009226B7"/>
    <w:rsid w:val="00923B23"/>
    <w:rsid w:val="0092442B"/>
    <w:rsid w:val="00931E60"/>
    <w:rsid w:val="0093356B"/>
    <w:rsid w:val="00937ED0"/>
    <w:rsid w:val="00952797"/>
    <w:rsid w:val="00962BBE"/>
    <w:rsid w:val="00967F43"/>
    <w:rsid w:val="0097049B"/>
    <w:rsid w:val="00975A29"/>
    <w:rsid w:val="009777D3"/>
    <w:rsid w:val="00981019"/>
    <w:rsid w:val="009859E6"/>
    <w:rsid w:val="00996BFC"/>
    <w:rsid w:val="00997A2E"/>
    <w:rsid w:val="009A0A5D"/>
    <w:rsid w:val="009B2EB5"/>
    <w:rsid w:val="009C0BBF"/>
    <w:rsid w:val="009C6933"/>
    <w:rsid w:val="009C6957"/>
    <w:rsid w:val="009D1FCF"/>
    <w:rsid w:val="009D4F20"/>
    <w:rsid w:val="009F1A85"/>
    <w:rsid w:val="009F3ACB"/>
    <w:rsid w:val="009F3AEA"/>
    <w:rsid w:val="009F438F"/>
    <w:rsid w:val="009F6052"/>
    <w:rsid w:val="009F73E6"/>
    <w:rsid w:val="00A00917"/>
    <w:rsid w:val="00A00BB0"/>
    <w:rsid w:val="00A04C7A"/>
    <w:rsid w:val="00A058E5"/>
    <w:rsid w:val="00A05E19"/>
    <w:rsid w:val="00A06561"/>
    <w:rsid w:val="00A10C1A"/>
    <w:rsid w:val="00A2072E"/>
    <w:rsid w:val="00A20E34"/>
    <w:rsid w:val="00A213E2"/>
    <w:rsid w:val="00A237BB"/>
    <w:rsid w:val="00A2660A"/>
    <w:rsid w:val="00A318AA"/>
    <w:rsid w:val="00A36B03"/>
    <w:rsid w:val="00A42E7C"/>
    <w:rsid w:val="00A5033E"/>
    <w:rsid w:val="00A509AB"/>
    <w:rsid w:val="00A5225F"/>
    <w:rsid w:val="00A56C8F"/>
    <w:rsid w:val="00A65C6A"/>
    <w:rsid w:val="00A70173"/>
    <w:rsid w:val="00A7596A"/>
    <w:rsid w:val="00A7755A"/>
    <w:rsid w:val="00A82078"/>
    <w:rsid w:val="00A838C8"/>
    <w:rsid w:val="00A91118"/>
    <w:rsid w:val="00A91C42"/>
    <w:rsid w:val="00A94DF4"/>
    <w:rsid w:val="00A9516B"/>
    <w:rsid w:val="00A9780A"/>
    <w:rsid w:val="00AA00AF"/>
    <w:rsid w:val="00AA10A8"/>
    <w:rsid w:val="00AA267E"/>
    <w:rsid w:val="00AA2FC9"/>
    <w:rsid w:val="00AB038F"/>
    <w:rsid w:val="00AB146F"/>
    <w:rsid w:val="00AB283D"/>
    <w:rsid w:val="00AC3D63"/>
    <w:rsid w:val="00AC754A"/>
    <w:rsid w:val="00AD312E"/>
    <w:rsid w:val="00AD4B09"/>
    <w:rsid w:val="00AE1495"/>
    <w:rsid w:val="00AE2230"/>
    <w:rsid w:val="00AE3EAF"/>
    <w:rsid w:val="00AF2B73"/>
    <w:rsid w:val="00AF4A0E"/>
    <w:rsid w:val="00AF5B55"/>
    <w:rsid w:val="00B00D5D"/>
    <w:rsid w:val="00B024B0"/>
    <w:rsid w:val="00B0286D"/>
    <w:rsid w:val="00B0321C"/>
    <w:rsid w:val="00B07433"/>
    <w:rsid w:val="00B11E76"/>
    <w:rsid w:val="00B15642"/>
    <w:rsid w:val="00B16755"/>
    <w:rsid w:val="00B2529B"/>
    <w:rsid w:val="00B3239A"/>
    <w:rsid w:val="00B34EDA"/>
    <w:rsid w:val="00B41762"/>
    <w:rsid w:val="00B473EF"/>
    <w:rsid w:val="00B47520"/>
    <w:rsid w:val="00B51748"/>
    <w:rsid w:val="00B57198"/>
    <w:rsid w:val="00B61F0F"/>
    <w:rsid w:val="00B66C89"/>
    <w:rsid w:val="00B66F64"/>
    <w:rsid w:val="00B73F57"/>
    <w:rsid w:val="00B76387"/>
    <w:rsid w:val="00B82910"/>
    <w:rsid w:val="00B85023"/>
    <w:rsid w:val="00B91852"/>
    <w:rsid w:val="00B95029"/>
    <w:rsid w:val="00BA2456"/>
    <w:rsid w:val="00BA261B"/>
    <w:rsid w:val="00BA469B"/>
    <w:rsid w:val="00BA50A0"/>
    <w:rsid w:val="00BA7E28"/>
    <w:rsid w:val="00BB4A5B"/>
    <w:rsid w:val="00BC1A68"/>
    <w:rsid w:val="00BC2244"/>
    <w:rsid w:val="00BC5E94"/>
    <w:rsid w:val="00BC78A3"/>
    <w:rsid w:val="00BD1554"/>
    <w:rsid w:val="00BF1365"/>
    <w:rsid w:val="00BF2534"/>
    <w:rsid w:val="00BF4ABF"/>
    <w:rsid w:val="00BF79DC"/>
    <w:rsid w:val="00C20513"/>
    <w:rsid w:val="00C35DE1"/>
    <w:rsid w:val="00C35DF3"/>
    <w:rsid w:val="00C3795C"/>
    <w:rsid w:val="00C524AA"/>
    <w:rsid w:val="00C54689"/>
    <w:rsid w:val="00C76587"/>
    <w:rsid w:val="00C808E4"/>
    <w:rsid w:val="00C81B3A"/>
    <w:rsid w:val="00C92CC8"/>
    <w:rsid w:val="00C93A3E"/>
    <w:rsid w:val="00C9657C"/>
    <w:rsid w:val="00CA71A1"/>
    <w:rsid w:val="00CB26F9"/>
    <w:rsid w:val="00CB585F"/>
    <w:rsid w:val="00CB6949"/>
    <w:rsid w:val="00CB6C08"/>
    <w:rsid w:val="00CD0DCA"/>
    <w:rsid w:val="00CD2031"/>
    <w:rsid w:val="00CD7EB8"/>
    <w:rsid w:val="00CE7759"/>
    <w:rsid w:val="00CF53B1"/>
    <w:rsid w:val="00CF7A38"/>
    <w:rsid w:val="00D02326"/>
    <w:rsid w:val="00D027F0"/>
    <w:rsid w:val="00D043FE"/>
    <w:rsid w:val="00D12F61"/>
    <w:rsid w:val="00D16224"/>
    <w:rsid w:val="00D201C6"/>
    <w:rsid w:val="00D20413"/>
    <w:rsid w:val="00D2091C"/>
    <w:rsid w:val="00D23C0C"/>
    <w:rsid w:val="00D33992"/>
    <w:rsid w:val="00D638E0"/>
    <w:rsid w:val="00D716BA"/>
    <w:rsid w:val="00D73083"/>
    <w:rsid w:val="00D80E9A"/>
    <w:rsid w:val="00D828BD"/>
    <w:rsid w:val="00D8404D"/>
    <w:rsid w:val="00D934A4"/>
    <w:rsid w:val="00D93AE3"/>
    <w:rsid w:val="00D975C3"/>
    <w:rsid w:val="00DA3013"/>
    <w:rsid w:val="00DA33BB"/>
    <w:rsid w:val="00DA69A8"/>
    <w:rsid w:val="00DA707C"/>
    <w:rsid w:val="00DB1963"/>
    <w:rsid w:val="00DB698F"/>
    <w:rsid w:val="00DC2952"/>
    <w:rsid w:val="00DC5407"/>
    <w:rsid w:val="00DD0666"/>
    <w:rsid w:val="00DD579C"/>
    <w:rsid w:val="00DE3B70"/>
    <w:rsid w:val="00DE7713"/>
    <w:rsid w:val="00DF1AB7"/>
    <w:rsid w:val="00DF1EE9"/>
    <w:rsid w:val="00DF3E79"/>
    <w:rsid w:val="00DF53FB"/>
    <w:rsid w:val="00DF7974"/>
    <w:rsid w:val="00E033F4"/>
    <w:rsid w:val="00E06DAE"/>
    <w:rsid w:val="00E075B6"/>
    <w:rsid w:val="00E07C02"/>
    <w:rsid w:val="00E122CD"/>
    <w:rsid w:val="00E1254E"/>
    <w:rsid w:val="00E12B06"/>
    <w:rsid w:val="00E13887"/>
    <w:rsid w:val="00E15BF6"/>
    <w:rsid w:val="00E165A9"/>
    <w:rsid w:val="00E27505"/>
    <w:rsid w:val="00E37FB9"/>
    <w:rsid w:val="00E40577"/>
    <w:rsid w:val="00E5170F"/>
    <w:rsid w:val="00E61C81"/>
    <w:rsid w:val="00E63241"/>
    <w:rsid w:val="00E6377B"/>
    <w:rsid w:val="00E65B9D"/>
    <w:rsid w:val="00E704C0"/>
    <w:rsid w:val="00E71CB9"/>
    <w:rsid w:val="00E7357F"/>
    <w:rsid w:val="00E73698"/>
    <w:rsid w:val="00E74923"/>
    <w:rsid w:val="00E75ACD"/>
    <w:rsid w:val="00E75DFA"/>
    <w:rsid w:val="00E77E23"/>
    <w:rsid w:val="00E81D5B"/>
    <w:rsid w:val="00E8251C"/>
    <w:rsid w:val="00E844A0"/>
    <w:rsid w:val="00E866F6"/>
    <w:rsid w:val="00E91037"/>
    <w:rsid w:val="00E93DF0"/>
    <w:rsid w:val="00EA18D5"/>
    <w:rsid w:val="00EA3B57"/>
    <w:rsid w:val="00EB2EE1"/>
    <w:rsid w:val="00ED210E"/>
    <w:rsid w:val="00ED61A9"/>
    <w:rsid w:val="00EE2563"/>
    <w:rsid w:val="00EF1AA8"/>
    <w:rsid w:val="00F10E67"/>
    <w:rsid w:val="00F13ED2"/>
    <w:rsid w:val="00F157B8"/>
    <w:rsid w:val="00F26015"/>
    <w:rsid w:val="00F27ACB"/>
    <w:rsid w:val="00F35321"/>
    <w:rsid w:val="00F3616F"/>
    <w:rsid w:val="00F42509"/>
    <w:rsid w:val="00F47E23"/>
    <w:rsid w:val="00F5217A"/>
    <w:rsid w:val="00F6040B"/>
    <w:rsid w:val="00F6618F"/>
    <w:rsid w:val="00F6749B"/>
    <w:rsid w:val="00F67D28"/>
    <w:rsid w:val="00F70DD5"/>
    <w:rsid w:val="00F73165"/>
    <w:rsid w:val="00F75E40"/>
    <w:rsid w:val="00F809BF"/>
    <w:rsid w:val="00F90BCE"/>
    <w:rsid w:val="00F92CB6"/>
    <w:rsid w:val="00F95CA2"/>
    <w:rsid w:val="00FA6521"/>
    <w:rsid w:val="00FB0DB4"/>
    <w:rsid w:val="00FB531F"/>
    <w:rsid w:val="00FC2881"/>
    <w:rsid w:val="00FC6B27"/>
    <w:rsid w:val="00FD2D24"/>
    <w:rsid w:val="00FD39A0"/>
    <w:rsid w:val="00FD77AB"/>
    <w:rsid w:val="00FD7DC1"/>
    <w:rsid w:val="00FE57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E5B7DFF-042B-4C72-A5EB-CE516360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28BD"/>
    <w:pPr>
      <w:jc w:val="both"/>
    </w:pPr>
    <w:rPr>
      <w:rFonts w:eastAsia="Times New Roman" w:cs="Arial"/>
      <w:noProof/>
      <w:sz w:val="22"/>
      <w:szCs w:val="24"/>
      <w:lang w:val="en-AU" w:eastAsia="en-AU"/>
    </w:rPr>
  </w:style>
  <w:style w:type="paragraph" w:styleId="Heading1">
    <w:name w:val="heading 1"/>
    <w:next w:val="BodyText"/>
    <w:link w:val="Heading1Char"/>
    <w:uiPriority w:val="1"/>
    <w:rsid w:val="00C20513"/>
    <w:pPr>
      <w:keepNext/>
      <w:spacing w:before="200" w:after="200"/>
      <w:outlineLvl w:val="0"/>
    </w:pPr>
    <w:rPr>
      <w:noProof/>
      <w:color w:val="5F6062"/>
      <w:sz w:val="32"/>
      <w:szCs w:val="24"/>
      <w:lang w:val="en-AU"/>
    </w:rPr>
  </w:style>
  <w:style w:type="paragraph" w:styleId="Heading2">
    <w:name w:val="heading 2"/>
    <w:next w:val="BodyText"/>
    <w:link w:val="Heading2Char"/>
    <w:uiPriority w:val="1"/>
    <w:qFormat/>
    <w:rsid w:val="00785670"/>
    <w:pPr>
      <w:keepNext/>
      <w:spacing w:before="240" w:after="200"/>
      <w:outlineLvl w:val="1"/>
    </w:pPr>
    <w:rPr>
      <w:b/>
      <w:noProof/>
      <w:color w:val="007DC3"/>
      <w:sz w:val="28"/>
      <w:szCs w:val="28"/>
      <w:lang w:val="en-AU"/>
    </w:rPr>
  </w:style>
  <w:style w:type="paragraph" w:styleId="Heading3">
    <w:name w:val="heading 3"/>
    <w:next w:val="BodyText"/>
    <w:link w:val="Heading3Char"/>
    <w:uiPriority w:val="1"/>
    <w:qFormat/>
    <w:rsid w:val="00785670"/>
    <w:pPr>
      <w:keepNext/>
      <w:spacing w:before="240" w:after="200"/>
      <w:outlineLvl w:val="2"/>
    </w:pPr>
    <w:rPr>
      <w:noProof/>
      <w:color w:val="000000"/>
      <w:sz w:val="28"/>
      <w:szCs w:val="28"/>
      <w:lang w:val="en-AU"/>
    </w:rPr>
  </w:style>
  <w:style w:type="paragraph" w:styleId="Heading4">
    <w:name w:val="heading 4"/>
    <w:next w:val="BodyText"/>
    <w:link w:val="Heading4Char"/>
    <w:uiPriority w:val="1"/>
    <w:qFormat/>
    <w:rsid w:val="00785670"/>
    <w:pPr>
      <w:keepNext/>
      <w:spacing w:before="200" w:after="200"/>
      <w:outlineLvl w:val="3"/>
    </w:pPr>
    <w:rPr>
      <w:rFonts w:cs="Arial"/>
      <w:b/>
      <w:noProof/>
      <w:color w:val="007DC3"/>
      <w:sz w:val="24"/>
      <w:szCs w:val="24"/>
      <w:lang w:val="en-AU"/>
    </w:rPr>
  </w:style>
  <w:style w:type="paragraph" w:styleId="Heading5">
    <w:name w:val="heading 5"/>
    <w:basedOn w:val="BodyText"/>
    <w:next w:val="Normal"/>
    <w:link w:val="Heading5Char"/>
    <w:uiPriority w:val="1"/>
    <w:qFormat/>
    <w:rsid w:val="008022D6"/>
    <w:pPr>
      <w:keepNext/>
      <w:outlineLvl w:val="4"/>
    </w:pPr>
    <w:rPr>
      <w:b/>
    </w:rPr>
  </w:style>
  <w:style w:type="paragraph" w:styleId="Heading6">
    <w:name w:val="heading 6"/>
    <w:basedOn w:val="BodyText"/>
    <w:next w:val="Normal"/>
    <w:link w:val="Heading6Char"/>
    <w:uiPriority w:val="1"/>
    <w:qFormat/>
    <w:rsid w:val="008022D6"/>
    <w:pPr>
      <w:keepNext/>
      <w:outlineLvl w:val="5"/>
    </w:pPr>
    <w:rPr>
      <w:color w:val="007DC3"/>
    </w:rPr>
  </w:style>
  <w:style w:type="paragraph" w:styleId="Heading7">
    <w:name w:val="heading 7"/>
    <w:basedOn w:val="Normal"/>
    <w:next w:val="Normal"/>
    <w:link w:val="Heading7Char"/>
    <w:uiPriority w:val="1"/>
    <w:semiHidden/>
    <w:unhideWhenUsed/>
    <w:qFormat/>
    <w:rsid w:val="007856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7856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7856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239A"/>
    <w:rPr>
      <w:noProof/>
      <w:color w:val="5F6062"/>
      <w:sz w:val="32"/>
      <w:szCs w:val="24"/>
      <w:lang w:val="en-AU"/>
    </w:rPr>
  </w:style>
  <w:style w:type="paragraph" w:styleId="BalloonText">
    <w:name w:val="Balloon Text"/>
    <w:basedOn w:val="Normal"/>
    <w:link w:val="BalloonTextChar"/>
    <w:semiHidden/>
    <w:rsid w:val="00B82910"/>
    <w:rPr>
      <w:rFonts w:ascii="Tahoma" w:hAnsi="Tahoma" w:cs="Tahoma"/>
      <w:sz w:val="16"/>
      <w:szCs w:val="16"/>
    </w:rPr>
  </w:style>
  <w:style w:type="character" w:customStyle="1" w:styleId="Blue">
    <w:name w:val="Blue"/>
    <w:basedOn w:val="DefaultParagraphFont"/>
    <w:uiPriority w:val="9"/>
    <w:semiHidden/>
    <w:qFormat/>
    <w:rsid w:val="00785670"/>
    <w:rPr>
      <w:noProof/>
      <w:color w:val="007DC3"/>
      <w:lang w:val="en-AU"/>
    </w:rPr>
  </w:style>
  <w:style w:type="numbering" w:customStyle="1" w:styleId="AHPRABullets">
    <w:name w:val="AHPRA Bullets"/>
    <w:uiPriority w:val="99"/>
    <w:rsid w:val="00E81D5B"/>
    <w:pPr>
      <w:numPr>
        <w:numId w:val="17"/>
      </w:numPr>
    </w:pPr>
  </w:style>
  <w:style w:type="paragraph" w:customStyle="1" w:styleId="BodyTextBullets">
    <w:name w:val="Body Text Bullets"/>
    <w:uiPriority w:val="1"/>
    <w:qFormat/>
    <w:rsid w:val="006F6EE1"/>
    <w:pPr>
      <w:numPr>
        <w:numId w:val="17"/>
      </w:numPr>
      <w:spacing w:after="120"/>
    </w:pPr>
    <w:rPr>
      <w:rFonts w:eastAsia="Times New Roman" w:cs="Arial"/>
      <w:noProof/>
      <w:szCs w:val="24"/>
      <w:lang w:val="en-AU" w:eastAsia="en-AU"/>
    </w:rPr>
  </w:style>
  <w:style w:type="numbering" w:customStyle="1" w:styleId="AHPRAListBullets">
    <w:name w:val="AHPRA List Bullets"/>
    <w:uiPriority w:val="99"/>
    <w:rsid w:val="00E63241"/>
    <w:pPr>
      <w:numPr>
        <w:numId w:val="39"/>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uiPriority w:val="8"/>
    <w:rsid w:val="001D12A7"/>
    <w:pPr>
      <w:spacing w:before="80" w:after="80"/>
      <w:ind w:left="113" w:right="113"/>
    </w:pPr>
    <w:rPr>
      <w:rFonts w:eastAsia="Times New Roman" w:cs="Arial"/>
      <w:b/>
      <w:noProof/>
      <w:color w:val="FFFFFF"/>
      <w:lang w:val="en-AU" w:eastAsia="en-AU"/>
    </w:rPr>
  </w:style>
  <w:style w:type="paragraph" w:styleId="Footer">
    <w:name w:val="footer"/>
    <w:basedOn w:val="Normal"/>
    <w:link w:val="FooterChar"/>
    <w:uiPriority w:val="99"/>
    <w:semiHidden/>
    <w:rsid w:val="00D828BD"/>
    <w:pPr>
      <w:tabs>
        <w:tab w:val="right" w:pos="9407"/>
      </w:tabs>
      <w:ind w:right="1304"/>
      <w:jc w:val="center"/>
    </w:pPr>
    <w:rPr>
      <w:rFonts w:eastAsia="Cambria"/>
      <w:color w:val="5F6062"/>
      <w:sz w:val="18"/>
      <w:szCs w:val="20"/>
      <w:lang w:eastAsia="en-US"/>
    </w:rPr>
  </w:style>
  <w:style w:type="character" w:customStyle="1" w:styleId="Heading3Char">
    <w:name w:val="Heading 3 Char"/>
    <w:basedOn w:val="DefaultParagraphFont"/>
    <w:link w:val="Heading3"/>
    <w:uiPriority w:val="1"/>
    <w:rsid w:val="00B3239A"/>
    <w:rPr>
      <w:noProof/>
      <w:color w:val="000000"/>
      <w:sz w:val="28"/>
      <w:szCs w:val="28"/>
      <w:lang w:val="en-AU"/>
    </w:rPr>
  </w:style>
  <w:style w:type="paragraph" w:styleId="Header">
    <w:name w:val="header"/>
    <w:basedOn w:val="Normal"/>
    <w:link w:val="HeaderChar"/>
    <w:uiPriority w:val="1"/>
    <w:semiHidden/>
    <w:rsid w:val="0024070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1"/>
    <w:semiHidden/>
    <w:rsid w:val="00240708"/>
    <w:rPr>
      <w:noProof/>
      <w:sz w:val="24"/>
      <w:szCs w:val="24"/>
      <w:lang w:val="en-AU"/>
    </w:rPr>
  </w:style>
  <w:style w:type="paragraph" w:styleId="FootnoteText">
    <w:name w:val="footnote text"/>
    <w:link w:val="FootnoteTextChar"/>
    <w:uiPriority w:val="1"/>
    <w:semiHidden/>
    <w:unhideWhenUsed/>
    <w:rsid w:val="00091D44"/>
    <w:pPr>
      <w:spacing w:after="120"/>
    </w:pPr>
    <w:rPr>
      <w:noProof/>
      <w:sz w:val="18"/>
      <w:lang w:val="en-AU"/>
    </w:rPr>
  </w:style>
  <w:style w:type="character" w:customStyle="1" w:styleId="FootnoteTextChar">
    <w:name w:val="Footnote Text Char"/>
    <w:basedOn w:val="DefaultParagraphFont"/>
    <w:link w:val="FootnoteText"/>
    <w:uiPriority w:val="1"/>
    <w:semiHidden/>
    <w:rsid w:val="00094E04"/>
    <w:rPr>
      <w:noProof/>
      <w:sz w:val="18"/>
      <w:lang w:val="en-AU"/>
    </w:rPr>
  </w:style>
  <w:style w:type="character" w:styleId="FootnoteReference">
    <w:name w:val="footnote reference"/>
    <w:basedOn w:val="DefaultParagraphFont"/>
    <w:semiHidden/>
    <w:rsid w:val="00B34EDA"/>
    <w:rPr>
      <w:rFonts w:ascii="Arial" w:hAnsi="Arial"/>
      <w:noProof/>
      <w:color w:val="auto"/>
      <w:sz w:val="18"/>
      <w:vertAlign w:val="superscript"/>
      <w:lang w:val="en-AU"/>
    </w:rPr>
  </w:style>
  <w:style w:type="character" w:customStyle="1" w:styleId="Heading2Char">
    <w:name w:val="Heading 2 Char"/>
    <w:basedOn w:val="DefaultParagraphFont"/>
    <w:link w:val="Heading2"/>
    <w:uiPriority w:val="1"/>
    <w:rsid w:val="00B3239A"/>
    <w:rPr>
      <w:b/>
      <w:noProof/>
      <w:color w:val="007DC3"/>
      <w:sz w:val="28"/>
      <w:szCs w:val="28"/>
      <w:lang w:val="en-AU"/>
    </w:rPr>
  </w:style>
  <w:style w:type="paragraph" w:styleId="TOC2">
    <w:name w:val="toc 2"/>
    <w:basedOn w:val="Normal"/>
    <w:next w:val="Normal"/>
    <w:autoRedefine/>
    <w:uiPriority w:val="39"/>
    <w:semiHidden/>
    <w:rsid w:val="00A94DF4"/>
    <w:pPr>
      <w:spacing w:before="200" w:after="200"/>
      <w:ind w:left="240"/>
      <w:jc w:val="left"/>
    </w:pPr>
    <w:rPr>
      <w:rFonts w:eastAsia="Cambria" w:cs="Times New Roman"/>
      <w:sz w:val="20"/>
      <w:lang w:eastAsia="en-US"/>
    </w:rPr>
  </w:style>
  <w:style w:type="paragraph" w:styleId="TOC1">
    <w:name w:val="toc 1"/>
    <w:next w:val="Normal"/>
    <w:autoRedefine/>
    <w:uiPriority w:val="39"/>
    <w:semiHidden/>
    <w:rsid w:val="000D15D2"/>
    <w:pPr>
      <w:tabs>
        <w:tab w:val="right" w:leader="dot" w:pos="9488"/>
      </w:tabs>
    </w:pPr>
    <w:rPr>
      <w:b/>
      <w:noProof/>
      <w:color w:val="007DC3"/>
      <w:szCs w:val="24"/>
      <w:lang w:val="en-AU"/>
    </w:rPr>
  </w:style>
  <w:style w:type="paragraph" w:styleId="TOC3">
    <w:name w:val="toc 3"/>
    <w:basedOn w:val="Normal"/>
    <w:next w:val="Normal"/>
    <w:autoRedefine/>
    <w:uiPriority w:val="39"/>
    <w:semiHidden/>
    <w:rsid w:val="00A94DF4"/>
    <w:pPr>
      <w:spacing w:before="200" w:after="200"/>
      <w:ind w:left="480"/>
      <w:jc w:val="left"/>
    </w:pPr>
    <w:rPr>
      <w:rFonts w:eastAsia="Cambria" w:cs="Times New Roman"/>
      <w:color w:val="007DC3"/>
      <w:sz w:val="20"/>
      <w:lang w:eastAsia="en-US"/>
    </w:rPr>
  </w:style>
  <w:style w:type="character" w:styleId="Hyperlink">
    <w:name w:val="Hyperlink"/>
    <w:uiPriority w:val="99"/>
    <w:rsid w:val="00E73698"/>
    <w:rPr>
      <w:noProof/>
      <w:color w:val="0000FF"/>
      <w:u w:val="single"/>
      <w:lang w:val="en-AU"/>
    </w:rPr>
  </w:style>
  <w:style w:type="paragraph" w:customStyle="1" w:styleId="Tabletext">
    <w:name w:val="Table text"/>
    <w:uiPriority w:val="9"/>
    <w:rsid w:val="001D12A7"/>
    <w:pPr>
      <w:spacing w:before="80" w:after="80"/>
      <w:ind w:left="113" w:right="113"/>
    </w:pPr>
    <w:rPr>
      <w:rFonts w:cs="Arial"/>
      <w:noProof/>
      <w:lang w:val="en-AU"/>
    </w:rPr>
  </w:style>
  <w:style w:type="character" w:customStyle="1" w:styleId="BalloonTextChar">
    <w:name w:val="Balloon Text Char"/>
    <w:basedOn w:val="DefaultParagraphFont"/>
    <w:link w:val="BalloonText"/>
    <w:semiHidden/>
    <w:rsid w:val="00D828BD"/>
    <w:rPr>
      <w:rFonts w:ascii="Tahoma" w:eastAsia="Times New Roman" w:hAnsi="Tahoma" w:cs="Tahoma"/>
      <w:noProof/>
      <w:sz w:val="16"/>
      <w:szCs w:val="16"/>
      <w:lang w:val="en-AU" w:eastAsia="en-AU"/>
    </w:rPr>
  </w:style>
  <w:style w:type="character" w:styleId="IntenseEmphasis">
    <w:name w:val="Intense Emphasis"/>
    <w:aliases w:val="AHPRA- Footer"/>
    <w:uiPriority w:val="1"/>
    <w:semiHidden/>
    <w:unhideWhenUsed/>
    <w:qFormat/>
    <w:rsid w:val="00785670"/>
    <w:rPr>
      <w:rFonts w:ascii="Arial" w:hAnsi="Arial" w:cs="Arial"/>
      <w:noProof/>
      <w:sz w:val="16"/>
      <w:lang w:val="en-AU"/>
    </w:rPr>
  </w:style>
  <w:style w:type="character" w:customStyle="1" w:styleId="FooterChar">
    <w:name w:val="Footer Char"/>
    <w:basedOn w:val="DefaultParagraphFont"/>
    <w:link w:val="Footer"/>
    <w:uiPriority w:val="99"/>
    <w:semiHidden/>
    <w:rsid w:val="00D828BD"/>
    <w:rPr>
      <w:rFonts w:cs="Arial"/>
      <w:noProof/>
      <w:color w:val="5F6062"/>
      <w:sz w:val="18"/>
      <w:lang w:val="en-AU"/>
    </w:rPr>
  </w:style>
  <w:style w:type="numbering" w:customStyle="1" w:styleId="AHPRAHeadings">
    <w:name w:val="AHPRA Headings"/>
    <w:uiPriority w:val="99"/>
    <w:rsid w:val="00C20513"/>
    <w:pPr>
      <w:numPr>
        <w:numId w:val="15"/>
      </w:numPr>
    </w:pPr>
  </w:style>
  <w:style w:type="paragraph" w:styleId="TOCHeading">
    <w:name w:val="TOC Heading"/>
    <w:basedOn w:val="Normal"/>
    <w:next w:val="Normal"/>
    <w:uiPriority w:val="39"/>
    <w:semiHidden/>
    <w:rsid w:val="005E3457"/>
    <w:pPr>
      <w:keepLines/>
      <w:spacing w:before="480" w:line="276" w:lineRule="auto"/>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eastAsia="Times New Roman" w:hAnsi="Tahoma" w:cs="Tahoma"/>
      <w:noProof/>
      <w:sz w:val="16"/>
      <w:szCs w:val="16"/>
      <w:lang w:val="en-AU" w:eastAsia="en-AU"/>
    </w:rPr>
  </w:style>
  <w:style w:type="numbering" w:customStyle="1" w:styleId="AHPRAlist">
    <w:name w:val="AHPRA list"/>
    <w:uiPriority w:val="99"/>
    <w:rsid w:val="009F6052"/>
    <w:pPr>
      <w:numPr>
        <w:numId w:val="14"/>
      </w:numPr>
    </w:pPr>
  </w:style>
  <w:style w:type="paragraph" w:styleId="BodyText">
    <w:name w:val="Body Text"/>
    <w:basedOn w:val="Normal"/>
    <w:link w:val="BodyTextChar"/>
    <w:qFormat/>
    <w:rsid w:val="008022D6"/>
    <w:pPr>
      <w:spacing w:before="200" w:after="200"/>
      <w:jc w:val="left"/>
    </w:pPr>
    <w:rPr>
      <w:rFonts w:eastAsia="Cambria"/>
      <w:sz w:val="20"/>
      <w:lang w:eastAsia="en-US"/>
    </w:rPr>
  </w:style>
  <w:style w:type="character" w:customStyle="1" w:styleId="BodyTextChar">
    <w:name w:val="Body Text Char"/>
    <w:basedOn w:val="DefaultParagraphFont"/>
    <w:link w:val="BodyText"/>
    <w:rsid w:val="00B473EF"/>
    <w:rPr>
      <w:rFonts w:cs="Arial"/>
      <w:noProof/>
      <w:szCs w:val="24"/>
      <w:lang w:val="en-AU"/>
    </w:rPr>
  </w:style>
  <w:style w:type="paragraph" w:customStyle="1" w:styleId="Tableheadingblack">
    <w:name w:val="Table heading black"/>
    <w:basedOn w:val="Tableheadingwhite"/>
    <w:uiPriority w:val="8"/>
    <w:qFormat/>
    <w:rsid w:val="00785670"/>
    <w:rPr>
      <w:color w:val="000000"/>
    </w:rPr>
  </w:style>
  <w:style w:type="paragraph" w:customStyle="1" w:styleId="TableBullet1">
    <w:name w:val="Table Bullet 1"/>
    <w:uiPriority w:val="10"/>
    <w:qFormat/>
    <w:rsid w:val="00785670"/>
    <w:pPr>
      <w:numPr>
        <w:numId w:val="37"/>
      </w:numPr>
      <w:spacing w:before="80" w:after="80"/>
      <w:ind w:right="113"/>
    </w:pPr>
    <w:rPr>
      <w:noProof/>
      <w:szCs w:val="24"/>
      <w:lang w:val="en-AU"/>
    </w:rPr>
  </w:style>
  <w:style w:type="paragraph" w:customStyle="1" w:styleId="TableBullet2">
    <w:name w:val="Table Bullet 2"/>
    <w:uiPriority w:val="10"/>
    <w:qFormat/>
    <w:rsid w:val="00785670"/>
    <w:pPr>
      <w:numPr>
        <w:ilvl w:val="1"/>
        <w:numId w:val="37"/>
      </w:numPr>
      <w:spacing w:before="80" w:after="80"/>
      <w:ind w:right="113"/>
    </w:pPr>
    <w:rPr>
      <w:noProof/>
      <w:szCs w:val="24"/>
      <w:lang w:val="en-AU"/>
    </w:rPr>
  </w:style>
  <w:style w:type="paragraph" w:customStyle="1" w:styleId="TableBullet3">
    <w:name w:val="Table Bullet 3"/>
    <w:uiPriority w:val="10"/>
    <w:qFormat/>
    <w:rsid w:val="00785670"/>
    <w:pPr>
      <w:numPr>
        <w:ilvl w:val="2"/>
        <w:numId w:val="37"/>
      </w:numPr>
      <w:spacing w:before="80" w:after="80"/>
      <w:ind w:right="113"/>
    </w:pPr>
    <w:rPr>
      <w:noProof/>
      <w:szCs w:val="24"/>
      <w:lang w:val="en-AU"/>
    </w:rPr>
  </w:style>
  <w:style w:type="numbering" w:customStyle="1" w:styleId="AHPRATableBullets">
    <w:name w:val="AHPRA Table 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styleId="FollowedHyperlink">
    <w:name w:val="FollowedHyperlink"/>
    <w:basedOn w:val="DefaultParagraphFont"/>
    <w:uiPriority w:val="1"/>
    <w:semiHidden/>
    <w:unhideWhenUsed/>
    <w:rsid w:val="0037393E"/>
    <w:rPr>
      <w:noProof/>
      <w:color w:val="5F6062" w:themeColor="followedHyperlink"/>
      <w:u w:val="single"/>
      <w:lang w:val="en-AU"/>
    </w:rPr>
  </w:style>
  <w:style w:type="paragraph" w:styleId="Caption">
    <w:name w:val="caption"/>
    <w:basedOn w:val="Normal"/>
    <w:next w:val="Normal"/>
    <w:uiPriority w:val="1"/>
    <w:semiHidden/>
    <w:unhideWhenUsed/>
    <w:qFormat/>
    <w:rsid w:val="00785670"/>
    <w:pPr>
      <w:spacing w:after="200"/>
    </w:pPr>
    <w:rPr>
      <w:b/>
      <w:bCs/>
      <w:color w:val="007DC3" w:themeColor="accent1"/>
      <w:sz w:val="18"/>
      <w:szCs w:val="18"/>
    </w:rPr>
  </w:style>
  <w:style w:type="paragraph" w:styleId="CommentSubject">
    <w:name w:val="annotation subject"/>
    <w:basedOn w:val="Normal"/>
    <w:link w:val="CommentSubjectChar"/>
    <w:uiPriority w:val="1"/>
    <w:semiHidden/>
    <w:unhideWhenUsed/>
    <w:rsid w:val="006549DA"/>
    <w:rPr>
      <w:b/>
      <w:bCs/>
      <w:sz w:val="20"/>
      <w:szCs w:val="20"/>
    </w:rPr>
  </w:style>
  <w:style w:type="character" w:customStyle="1" w:styleId="CommentSubjectChar">
    <w:name w:val="Comment Subject Char"/>
    <w:basedOn w:val="DefaultParagraphFont"/>
    <w:link w:val="CommentSubject"/>
    <w:uiPriority w:val="1"/>
    <w:semiHidden/>
    <w:rsid w:val="006549DA"/>
    <w:rPr>
      <w:rFonts w:eastAsia="Times New Roman" w:cs="Arial"/>
      <w:b/>
      <w:bCs/>
      <w:noProof/>
      <w:lang w:val="en-AU" w:eastAsia="en-AU"/>
    </w:rPr>
  </w:style>
  <w:style w:type="paragraph" w:styleId="Date">
    <w:name w:val="Date"/>
    <w:basedOn w:val="Normal"/>
    <w:next w:val="Normal"/>
    <w:link w:val="DateChar"/>
    <w:uiPriority w:val="1"/>
    <w:semiHidden/>
    <w:unhideWhenUsed/>
    <w:rsid w:val="0037393E"/>
  </w:style>
  <w:style w:type="character" w:customStyle="1" w:styleId="DateChar">
    <w:name w:val="Date Char"/>
    <w:basedOn w:val="DefaultParagraphFont"/>
    <w:link w:val="Date"/>
    <w:uiPriority w:val="1"/>
    <w:semiHidden/>
    <w:rsid w:val="0037393E"/>
    <w:rPr>
      <w:rFonts w:eastAsia="Times New Roman" w:cs="Arial"/>
      <w:noProof/>
      <w:sz w:val="22"/>
      <w:szCs w:val="24"/>
      <w:lang w:val="en-AU" w:eastAsia="en-AU"/>
    </w:rPr>
  </w:style>
  <w:style w:type="paragraph" w:styleId="E-mailSignature">
    <w:name w:val="E-mail Signature"/>
    <w:basedOn w:val="Normal"/>
    <w:link w:val="E-mailSignatureChar"/>
    <w:uiPriority w:val="1"/>
    <w:semiHidden/>
    <w:unhideWhenUsed/>
    <w:rsid w:val="0037393E"/>
  </w:style>
  <w:style w:type="character" w:customStyle="1" w:styleId="E-mailSignatureChar">
    <w:name w:val="E-mail Signature Char"/>
    <w:basedOn w:val="DefaultParagraphFont"/>
    <w:link w:val="E-mailSignature"/>
    <w:uiPriority w:val="1"/>
    <w:semiHidden/>
    <w:rsid w:val="0037393E"/>
    <w:rPr>
      <w:rFonts w:eastAsia="Times New Roman" w:cs="Arial"/>
      <w:noProof/>
      <w:sz w:val="22"/>
      <w:szCs w:val="24"/>
      <w:lang w:val="en-AU" w:eastAsia="en-AU"/>
    </w:rPr>
  </w:style>
  <w:style w:type="paragraph" w:styleId="EndnoteText">
    <w:name w:val="endnote text"/>
    <w:basedOn w:val="Normal"/>
    <w:link w:val="EndnoteTextChar"/>
    <w:uiPriority w:val="1"/>
    <w:semiHidden/>
    <w:unhideWhenUsed/>
    <w:rsid w:val="0037393E"/>
    <w:rPr>
      <w:sz w:val="20"/>
      <w:szCs w:val="20"/>
    </w:rPr>
  </w:style>
  <w:style w:type="character" w:customStyle="1" w:styleId="EndnoteTextChar">
    <w:name w:val="Endnote Text Char"/>
    <w:basedOn w:val="DefaultParagraphFont"/>
    <w:link w:val="EndnoteText"/>
    <w:uiPriority w:val="1"/>
    <w:semiHidden/>
    <w:rsid w:val="0037393E"/>
    <w:rPr>
      <w:rFonts w:eastAsia="Times New Roman" w:cs="Arial"/>
      <w:noProof/>
      <w:lang w:val="en-AU" w:eastAsia="en-AU"/>
    </w:rPr>
  </w:style>
  <w:style w:type="character" w:customStyle="1" w:styleId="Heading4Char">
    <w:name w:val="Heading 4 Char"/>
    <w:basedOn w:val="DefaultParagraphFont"/>
    <w:link w:val="Heading4"/>
    <w:uiPriority w:val="1"/>
    <w:rsid w:val="00B3239A"/>
    <w:rPr>
      <w:rFonts w:cs="Arial"/>
      <w:b/>
      <w:noProof/>
      <w:color w:val="007DC3"/>
      <w:sz w:val="24"/>
      <w:szCs w:val="24"/>
      <w:lang w:val="en-AU"/>
    </w:rPr>
  </w:style>
  <w:style w:type="character" w:customStyle="1" w:styleId="Heading5Char">
    <w:name w:val="Heading 5 Char"/>
    <w:basedOn w:val="DefaultParagraphFont"/>
    <w:link w:val="Heading5"/>
    <w:uiPriority w:val="1"/>
    <w:rsid w:val="00B3239A"/>
    <w:rPr>
      <w:rFonts w:cs="Arial"/>
      <w:b/>
      <w:noProof/>
      <w:szCs w:val="24"/>
      <w:lang w:val="en-AU"/>
    </w:rPr>
  </w:style>
  <w:style w:type="character" w:customStyle="1" w:styleId="Heading6Char">
    <w:name w:val="Heading 6 Char"/>
    <w:basedOn w:val="DefaultParagraphFont"/>
    <w:link w:val="Heading6"/>
    <w:uiPriority w:val="1"/>
    <w:rsid w:val="00B3239A"/>
    <w:rPr>
      <w:rFonts w:cs="Arial"/>
      <w:noProof/>
      <w:color w:val="007DC3"/>
      <w:szCs w:val="24"/>
      <w:lang w:val="en-AU"/>
    </w:rPr>
  </w:style>
  <w:style w:type="character" w:customStyle="1" w:styleId="Heading7Char">
    <w:name w:val="Heading 7 Char"/>
    <w:basedOn w:val="DefaultParagraphFont"/>
    <w:link w:val="Heading7"/>
    <w:uiPriority w:val="1"/>
    <w:semiHidden/>
    <w:rsid w:val="00785670"/>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785670"/>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785670"/>
    <w:rPr>
      <w:rFonts w:asciiTheme="majorHAnsi" w:eastAsiaTheme="majorEastAsia" w:hAnsiTheme="majorHAnsi" w:cstheme="majorBidi"/>
      <w:i/>
      <w:iCs/>
      <w:noProof/>
      <w:color w:val="404040" w:themeColor="text1" w:themeTint="BF"/>
      <w:lang w:val="en-AU" w:eastAsia="en-AU"/>
    </w:rPr>
  </w:style>
  <w:style w:type="paragraph" w:styleId="HTMLAddress">
    <w:name w:val="HTML Address"/>
    <w:basedOn w:val="Normal"/>
    <w:link w:val="HTMLAddressChar"/>
    <w:uiPriority w:val="1"/>
    <w:semiHidden/>
    <w:unhideWhenUsed/>
    <w:rsid w:val="0037393E"/>
    <w:rPr>
      <w:i/>
      <w:iCs/>
    </w:rPr>
  </w:style>
  <w:style w:type="character" w:customStyle="1" w:styleId="HTMLAddressChar">
    <w:name w:val="HTML Address Char"/>
    <w:basedOn w:val="DefaultParagraphFont"/>
    <w:link w:val="HTMLAddress"/>
    <w:uiPriority w:val="1"/>
    <w:semiHidden/>
    <w:rsid w:val="0037393E"/>
    <w:rPr>
      <w:rFonts w:eastAsia="Times New Roman" w:cs="Arial"/>
      <w:i/>
      <w:iCs/>
      <w:noProof/>
      <w:sz w:val="22"/>
      <w:szCs w:val="24"/>
      <w:lang w:val="en-AU" w:eastAsia="en-AU"/>
    </w:rPr>
  </w:style>
  <w:style w:type="paragraph" w:styleId="HTMLPreformatted">
    <w:name w:val="HTML Preformatted"/>
    <w:basedOn w:val="Normal"/>
    <w:link w:val="HTMLPreformattedChar"/>
    <w:uiPriority w:val="1"/>
    <w:semiHidden/>
    <w:unhideWhenUsed/>
    <w:rsid w:val="0037393E"/>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37393E"/>
    <w:rPr>
      <w:rFonts w:ascii="Consolas" w:eastAsia="Times New Roman" w:hAnsi="Consolas" w:cs="Arial"/>
      <w:noProof/>
      <w:lang w:val="en-AU" w:eastAsia="en-AU"/>
    </w:rPr>
  </w:style>
  <w:style w:type="paragraph" w:styleId="Index1">
    <w:name w:val="index 1"/>
    <w:basedOn w:val="Normal"/>
    <w:next w:val="Normal"/>
    <w:autoRedefine/>
    <w:uiPriority w:val="1"/>
    <w:semiHidden/>
    <w:unhideWhenUsed/>
    <w:rsid w:val="0037393E"/>
    <w:pPr>
      <w:ind w:left="220" w:hanging="220"/>
    </w:pPr>
  </w:style>
  <w:style w:type="paragraph" w:styleId="Index2">
    <w:name w:val="index 2"/>
    <w:basedOn w:val="Normal"/>
    <w:next w:val="Normal"/>
    <w:autoRedefine/>
    <w:uiPriority w:val="1"/>
    <w:semiHidden/>
    <w:unhideWhenUsed/>
    <w:rsid w:val="0037393E"/>
    <w:pPr>
      <w:ind w:left="440" w:hanging="220"/>
    </w:pPr>
  </w:style>
  <w:style w:type="paragraph" w:styleId="Index3">
    <w:name w:val="index 3"/>
    <w:basedOn w:val="Normal"/>
    <w:next w:val="Normal"/>
    <w:autoRedefine/>
    <w:uiPriority w:val="1"/>
    <w:semiHidden/>
    <w:unhideWhenUsed/>
    <w:rsid w:val="0037393E"/>
    <w:pPr>
      <w:ind w:left="660" w:hanging="220"/>
    </w:pPr>
  </w:style>
  <w:style w:type="paragraph" w:styleId="Index4">
    <w:name w:val="index 4"/>
    <w:basedOn w:val="Normal"/>
    <w:next w:val="Normal"/>
    <w:autoRedefine/>
    <w:uiPriority w:val="1"/>
    <w:semiHidden/>
    <w:unhideWhenUsed/>
    <w:rsid w:val="0037393E"/>
    <w:pPr>
      <w:ind w:left="880" w:hanging="220"/>
    </w:pPr>
  </w:style>
  <w:style w:type="paragraph" w:styleId="Index5">
    <w:name w:val="index 5"/>
    <w:basedOn w:val="Normal"/>
    <w:next w:val="Normal"/>
    <w:autoRedefine/>
    <w:uiPriority w:val="1"/>
    <w:semiHidden/>
    <w:unhideWhenUsed/>
    <w:rsid w:val="0037393E"/>
    <w:pPr>
      <w:ind w:left="1100" w:hanging="220"/>
    </w:pPr>
  </w:style>
  <w:style w:type="paragraph" w:styleId="Index6">
    <w:name w:val="index 6"/>
    <w:basedOn w:val="Normal"/>
    <w:next w:val="Normal"/>
    <w:autoRedefine/>
    <w:uiPriority w:val="1"/>
    <w:semiHidden/>
    <w:unhideWhenUsed/>
    <w:rsid w:val="0037393E"/>
    <w:pPr>
      <w:ind w:left="1320" w:hanging="220"/>
    </w:pPr>
  </w:style>
  <w:style w:type="paragraph" w:styleId="Index7">
    <w:name w:val="index 7"/>
    <w:basedOn w:val="Normal"/>
    <w:next w:val="Normal"/>
    <w:autoRedefine/>
    <w:uiPriority w:val="1"/>
    <w:semiHidden/>
    <w:unhideWhenUsed/>
    <w:rsid w:val="0037393E"/>
    <w:pPr>
      <w:ind w:left="1540" w:hanging="220"/>
    </w:pPr>
  </w:style>
  <w:style w:type="paragraph" w:styleId="Index8">
    <w:name w:val="index 8"/>
    <w:basedOn w:val="Normal"/>
    <w:next w:val="Normal"/>
    <w:autoRedefine/>
    <w:uiPriority w:val="1"/>
    <w:semiHidden/>
    <w:unhideWhenUsed/>
    <w:rsid w:val="0037393E"/>
    <w:pPr>
      <w:ind w:left="1760" w:hanging="220"/>
    </w:pPr>
  </w:style>
  <w:style w:type="paragraph" w:styleId="Index9">
    <w:name w:val="index 9"/>
    <w:basedOn w:val="Normal"/>
    <w:next w:val="Normal"/>
    <w:autoRedefine/>
    <w:uiPriority w:val="1"/>
    <w:semiHidden/>
    <w:unhideWhenUsed/>
    <w:rsid w:val="0037393E"/>
    <w:pPr>
      <w:ind w:left="1980" w:hanging="220"/>
    </w:pPr>
  </w:style>
  <w:style w:type="paragraph" w:styleId="IndexHeading">
    <w:name w:val="index heading"/>
    <w:basedOn w:val="Normal"/>
    <w:next w:val="Index1"/>
    <w:uiPriority w:val="1"/>
    <w:semiHidden/>
    <w:unhideWhenUsed/>
    <w:rsid w:val="0037393E"/>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37393E"/>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37393E"/>
    <w:rPr>
      <w:rFonts w:eastAsia="Times New Roman" w:cs="Arial"/>
      <w:b/>
      <w:bCs/>
      <w:i/>
      <w:iCs/>
      <w:noProof/>
      <w:color w:val="007DC3" w:themeColor="accent1"/>
      <w:sz w:val="22"/>
      <w:szCs w:val="24"/>
      <w:lang w:val="en-AU" w:eastAsia="en-AU"/>
    </w:rPr>
  </w:style>
  <w:style w:type="paragraph" w:styleId="List">
    <w:name w:val="List"/>
    <w:basedOn w:val="Normal"/>
    <w:uiPriority w:val="1"/>
    <w:semiHidden/>
    <w:unhideWhenUsed/>
    <w:rsid w:val="0037393E"/>
    <w:pPr>
      <w:ind w:left="283" w:hanging="283"/>
      <w:contextualSpacing/>
    </w:pPr>
  </w:style>
  <w:style w:type="paragraph" w:styleId="List2">
    <w:name w:val="List 2"/>
    <w:basedOn w:val="Normal"/>
    <w:uiPriority w:val="1"/>
    <w:semiHidden/>
    <w:unhideWhenUsed/>
    <w:rsid w:val="0037393E"/>
    <w:pPr>
      <w:ind w:left="566" w:hanging="283"/>
      <w:contextualSpacing/>
    </w:pPr>
  </w:style>
  <w:style w:type="paragraph" w:styleId="List3">
    <w:name w:val="List 3"/>
    <w:basedOn w:val="Normal"/>
    <w:uiPriority w:val="1"/>
    <w:semiHidden/>
    <w:unhideWhenUsed/>
    <w:rsid w:val="0037393E"/>
    <w:pPr>
      <w:ind w:left="849" w:hanging="283"/>
      <w:contextualSpacing/>
    </w:pPr>
  </w:style>
  <w:style w:type="paragraph" w:styleId="List4">
    <w:name w:val="List 4"/>
    <w:basedOn w:val="Normal"/>
    <w:uiPriority w:val="1"/>
    <w:semiHidden/>
    <w:unhideWhenUsed/>
    <w:rsid w:val="0037393E"/>
    <w:pPr>
      <w:ind w:left="1132" w:hanging="283"/>
      <w:contextualSpacing/>
    </w:pPr>
  </w:style>
  <w:style w:type="paragraph" w:styleId="List5">
    <w:name w:val="List 5"/>
    <w:basedOn w:val="Normal"/>
    <w:uiPriority w:val="1"/>
    <w:semiHidden/>
    <w:unhideWhenUsed/>
    <w:rsid w:val="0037393E"/>
    <w:pPr>
      <w:ind w:left="1415" w:hanging="283"/>
      <w:contextualSpacing/>
    </w:pPr>
  </w:style>
  <w:style w:type="paragraph" w:styleId="ListBullet">
    <w:name w:val="List Bullet"/>
    <w:uiPriority w:val="2"/>
    <w:rsid w:val="00E63241"/>
    <w:pPr>
      <w:numPr>
        <w:numId w:val="39"/>
      </w:numPr>
      <w:contextualSpacing/>
    </w:pPr>
    <w:rPr>
      <w:rFonts w:eastAsia="Times New Roman" w:cs="Arial"/>
      <w:noProof/>
      <w:szCs w:val="24"/>
      <w:lang w:val="en-AU" w:eastAsia="en-AU"/>
    </w:rPr>
  </w:style>
  <w:style w:type="paragraph" w:styleId="ListBullet4">
    <w:name w:val="List Bullet 4"/>
    <w:basedOn w:val="Normal"/>
    <w:uiPriority w:val="1"/>
    <w:semiHidden/>
    <w:unhideWhenUsed/>
    <w:rsid w:val="0037393E"/>
    <w:pPr>
      <w:numPr>
        <w:numId w:val="23"/>
      </w:numPr>
      <w:contextualSpacing/>
    </w:pPr>
  </w:style>
  <w:style w:type="paragraph" w:styleId="ListBullet5">
    <w:name w:val="List Bullet 5"/>
    <w:basedOn w:val="Normal"/>
    <w:uiPriority w:val="1"/>
    <w:semiHidden/>
    <w:unhideWhenUsed/>
    <w:rsid w:val="0037393E"/>
    <w:pPr>
      <w:numPr>
        <w:numId w:val="24"/>
      </w:numPr>
      <w:contextualSpacing/>
    </w:pPr>
  </w:style>
  <w:style w:type="paragraph" w:styleId="ListContinue">
    <w:name w:val="List Continue"/>
    <w:basedOn w:val="Normal"/>
    <w:uiPriority w:val="1"/>
    <w:semiHidden/>
    <w:unhideWhenUsed/>
    <w:rsid w:val="0037393E"/>
    <w:pPr>
      <w:spacing w:after="120"/>
      <w:ind w:left="283"/>
      <w:contextualSpacing/>
    </w:pPr>
  </w:style>
  <w:style w:type="paragraph" w:styleId="ListContinue2">
    <w:name w:val="List Continue 2"/>
    <w:basedOn w:val="Normal"/>
    <w:uiPriority w:val="1"/>
    <w:semiHidden/>
    <w:unhideWhenUsed/>
    <w:rsid w:val="0037393E"/>
    <w:pPr>
      <w:spacing w:after="120"/>
      <w:ind w:left="566"/>
      <w:contextualSpacing/>
    </w:pPr>
  </w:style>
  <w:style w:type="paragraph" w:styleId="ListContinue3">
    <w:name w:val="List Continue 3"/>
    <w:basedOn w:val="Normal"/>
    <w:uiPriority w:val="1"/>
    <w:semiHidden/>
    <w:unhideWhenUsed/>
    <w:rsid w:val="0037393E"/>
    <w:pPr>
      <w:spacing w:after="120"/>
      <w:ind w:left="849"/>
      <w:contextualSpacing/>
    </w:pPr>
  </w:style>
  <w:style w:type="paragraph" w:styleId="ListContinue4">
    <w:name w:val="List Continue 4"/>
    <w:basedOn w:val="Normal"/>
    <w:uiPriority w:val="1"/>
    <w:semiHidden/>
    <w:unhideWhenUsed/>
    <w:rsid w:val="0037393E"/>
    <w:pPr>
      <w:spacing w:after="120"/>
      <w:ind w:left="1132"/>
      <w:contextualSpacing/>
    </w:pPr>
  </w:style>
  <w:style w:type="paragraph" w:styleId="ListContinue5">
    <w:name w:val="List Continue 5"/>
    <w:basedOn w:val="Normal"/>
    <w:uiPriority w:val="1"/>
    <w:semiHidden/>
    <w:unhideWhenUsed/>
    <w:rsid w:val="0037393E"/>
    <w:pPr>
      <w:spacing w:after="120"/>
      <w:ind w:left="1415"/>
      <w:contextualSpacing/>
    </w:pPr>
  </w:style>
  <w:style w:type="paragraph" w:styleId="ListNumber">
    <w:name w:val="List Number"/>
    <w:uiPriority w:val="1"/>
    <w:rsid w:val="008022D6"/>
    <w:pPr>
      <w:numPr>
        <w:numId w:val="38"/>
      </w:numPr>
    </w:pPr>
    <w:rPr>
      <w:rFonts w:eastAsia="Times New Roman" w:cs="Arial"/>
      <w:noProof/>
      <w:szCs w:val="24"/>
      <w:lang w:val="en-AU" w:eastAsia="en-AU"/>
    </w:rPr>
  </w:style>
  <w:style w:type="paragraph" w:styleId="ListNumber2">
    <w:name w:val="List Number 2"/>
    <w:basedOn w:val="Normal"/>
    <w:uiPriority w:val="1"/>
    <w:semiHidden/>
    <w:rsid w:val="0037393E"/>
    <w:pPr>
      <w:numPr>
        <w:numId w:val="26"/>
      </w:numPr>
      <w:contextualSpacing/>
    </w:pPr>
  </w:style>
  <w:style w:type="paragraph" w:styleId="ListNumber3">
    <w:name w:val="List Number 3"/>
    <w:basedOn w:val="Normal"/>
    <w:uiPriority w:val="1"/>
    <w:semiHidden/>
    <w:rsid w:val="0037393E"/>
    <w:pPr>
      <w:numPr>
        <w:numId w:val="27"/>
      </w:numPr>
      <w:contextualSpacing/>
    </w:pPr>
  </w:style>
  <w:style w:type="paragraph" w:styleId="ListNumber4">
    <w:name w:val="List Number 4"/>
    <w:basedOn w:val="Normal"/>
    <w:uiPriority w:val="1"/>
    <w:semiHidden/>
    <w:unhideWhenUsed/>
    <w:rsid w:val="0037393E"/>
    <w:pPr>
      <w:numPr>
        <w:numId w:val="28"/>
      </w:numPr>
      <w:contextualSpacing/>
    </w:pPr>
  </w:style>
  <w:style w:type="paragraph" w:styleId="ListNumber5">
    <w:name w:val="List Number 5"/>
    <w:basedOn w:val="Normal"/>
    <w:uiPriority w:val="1"/>
    <w:semiHidden/>
    <w:unhideWhenUsed/>
    <w:rsid w:val="0037393E"/>
    <w:pPr>
      <w:numPr>
        <w:numId w:val="29"/>
      </w:numPr>
      <w:contextualSpacing/>
    </w:pPr>
  </w:style>
  <w:style w:type="paragraph" w:styleId="MacroText">
    <w:name w:val="macro"/>
    <w:link w:val="MacroTextChar"/>
    <w:uiPriority w:val="1"/>
    <w:semiHidden/>
    <w:unhideWhenUsed/>
    <w:rsid w:val="003739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noProof/>
      <w:lang w:val="en-AU" w:eastAsia="en-AU"/>
    </w:rPr>
  </w:style>
  <w:style w:type="character" w:customStyle="1" w:styleId="MacroTextChar">
    <w:name w:val="Macro Text Char"/>
    <w:basedOn w:val="DefaultParagraphFont"/>
    <w:link w:val="MacroText"/>
    <w:uiPriority w:val="1"/>
    <w:semiHidden/>
    <w:rsid w:val="0037393E"/>
    <w:rPr>
      <w:rFonts w:ascii="Consolas" w:eastAsia="Times New Roman" w:hAnsi="Consolas" w:cs="Arial"/>
      <w:noProof/>
      <w:lang w:val="en-AU" w:eastAsia="en-AU"/>
    </w:rPr>
  </w:style>
  <w:style w:type="paragraph" w:styleId="MessageHeader">
    <w:name w:val="Message Header"/>
    <w:basedOn w:val="Normal"/>
    <w:link w:val="MessageHeaderChar"/>
    <w:uiPriority w:val="1"/>
    <w:semiHidden/>
    <w:unhideWhenUsed/>
    <w:rsid w:val="003739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37393E"/>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37393E"/>
    <w:pPr>
      <w:jc w:val="both"/>
    </w:pPr>
    <w:rPr>
      <w:rFonts w:eastAsia="Times New Roman" w:cs="Arial"/>
      <w:noProof/>
      <w:sz w:val="22"/>
      <w:szCs w:val="24"/>
      <w:lang w:val="en-AU" w:eastAsia="en-AU"/>
    </w:rPr>
  </w:style>
  <w:style w:type="paragraph" w:styleId="NormalWeb">
    <w:name w:val="Normal (Web)"/>
    <w:basedOn w:val="Normal"/>
    <w:uiPriority w:val="1"/>
    <w:semiHidden/>
    <w:unhideWhenUsed/>
    <w:rsid w:val="0037393E"/>
    <w:rPr>
      <w:rFonts w:ascii="Times New Roman" w:hAnsi="Times New Roman" w:cs="Times New Roman"/>
      <w:sz w:val="24"/>
    </w:rPr>
  </w:style>
  <w:style w:type="paragraph" w:styleId="TableofAuthorities">
    <w:name w:val="table of authorities"/>
    <w:basedOn w:val="Normal"/>
    <w:next w:val="Normal"/>
    <w:uiPriority w:val="1"/>
    <w:semiHidden/>
    <w:unhideWhenUsed/>
    <w:rsid w:val="0037393E"/>
    <w:pPr>
      <w:ind w:left="220" w:hanging="220"/>
    </w:pPr>
  </w:style>
  <w:style w:type="paragraph" w:styleId="TableofFigures">
    <w:name w:val="table of figures"/>
    <w:basedOn w:val="Normal"/>
    <w:next w:val="Normal"/>
    <w:uiPriority w:val="1"/>
    <w:semiHidden/>
    <w:unhideWhenUsed/>
    <w:rsid w:val="0037393E"/>
  </w:style>
  <w:style w:type="paragraph" w:styleId="Title">
    <w:name w:val="Title"/>
    <w:basedOn w:val="Normal"/>
    <w:next w:val="Normal"/>
    <w:link w:val="TitleChar"/>
    <w:uiPriority w:val="1"/>
    <w:rsid w:val="00B82910"/>
    <w:pPr>
      <w:framePr w:hSpace="181" w:wrap="notBeside" w:vAnchor="text" w:hAnchor="page" w:y="1"/>
      <w:pBdr>
        <w:bottom w:val="single" w:sz="4" w:space="1" w:color="auto"/>
      </w:pBdr>
      <w:spacing w:before="200" w:after="200"/>
      <w:ind w:firstLine="1247"/>
      <w:jc w:val="left"/>
    </w:pPr>
    <w:rPr>
      <w:rFonts w:eastAsia="Cambria"/>
      <w:color w:val="007DC3"/>
      <w:sz w:val="32"/>
      <w:szCs w:val="52"/>
      <w:lang w:eastAsia="en-US"/>
    </w:rPr>
  </w:style>
  <w:style w:type="character" w:customStyle="1" w:styleId="TitleChar">
    <w:name w:val="Title Char"/>
    <w:basedOn w:val="DefaultParagraphFont"/>
    <w:link w:val="Title"/>
    <w:uiPriority w:val="1"/>
    <w:rsid w:val="00B82910"/>
    <w:rPr>
      <w:rFonts w:cs="Arial"/>
      <w:noProof/>
      <w:color w:val="007DC3"/>
      <w:sz w:val="32"/>
      <w:szCs w:val="52"/>
      <w:lang w:val="en-AU"/>
    </w:rPr>
  </w:style>
  <w:style w:type="paragraph" w:styleId="TOAHeading">
    <w:name w:val="toa heading"/>
    <w:basedOn w:val="Normal"/>
    <w:next w:val="Normal"/>
    <w:uiPriority w:val="1"/>
    <w:semiHidden/>
    <w:unhideWhenUsed/>
    <w:rsid w:val="003739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1"/>
    <w:semiHidden/>
    <w:unhideWhenUsed/>
    <w:rsid w:val="0037393E"/>
    <w:pPr>
      <w:spacing w:after="100"/>
      <w:ind w:left="660"/>
    </w:pPr>
  </w:style>
  <w:style w:type="paragraph" w:styleId="TOC5">
    <w:name w:val="toc 5"/>
    <w:basedOn w:val="Normal"/>
    <w:next w:val="Normal"/>
    <w:autoRedefine/>
    <w:uiPriority w:val="1"/>
    <w:semiHidden/>
    <w:unhideWhenUsed/>
    <w:rsid w:val="0037393E"/>
    <w:pPr>
      <w:spacing w:after="100"/>
      <w:ind w:left="880"/>
    </w:pPr>
  </w:style>
  <w:style w:type="paragraph" w:styleId="TOC6">
    <w:name w:val="toc 6"/>
    <w:basedOn w:val="Normal"/>
    <w:next w:val="Normal"/>
    <w:autoRedefine/>
    <w:uiPriority w:val="1"/>
    <w:semiHidden/>
    <w:unhideWhenUsed/>
    <w:rsid w:val="0037393E"/>
    <w:pPr>
      <w:spacing w:after="100"/>
      <w:ind w:left="1100"/>
    </w:pPr>
  </w:style>
  <w:style w:type="paragraph" w:styleId="TOC7">
    <w:name w:val="toc 7"/>
    <w:basedOn w:val="Normal"/>
    <w:next w:val="Normal"/>
    <w:autoRedefine/>
    <w:uiPriority w:val="1"/>
    <w:semiHidden/>
    <w:unhideWhenUsed/>
    <w:rsid w:val="0037393E"/>
    <w:pPr>
      <w:spacing w:after="100"/>
      <w:ind w:left="1320"/>
    </w:pPr>
  </w:style>
  <w:style w:type="paragraph" w:styleId="TOC8">
    <w:name w:val="toc 8"/>
    <w:basedOn w:val="Normal"/>
    <w:next w:val="Normal"/>
    <w:autoRedefine/>
    <w:uiPriority w:val="1"/>
    <w:semiHidden/>
    <w:unhideWhenUsed/>
    <w:rsid w:val="0037393E"/>
    <w:pPr>
      <w:spacing w:after="100"/>
      <w:ind w:left="1540"/>
    </w:pPr>
  </w:style>
  <w:style w:type="paragraph" w:styleId="TOC9">
    <w:name w:val="toc 9"/>
    <w:basedOn w:val="Normal"/>
    <w:next w:val="Normal"/>
    <w:autoRedefine/>
    <w:uiPriority w:val="1"/>
    <w:semiHidden/>
    <w:unhideWhenUsed/>
    <w:rsid w:val="0037393E"/>
    <w:pPr>
      <w:spacing w:after="100"/>
      <w:ind w:left="1760"/>
    </w:pPr>
  </w:style>
  <w:style w:type="paragraph" w:customStyle="1" w:styleId="FooterBold">
    <w:name w:val="Footer Bold"/>
    <w:semiHidden/>
    <w:qFormat/>
    <w:rsid w:val="00785670"/>
    <w:pPr>
      <w:jc w:val="center"/>
    </w:pPr>
    <w:rPr>
      <w:rFonts w:cs="Arial"/>
      <w:b/>
      <w:noProof/>
      <w:color w:val="5F6062"/>
      <w:sz w:val="18"/>
      <w:lang w:val="en-AU"/>
    </w:rPr>
  </w:style>
  <w:style w:type="paragraph" w:customStyle="1" w:styleId="FooterBoldBlue">
    <w:name w:val="Footer Bold Blue"/>
    <w:basedOn w:val="FooterBold"/>
    <w:semiHidden/>
    <w:qFormat/>
    <w:rsid w:val="00785670"/>
    <w:rPr>
      <w:color w:val="007DC3"/>
    </w:rPr>
  </w:style>
  <w:style w:type="paragraph" w:customStyle="1" w:styleId="Bodycontext">
    <w:name w:val="Body context"/>
    <w:basedOn w:val="BodyText"/>
    <w:qFormat/>
    <w:rsid w:val="007C43D8"/>
    <w:pPr>
      <w:numPr>
        <w:numId w:val="40"/>
      </w:numPr>
    </w:pPr>
  </w:style>
  <w:style w:type="table" w:styleId="ColorfulGrid-Accent1">
    <w:name w:val="Colorful Grid Accent 1"/>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ColorfulGrid-Accent4">
    <w:name w:val="Colorful Grid Accent 4"/>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E704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E704C0"/>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E704C0"/>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E704C0"/>
    <w:rPr>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table" w:styleId="ColorfulList-Accent4">
    <w:name w:val="Colorful List Accent 4"/>
    <w:basedOn w:val="TableNormal"/>
    <w:rsid w:val="00E704C0"/>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E704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E704C0"/>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E704C0"/>
    <w:rPr>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E704C0"/>
    <w:rPr>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704C0"/>
    <w:rPr>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E704C0"/>
    <w:rPr>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E704C0"/>
    <w:rPr>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E704C0"/>
    <w:rPr>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E704C0"/>
    <w:rPr>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
    <w:semiHidden/>
    <w:unhideWhenUsed/>
    <w:rsid w:val="00E704C0"/>
    <w:rPr>
      <w:noProof/>
      <w:sz w:val="16"/>
      <w:szCs w:val="16"/>
      <w:lang w:val="en-AU"/>
    </w:rPr>
  </w:style>
  <w:style w:type="table" w:styleId="DarkList">
    <w:name w:val="Dark List"/>
    <w:basedOn w:val="TableNormal"/>
    <w:rsid w:val="00E704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E704C0"/>
    <w:rPr>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E704C0"/>
    <w:rPr>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E704C0"/>
    <w:rPr>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E704C0"/>
    <w:rPr>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E704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E704C0"/>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character" w:styleId="EndnoteReference">
    <w:name w:val="endnote reference"/>
    <w:basedOn w:val="DefaultParagraphFont"/>
    <w:uiPriority w:val="1"/>
    <w:semiHidden/>
    <w:unhideWhenUsed/>
    <w:rsid w:val="00E704C0"/>
    <w:rPr>
      <w:noProof/>
      <w:vertAlign w:val="superscript"/>
      <w:lang w:val="en-AU"/>
    </w:rPr>
  </w:style>
  <w:style w:type="character" w:styleId="HTMLAcronym">
    <w:name w:val="HTML Acronym"/>
    <w:basedOn w:val="DefaultParagraphFont"/>
    <w:uiPriority w:val="1"/>
    <w:semiHidden/>
    <w:unhideWhenUsed/>
    <w:rsid w:val="00E704C0"/>
    <w:rPr>
      <w:noProof/>
      <w:lang w:val="en-AU"/>
    </w:rPr>
  </w:style>
  <w:style w:type="character" w:styleId="HTMLCite">
    <w:name w:val="HTML Cite"/>
    <w:basedOn w:val="DefaultParagraphFont"/>
    <w:uiPriority w:val="1"/>
    <w:semiHidden/>
    <w:unhideWhenUsed/>
    <w:rsid w:val="00E704C0"/>
    <w:rPr>
      <w:i/>
      <w:iCs/>
      <w:noProof/>
      <w:lang w:val="en-AU"/>
    </w:rPr>
  </w:style>
  <w:style w:type="character" w:styleId="HTMLCode">
    <w:name w:val="HTML Code"/>
    <w:basedOn w:val="DefaultParagraphFont"/>
    <w:uiPriority w:val="1"/>
    <w:semiHidden/>
    <w:unhideWhenUsed/>
    <w:rsid w:val="00E704C0"/>
    <w:rPr>
      <w:rFonts w:ascii="Consolas" w:hAnsi="Consolas" w:cs="Consolas"/>
      <w:noProof/>
      <w:sz w:val="20"/>
      <w:szCs w:val="20"/>
      <w:lang w:val="en-AU"/>
    </w:rPr>
  </w:style>
  <w:style w:type="character" w:styleId="HTMLDefinition">
    <w:name w:val="HTML Definition"/>
    <w:basedOn w:val="DefaultParagraphFont"/>
    <w:uiPriority w:val="1"/>
    <w:semiHidden/>
    <w:unhideWhenUsed/>
    <w:rsid w:val="00E704C0"/>
    <w:rPr>
      <w:i/>
      <w:iCs/>
      <w:noProof/>
      <w:lang w:val="en-AU"/>
    </w:rPr>
  </w:style>
  <w:style w:type="character" w:styleId="HTMLKeyboard">
    <w:name w:val="HTML Keyboard"/>
    <w:basedOn w:val="DefaultParagraphFont"/>
    <w:uiPriority w:val="1"/>
    <w:semiHidden/>
    <w:unhideWhenUsed/>
    <w:rsid w:val="00E704C0"/>
    <w:rPr>
      <w:rFonts w:ascii="Consolas" w:hAnsi="Consolas" w:cs="Consolas"/>
      <w:noProof/>
      <w:sz w:val="20"/>
      <w:szCs w:val="20"/>
      <w:lang w:val="en-AU"/>
    </w:rPr>
  </w:style>
  <w:style w:type="character" w:styleId="HTMLSample">
    <w:name w:val="HTML Sample"/>
    <w:basedOn w:val="DefaultParagraphFont"/>
    <w:uiPriority w:val="1"/>
    <w:semiHidden/>
    <w:unhideWhenUsed/>
    <w:rsid w:val="00E704C0"/>
    <w:rPr>
      <w:rFonts w:ascii="Consolas" w:hAnsi="Consolas" w:cs="Consolas"/>
      <w:noProof/>
      <w:sz w:val="24"/>
      <w:szCs w:val="24"/>
      <w:lang w:val="en-AU"/>
    </w:rPr>
  </w:style>
  <w:style w:type="character" w:styleId="HTMLTypewriter">
    <w:name w:val="HTML Typewriter"/>
    <w:basedOn w:val="DefaultParagraphFont"/>
    <w:uiPriority w:val="1"/>
    <w:semiHidden/>
    <w:unhideWhenUsed/>
    <w:rsid w:val="00E704C0"/>
    <w:rPr>
      <w:rFonts w:ascii="Consolas" w:hAnsi="Consolas" w:cs="Consolas"/>
      <w:noProof/>
      <w:sz w:val="20"/>
      <w:szCs w:val="20"/>
      <w:lang w:val="en-AU"/>
    </w:rPr>
  </w:style>
  <w:style w:type="character" w:styleId="HTMLVariable">
    <w:name w:val="HTML Variable"/>
    <w:basedOn w:val="DefaultParagraphFont"/>
    <w:uiPriority w:val="1"/>
    <w:semiHidden/>
    <w:unhideWhenUsed/>
    <w:rsid w:val="00E704C0"/>
    <w:rPr>
      <w:i/>
      <w:iCs/>
      <w:noProof/>
      <w:lang w:val="en-AU"/>
    </w:rPr>
  </w:style>
  <w:style w:type="character" w:styleId="IntenseReference">
    <w:name w:val="Intense Reference"/>
    <w:basedOn w:val="DefaultParagraphFont"/>
    <w:uiPriority w:val="1"/>
    <w:semiHidden/>
    <w:unhideWhenUsed/>
    <w:rsid w:val="00E704C0"/>
    <w:rPr>
      <w:b/>
      <w:bCs/>
      <w:smallCaps/>
      <w:noProof/>
      <w:color w:val="00BCE4" w:themeColor="accent2"/>
      <w:spacing w:val="5"/>
      <w:u w:val="single"/>
      <w:lang w:val="en-AU"/>
    </w:rPr>
  </w:style>
  <w:style w:type="table" w:styleId="LightGrid">
    <w:name w:val="Light Grid"/>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E704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E704C0"/>
    <w:rPr>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E704C0"/>
    <w:rPr>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E704C0"/>
    <w:rPr>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E704C0"/>
    <w:rPr>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E704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E704C0"/>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Paragraph">
    <w:name w:val="List Paragraph"/>
    <w:basedOn w:val="Normal"/>
    <w:uiPriority w:val="1"/>
    <w:semiHidden/>
    <w:unhideWhenUsed/>
    <w:rsid w:val="00E704C0"/>
    <w:pPr>
      <w:ind w:left="720"/>
      <w:contextualSpacing/>
    </w:pPr>
  </w:style>
  <w:style w:type="table" w:styleId="MediumGrid1">
    <w:name w:val="Medium Grid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E704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E704C0"/>
    <w:rPr>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E704C0"/>
    <w:rPr>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E704C0"/>
    <w:rPr>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E704C0"/>
    <w:rPr>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E704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E704C0"/>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
    <w:semiHidden/>
    <w:unhideWhenUsed/>
    <w:rsid w:val="00E704C0"/>
    <w:rPr>
      <w:noProof/>
      <w:lang w:val="en-AU"/>
    </w:rPr>
  </w:style>
  <w:style w:type="table" w:styleId="Table3Deffects1">
    <w:name w:val="Table 3D effects 1"/>
    <w:basedOn w:val="TableNormal"/>
    <w:rsid w:val="00E704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4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04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04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04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04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04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04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04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04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04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04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04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04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04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04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04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04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04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04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04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04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04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04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04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04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04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04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04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04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04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04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0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04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04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04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PageNumber">
    <w:name w:val="xPageNumber"/>
    <w:semiHidden/>
    <w:qFormat/>
    <w:rsid w:val="00D828BD"/>
    <w:pPr>
      <w:framePr w:hSpace="181" w:wrap="around" w:vAnchor="text" w:hAnchor="margin" w:xAlign="right" w:y="1"/>
      <w:jc w:val="right"/>
    </w:pPr>
    <w:rPr>
      <w:rFonts w:cs="Arial"/>
      <w:noProof/>
      <w:color w:val="5F6062"/>
      <w:sz w:val="18"/>
      <w:lang w:val="en-AU"/>
    </w:rPr>
  </w:style>
  <w:style w:type="paragraph" w:customStyle="1" w:styleId="AHPRASubheading">
    <w:name w:val="AHPRA Subheading"/>
    <w:basedOn w:val="Normal"/>
    <w:qFormat/>
    <w:rsid w:val="00997A2E"/>
    <w:pPr>
      <w:spacing w:before="200" w:after="200"/>
      <w:jc w:val="left"/>
    </w:pPr>
    <w:rPr>
      <w:rFonts w:eastAsia="Cambria" w:cs="Times New Roman"/>
      <w:b/>
      <w:noProof w:val="0"/>
      <w:color w:val="007DC3"/>
      <w:sz w:val="20"/>
      <w:lang w:eastAsia="en-US"/>
    </w:rPr>
  </w:style>
  <w:style w:type="paragraph" w:customStyle="1" w:styleId="Default">
    <w:name w:val="Default"/>
    <w:rsid w:val="00997A2E"/>
    <w:pPr>
      <w:autoSpaceDE w:val="0"/>
      <w:autoSpaceDN w:val="0"/>
      <w:adjustRightInd w:val="0"/>
    </w:pPr>
    <w:rPr>
      <w:rFonts w:eastAsia="Times New Roman" w:cs="Arial"/>
      <w:color w:val="000000"/>
      <w:sz w:val="24"/>
      <w:szCs w:val="24"/>
    </w:rPr>
  </w:style>
  <w:style w:type="paragraph" w:styleId="CommentText">
    <w:name w:val="annotation text"/>
    <w:basedOn w:val="Normal"/>
    <w:link w:val="CommentTextChar"/>
    <w:uiPriority w:val="99"/>
    <w:unhideWhenUsed/>
    <w:rsid w:val="00997A2E"/>
    <w:pPr>
      <w:jc w:val="left"/>
    </w:pPr>
    <w:rPr>
      <w:rFonts w:ascii="Times New Roman" w:hAnsi="Times New Roman" w:cs="Times New Roman"/>
      <w:noProof w:val="0"/>
      <w:sz w:val="20"/>
      <w:szCs w:val="20"/>
    </w:rPr>
  </w:style>
  <w:style w:type="character" w:customStyle="1" w:styleId="CommentTextChar">
    <w:name w:val="Comment Text Char"/>
    <w:basedOn w:val="DefaultParagraphFont"/>
    <w:link w:val="CommentText"/>
    <w:uiPriority w:val="99"/>
    <w:rsid w:val="00997A2E"/>
    <w:rPr>
      <w:rFonts w:ascii="Times New Roman" w:eastAsia="Times New Roman" w:hAnsi="Times New Roman"/>
      <w:lang w:val="en-AU" w:eastAsia="en-AU"/>
    </w:rPr>
  </w:style>
  <w:style w:type="paragraph" w:customStyle="1" w:styleId="AHPRAbody">
    <w:name w:val="AHPRA body"/>
    <w:basedOn w:val="Normal"/>
    <w:qFormat/>
    <w:rsid w:val="00997A2E"/>
    <w:pPr>
      <w:jc w:val="left"/>
    </w:pPr>
    <w:rPr>
      <w:rFonts w:eastAsia="Calibri" w:cs="Times New Roman"/>
      <w:noProof w:val="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9380851">
      <w:bodyDiv w:val="1"/>
      <w:marLeft w:val="0"/>
      <w:marRight w:val="0"/>
      <w:marTop w:val="0"/>
      <w:marBottom w:val="0"/>
      <w:divBdr>
        <w:top w:val="none" w:sz="0" w:space="0" w:color="auto"/>
        <w:left w:val="none" w:sz="0" w:space="0" w:color="auto"/>
        <w:bottom w:val="none" w:sz="0" w:space="0" w:color="auto"/>
        <w:right w:val="none" w:sz="0" w:space="0" w:color="auto"/>
      </w:divBdr>
    </w:div>
    <w:div w:id="16277379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roy\appdata\roaming\microsoft\word\startup\AHPRA_Global.dotm" TargetMode="Externa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0972-4C48-4245-8956-84B81326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AHPRA_Global</Template>
  <TotalTime>0</TotalTime>
  <Pages>2</Pages>
  <Words>342</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Expert Panel on Drug and Alcohol Screening</vt:lpstr>
    </vt:vector>
  </TitlesOfParts>
  <Company>Johanna Villani Design</Company>
  <LinksUpToDate>false</LinksUpToDate>
  <CharactersWithSpaces>2227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Panel on Drug and Alcohol Screening</dc:title>
  <dc:subject>Terms of Reference</dc:subject>
  <dc:creator>AHPRA</dc:creator>
  <cp:lastModifiedBy>Gareth Meade</cp:lastModifiedBy>
  <cp:revision>3</cp:revision>
  <cp:lastPrinted>2015-02-17T04:52:00Z</cp:lastPrinted>
  <dcterms:created xsi:type="dcterms:W3CDTF">2015-02-17T04:52:00Z</dcterms:created>
  <dcterms:modified xsi:type="dcterms:W3CDTF">2015-02-17T04:52:00Z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obAHPRAplus</vt:lpwstr>
  </property>
  <property fmtid="{D5CDD505-2E9C-101B-9397-08002B2CF9AE}" pid="18" name="xBoardLine1">
    <vt:lpwstr>Australian</vt:lpwstr>
  </property>
  <property fmtid="{D5CDD505-2E9C-101B-9397-08002B2CF9AE}" pid="19" name="xBoardLine2">
    <vt:lpwstr>Health Practitioner</vt:lpwstr>
  </property>
  <property fmtid="{D5CDD505-2E9C-101B-9397-08002B2CF9AE}" pid="20" name="xBoardLine3">
    <vt:lpwstr>Regulation Agency</vt:lpwstr>
  </property>
  <property fmtid="{D5CDD505-2E9C-101B-9397-08002B2CF9AE}" pid="21" name="xOffice">
    <vt:lpwstr>Melbourne VIC 3001</vt:lpwstr>
  </property>
  <property fmtid="{D5CDD505-2E9C-101B-9397-08002B2CF9AE}" pid="22" name="xWeb">
    <vt:lpwstr>www.ahpra.gov.au</vt:lpwstr>
  </property>
</Properties>
</file>