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8C" w:rsidRPr="00E00E20" w:rsidRDefault="00767F8C" w:rsidP="00B054E2">
      <w:pPr>
        <w:rPr>
          <w:sz w:val="28"/>
          <w:szCs w:val="28"/>
        </w:rPr>
      </w:pPr>
    </w:p>
    <w:p w:rsidR="00F66DBD" w:rsidRPr="005B754C" w:rsidRDefault="00E40417" w:rsidP="00B054E2">
      <w:pPr>
        <w:pStyle w:val="AHPRAHeadline"/>
        <w:rPr>
          <w:color w:val="00BCE4"/>
        </w:rPr>
      </w:pPr>
      <w:r w:rsidRPr="005B754C">
        <w:rPr>
          <w:color w:val="00BCE4"/>
        </w:rPr>
        <w:t>P</w:t>
      </w:r>
      <w:r w:rsidR="00F66DBD" w:rsidRPr="005B754C">
        <w:rPr>
          <w:color w:val="00BCE4"/>
        </w:rPr>
        <w:t xml:space="preserve">rocedures for the </w:t>
      </w:r>
      <w:r w:rsidR="00EB4F7E" w:rsidRPr="005B754C">
        <w:rPr>
          <w:color w:val="00BCE4"/>
        </w:rPr>
        <w:t xml:space="preserve">development </w:t>
      </w:r>
      <w:r w:rsidR="00F66DBD" w:rsidRPr="005B754C">
        <w:rPr>
          <w:color w:val="00BCE4"/>
        </w:rPr>
        <w:t xml:space="preserve">of </w:t>
      </w:r>
      <w:r w:rsidR="00EB4F7E" w:rsidRPr="005B754C">
        <w:rPr>
          <w:color w:val="00BCE4"/>
        </w:rPr>
        <w:t>registration standards</w:t>
      </w:r>
      <w:r w:rsidR="000902DF" w:rsidRPr="005B754C">
        <w:rPr>
          <w:color w:val="00BCE4"/>
        </w:rPr>
        <w:t xml:space="preserve">, </w:t>
      </w:r>
      <w:r w:rsidR="00EB4F7E" w:rsidRPr="005B754C">
        <w:rPr>
          <w:color w:val="00BCE4"/>
        </w:rPr>
        <w:t xml:space="preserve">codes </w:t>
      </w:r>
      <w:r w:rsidR="000902DF" w:rsidRPr="005B754C">
        <w:rPr>
          <w:color w:val="00BCE4"/>
        </w:rPr>
        <w:t xml:space="preserve">and </w:t>
      </w:r>
      <w:r w:rsidR="00EB4F7E" w:rsidRPr="005B754C">
        <w:rPr>
          <w:color w:val="00BCE4"/>
        </w:rPr>
        <w:t>guidelines</w:t>
      </w:r>
      <w:bookmarkStart w:id="0" w:name="_GoBack"/>
      <w:bookmarkEnd w:id="0"/>
    </w:p>
    <w:p w:rsidR="003B4CAD" w:rsidRPr="00A2410D" w:rsidRDefault="00AA59A2" w:rsidP="00B054E2">
      <w:pPr>
        <w:tabs>
          <w:tab w:val="left" w:pos="3544"/>
        </w:tabs>
        <w:autoSpaceDE w:val="0"/>
        <w:autoSpaceDN w:val="0"/>
        <w:adjustRightInd w:val="0"/>
        <w:rPr>
          <w:rFonts w:cs="Arial"/>
          <w:i/>
          <w:iCs/>
          <w:sz w:val="20"/>
          <w:szCs w:val="20"/>
          <w:lang w:eastAsia="en-AU"/>
        </w:rPr>
      </w:pPr>
      <w:r>
        <w:rPr>
          <w:rFonts w:cs="Arial"/>
          <w:i/>
          <w:iCs/>
          <w:noProof/>
          <w:sz w:val="20"/>
          <w:szCs w:val="20"/>
          <w:lang w:eastAsia="en-AU"/>
        </w:rPr>
        <w:pict>
          <v:shapetype id="_x0000_t32" coordsize="21600,21600" o:spt="32" o:oned="t" path="m,l21600,21600e" filled="f">
            <v:path arrowok="t" fillok="f" o:connecttype="none"/>
            <o:lock v:ext="edit" shapetype="t"/>
          </v:shapetype>
          <v:shape id="AutoShape 3" o:spid="_x0000_s1026" type="#_x0000_t32" style="position:absolute;margin-left:-72.8pt;margin-top:.6pt;width:503.3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34,-1,34"/>
        </w:pict>
      </w:r>
    </w:p>
    <w:p w:rsidR="00F1034B" w:rsidRPr="00A2410D" w:rsidRDefault="00780A4E" w:rsidP="00E109C9">
      <w:pPr>
        <w:tabs>
          <w:tab w:val="left" w:pos="3544"/>
        </w:tabs>
        <w:autoSpaceDE w:val="0"/>
        <w:autoSpaceDN w:val="0"/>
        <w:adjustRightInd w:val="0"/>
        <w:spacing w:after="120"/>
        <w:rPr>
          <w:rFonts w:cs="Arial"/>
          <w:i/>
          <w:iCs/>
          <w:sz w:val="20"/>
          <w:szCs w:val="20"/>
          <w:lang w:eastAsia="en-AU"/>
        </w:rPr>
      </w:pPr>
      <w:r w:rsidRPr="00A2410D">
        <w:rPr>
          <w:rFonts w:cs="Arial"/>
          <w:i/>
          <w:iCs/>
          <w:sz w:val="20"/>
          <w:szCs w:val="20"/>
          <w:lang w:eastAsia="en-AU"/>
        </w:rPr>
        <w:t>Under section 25 of the Health Practitioner Regulation National Law as in force in each state and territory</w:t>
      </w:r>
      <w:r w:rsidR="00343C01" w:rsidRPr="00A2410D">
        <w:rPr>
          <w:rFonts w:cs="Arial"/>
          <w:i/>
          <w:iCs/>
          <w:sz w:val="20"/>
          <w:szCs w:val="20"/>
          <w:lang w:eastAsia="en-AU"/>
        </w:rPr>
        <w:t xml:space="preserve"> (the National Law)</w:t>
      </w:r>
      <w:r w:rsidRPr="00A2410D">
        <w:rPr>
          <w:rFonts w:cs="Arial"/>
          <w:i/>
          <w:iCs/>
          <w:sz w:val="20"/>
          <w:szCs w:val="20"/>
          <w:lang w:eastAsia="en-AU"/>
        </w:rPr>
        <w:t>, one of the functions of the Australian Health Practitioner Regulation Agency is:</w:t>
      </w:r>
      <w:r w:rsidR="00401410" w:rsidRPr="00A2410D">
        <w:rPr>
          <w:rFonts w:cs="Arial"/>
          <w:i/>
          <w:iCs/>
          <w:sz w:val="20"/>
          <w:szCs w:val="20"/>
          <w:lang w:eastAsia="en-AU"/>
        </w:rPr>
        <w:t xml:space="preserve"> </w:t>
      </w:r>
      <w:r w:rsidR="008E4DA2" w:rsidRPr="00A2410D">
        <w:rPr>
          <w:rFonts w:cs="Arial"/>
          <w:i/>
          <w:iCs/>
          <w:sz w:val="20"/>
          <w:szCs w:val="20"/>
          <w:lang w:eastAsia="en-AU"/>
        </w:rPr>
        <w:t>‘</w:t>
      </w:r>
      <w:r w:rsidRPr="00A2410D">
        <w:rPr>
          <w:rFonts w:cs="Arial"/>
          <w:i/>
          <w:iCs/>
          <w:sz w:val="20"/>
          <w:szCs w:val="20"/>
          <w:lang w:eastAsia="en-AU"/>
        </w:rPr>
        <w:t>to establish procedures for the development of accreditation standards, registration standards and codes and guidelines approved by National Boards, for the purpose of ensuring that the national registration and accreditation scheme operates in accordance with good regulatory practice</w:t>
      </w:r>
      <w:r w:rsidR="008E4DA2" w:rsidRPr="00A2410D">
        <w:rPr>
          <w:rFonts w:cs="Arial"/>
          <w:i/>
          <w:iCs/>
          <w:sz w:val="20"/>
          <w:szCs w:val="20"/>
          <w:lang w:eastAsia="en-AU"/>
        </w:rPr>
        <w:t>.’</w:t>
      </w:r>
    </w:p>
    <w:p w:rsidR="00F66DBD" w:rsidRPr="00A2410D" w:rsidRDefault="00A946B9" w:rsidP="00E109C9">
      <w:pPr>
        <w:tabs>
          <w:tab w:val="left" w:pos="3544"/>
        </w:tabs>
        <w:spacing w:before="200" w:after="200"/>
        <w:rPr>
          <w:rFonts w:cs="Arial"/>
          <w:b/>
          <w:sz w:val="20"/>
          <w:szCs w:val="20"/>
        </w:rPr>
      </w:pPr>
      <w:r w:rsidRPr="00A2410D">
        <w:rPr>
          <w:rFonts w:cs="Arial"/>
          <w:b/>
          <w:sz w:val="20"/>
          <w:szCs w:val="20"/>
        </w:rPr>
        <w:t xml:space="preserve">Procedures for the </w:t>
      </w:r>
      <w:r w:rsidR="006B4E13" w:rsidRPr="00A2410D">
        <w:rPr>
          <w:rFonts w:cs="Arial"/>
          <w:b/>
          <w:sz w:val="20"/>
          <w:szCs w:val="20"/>
        </w:rPr>
        <w:t>d</w:t>
      </w:r>
      <w:r w:rsidRPr="00A2410D">
        <w:rPr>
          <w:rFonts w:cs="Arial"/>
          <w:b/>
          <w:sz w:val="20"/>
          <w:szCs w:val="20"/>
        </w:rPr>
        <w:t xml:space="preserve">evelopment of </w:t>
      </w:r>
      <w:r w:rsidR="006B4E13" w:rsidRPr="00A2410D">
        <w:rPr>
          <w:rFonts w:cs="Arial"/>
          <w:b/>
          <w:sz w:val="20"/>
          <w:szCs w:val="20"/>
        </w:rPr>
        <w:t>r</w:t>
      </w:r>
      <w:r w:rsidRPr="00A2410D">
        <w:rPr>
          <w:rFonts w:cs="Arial"/>
          <w:b/>
          <w:sz w:val="20"/>
          <w:szCs w:val="20"/>
        </w:rPr>
        <w:t xml:space="preserve">egistration </w:t>
      </w:r>
      <w:r w:rsidR="006B4E13" w:rsidRPr="00A2410D">
        <w:rPr>
          <w:rFonts w:cs="Arial"/>
          <w:b/>
          <w:sz w:val="20"/>
          <w:szCs w:val="20"/>
        </w:rPr>
        <w:t>s</w:t>
      </w:r>
      <w:r w:rsidRPr="00A2410D">
        <w:rPr>
          <w:rFonts w:cs="Arial"/>
          <w:b/>
          <w:sz w:val="20"/>
          <w:szCs w:val="20"/>
        </w:rPr>
        <w:t>tandards</w:t>
      </w:r>
      <w:r w:rsidR="006E0486" w:rsidRPr="00A2410D">
        <w:rPr>
          <w:rFonts w:cs="Arial"/>
          <w:b/>
          <w:sz w:val="20"/>
          <w:szCs w:val="20"/>
        </w:rPr>
        <w:t>, codes and guidelines</w:t>
      </w:r>
    </w:p>
    <w:p w:rsidR="00575ABB" w:rsidRPr="00A2410D" w:rsidRDefault="00575ABB" w:rsidP="00E109C9">
      <w:pPr>
        <w:tabs>
          <w:tab w:val="left" w:pos="3544"/>
        </w:tabs>
        <w:spacing w:after="120"/>
        <w:rPr>
          <w:rFonts w:cs="Arial"/>
          <w:sz w:val="20"/>
          <w:szCs w:val="20"/>
        </w:rPr>
      </w:pPr>
      <w:r w:rsidRPr="00A2410D">
        <w:rPr>
          <w:rFonts w:cs="Arial"/>
          <w:sz w:val="20"/>
          <w:szCs w:val="20"/>
        </w:rPr>
        <w:t>In putting forward a proposal for a new or amended registration standard</w:t>
      </w:r>
      <w:r w:rsidR="006E0486" w:rsidRPr="00A2410D">
        <w:rPr>
          <w:rFonts w:cs="Arial"/>
          <w:sz w:val="20"/>
          <w:szCs w:val="20"/>
        </w:rPr>
        <w:t>, code or guideline</w:t>
      </w:r>
      <w:r w:rsidR="000D5C08" w:rsidRPr="00A2410D">
        <w:rPr>
          <w:rFonts w:cs="Arial"/>
          <w:sz w:val="20"/>
          <w:szCs w:val="20"/>
        </w:rPr>
        <w:t>,</w:t>
      </w:r>
      <w:r w:rsidRPr="00A2410D">
        <w:rPr>
          <w:rFonts w:cs="Arial"/>
          <w:sz w:val="20"/>
          <w:szCs w:val="20"/>
        </w:rPr>
        <w:t xml:space="preserve"> a </w:t>
      </w:r>
      <w:r w:rsidR="008E6E0C" w:rsidRPr="00A2410D">
        <w:rPr>
          <w:rFonts w:cs="Arial"/>
          <w:sz w:val="20"/>
          <w:szCs w:val="20"/>
        </w:rPr>
        <w:t xml:space="preserve">National Board </w:t>
      </w:r>
      <w:r w:rsidRPr="00A2410D">
        <w:rPr>
          <w:rFonts w:cs="Arial"/>
          <w:sz w:val="20"/>
          <w:szCs w:val="20"/>
        </w:rPr>
        <w:t>must be satisfied that the proposal:</w:t>
      </w:r>
    </w:p>
    <w:p w:rsidR="00575ABB" w:rsidRPr="00A2410D" w:rsidRDefault="00575ABB" w:rsidP="00E109C9">
      <w:pPr>
        <w:pStyle w:val="ListParagraph"/>
        <w:numPr>
          <w:ilvl w:val="0"/>
          <w:numId w:val="1"/>
        </w:numPr>
        <w:tabs>
          <w:tab w:val="left" w:pos="3544"/>
        </w:tabs>
        <w:spacing w:after="120"/>
        <w:ind w:left="284" w:hanging="284"/>
        <w:contextualSpacing/>
        <w:rPr>
          <w:rFonts w:cs="Arial"/>
          <w:sz w:val="20"/>
          <w:szCs w:val="20"/>
        </w:rPr>
      </w:pPr>
      <w:r w:rsidRPr="00A2410D">
        <w:rPr>
          <w:rFonts w:cs="Arial"/>
          <w:sz w:val="20"/>
          <w:szCs w:val="20"/>
        </w:rPr>
        <w:t xml:space="preserve">takes into account the objectives and guiding principles in the </w:t>
      </w:r>
      <w:r w:rsidR="00753B06" w:rsidRPr="00A2410D">
        <w:rPr>
          <w:rFonts w:cs="Arial"/>
          <w:sz w:val="20"/>
          <w:szCs w:val="20"/>
        </w:rPr>
        <w:t>National Law</w:t>
      </w:r>
      <w:r w:rsidR="00143200" w:rsidRPr="00A2410D">
        <w:rPr>
          <w:rFonts w:cs="Arial"/>
          <w:sz w:val="20"/>
          <w:szCs w:val="20"/>
        </w:rPr>
        <w:t xml:space="preserve"> at subsections 3(2) and 3(3) </w:t>
      </w:r>
      <w:r w:rsidRPr="00A2410D">
        <w:rPr>
          <w:rFonts w:cs="Arial"/>
          <w:sz w:val="20"/>
          <w:szCs w:val="20"/>
        </w:rPr>
        <w:t>which read as follows:</w:t>
      </w:r>
    </w:p>
    <w:p w:rsidR="00575ABB" w:rsidRPr="00A2410D" w:rsidRDefault="00575ABB" w:rsidP="00E109C9">
      <w:pPr>
        <w:pStyle w:val="ListParagraph"/>
        <w:tabs>
          <w:tab w:val="left" w:pos="3544"/>
        </w:tabs>
        <w:spacing w:after="120"/>
        <w:ind w:left="283" w:hanging="283"/>
        <w:contextualSpacing/>
        <w:rPr>
          <w:rFonts w:cs="Arial"/>
          <w:sz w:val="20"/>
          <w:szCs w:val="20"/>
        </w:rPr>
      </w:pPr>
    </w:p>
    <w:p w:rsidR="00575ABB" w:rsidRPr="00A2410D" w:rsidRDefault="008E4DA2" w:rsidP="00E109C9">
      <w:pPr>
        <w:pStyle w:val="ListParagraph"/>
        <w:tabs>
          <w:tab w:val="left" w:pos="3544"/>
        </w:tabs>
        <w:spacing w:after="120"/>
        <w:ind w:left="709" w:hanging="425"/>
        <w:contextualSpacing/>
        <w:rPr>
          <w:rFonts w:cs="Arial"/>
          <w:sz w:val="20"/>
          <w:szCs w:val="20"/>
        </w:rPr>
      </w:pPr>
      <w:r w:rsidRPr="00A2410D">
        <w:rPr>
          <w:rFonts w:cs="Arial"/>
          <w:sz w:val="20"/>
          <w:szCs w:val="20"/>
        </w:rPr>
        <w:t>‘</w:t>
      </w:r>
      <w:r w:rsidR="00575ABB" w:rsidRPr="00A2410D">
        <w:rPr>
          <w:rFonts w:cs="Arial"/>
          <w:sz w:val="20"/>
          <w:szCs w:val="20"/>
        </w:rPr>
        <w:t>The objectives of the national registrati</w:t>
      </w:r>
      <w:r w:rsidR="003D6A2A">
        <w:rPr>
          <w:rFonts w:cs="Arial"/>
          <w:sz w:val="20"/>
          <w:szCs w:val="20"/>
        </w:rPr>
        <w:t>on and accreditation scheme are</w:t>
      </w:r>
      <w:r w:rsidR="009C288D">
        <w:rPr>
          <w:rFonts w:cs="Arial"/>
          <w:sz w:val="20"/>
        </w:rPr>
        <w:t>—</w:t>
      </w:r>
    </w:p>
    <w:p w:rsidR="006378EA" w:rsidRPr="00A2410D" w:rsidRDefault="006378EA" w:rsidP="00E109C9">
      <w:pPr>
        <w:numPr>
          <w:ilvl w:val="0"/>
          <w:numId w:val="13"/>
        </w:numPr>
        <w:spacing w:after="120"/>
        <w:rPr>
          <w:rFonts w:cs="Arial"/>
          <w:sz w:val="20"/>
          <w:szCs w:val="20"/>
        </w:rPr>
      </w:pPr>
      <w:r w:rsidRPr="00A2410D">
        <w:rPr>
          <w:rFonts w:cs="Arial"/>
          <w:sz w:val="20"/>
          <w:szCs w:val="20"/>
        </w:rPr>
        <w:t>to provide for the protection of the public by ensuring that only health practitioners who are suitably trained and qualified to practise in a competent and ethical manner are registered; and</w:t>
      </w:r>
    </w:p>
    <w:p w:rsidR="006378EA" w:rsidRPr="00A2410D" w:rsidRDefault="006378EA" w:rsidP="00E109C9">
      <w:pPr>
        <w:numPr>
          <w:ilvl w:val="0"/>
          <w:numId w:val="13"/>
        </w:numPr>
        <w:spacing w:after="120"/>
        <w:rPr>
          <w:rFonts w:cs="Arial"/>
          <w:sz w:val="20"/>
          <w:szCs w:val="20"/>
        </w:rPr>
      </w:pPr>
      <w:r w:rsidRPr="00A2410D">
        <w:rPr>
          <w:rFonts w:cs="Arial"/>
          <w:sz w:val="20"/>
          <w:szCs w:val="20"/>
        </w:rPr>
        <w:t>to facilitate workplace mobility across Australia by reducing the administrative burden for health practitioners wishing to move between participating jurisdictions or to practise in more than one participating jurisdiction; and</w:t>
      </w:r>
    </w:p>
    <w:p w:rsidR="006378EA" w:rsidRPr="00A2410D" w:rsidRDefault="006378EA" w:rsidP="00E109C9">
      <w:pPr>
        <w:numPr>
          <w:ilvl w:val="0"/>
          <w:numId w:val="13"/>
        </w:numPr>
        <w:spacing w:after="120"/>
        <w:rPr>
          <w:rFonts w:cs="Arial"/>
          <w:sz w:val="20"/>
          <w:szCs w:val="20"/>
        </w:rPr>
      </w:pPr>
      <w:r w:rsidRPr="00A2410D">
        <w:rPr>
          <w:rFonts w:cs="Arial"/>
          <w:sz w:val="20"/>
          <w:szCs w:val="20"/>
        </w:rPr>
        <w:lastRenderedPageBreak/>
        <w:t>to facilitate the provision of high quality education and training of health practitioners; and</w:t>
      </w:r>
    </w:p>
    <w:p w:rsidR="006378EA" w:rsidRPr="00A2410D" w:rsidRDefault="006378EA" w:rsidP="00E109C9">
      <w:pPr>
        <w:numPr>
          <w:ilvl w:val="0"/>
          <w:numId w:val="13"/>
        </w:numPr>
        <w:spacing w:after="120"/>
        <w:rPr>
          <w:rFonts w:cs="Arial"/>
          <w:sz w:val="20"/>
          <w:szCs w:val="20"/>
        </w:rPr>
      </w:pPr>
      <w:r w:rsidRPr="00A2410D">
        <w:rPr>
          <w:rFonts w:cs="Arial"/>
          <w:sz w:val="20"/>
          <w:szCs w:val="20"/>
        </w:rPr>
        <w:t xml:space="preserve">to facilitate the rigorous and responsive assessment of overseas-trained health practitioners; and </w:t>
      </w:r>
    </w:p>
    <w:p w:rsidR="006378EA" w:rsidRPr="00A2410D" w:rsidRDefault="006378EA" w:rsidP="00E109C9">
      <w:pPr>
        <w:numPr>
          <w:ilvl w:val="0"/>
          <w:numId w:val="13"/>
        </w:numPr>
        <w:spacing w:after="120"/>
        <w:rPr>
          <w:rFonts w:cs="Arial"/>
          <w:sz w:val="20"/>
          <w:szCs w:val="20"/>
        </w:rPr>
      </w:pPr>
      <w:r w:rsidRPr="00A2410D">
        <w:rPr>
          <w:rFonts w:cs="Arial"/>
          <w:sz w:val="20"/>
          <w:szCs w:val="20"/>
        </w:rPr>
        <w:t>to facilitate access to services provided by health practitioners in accordance with the public interest; and</w:t>
      </w:r>
    </w:p>
    <w:p w:rsidR="00575ABB" w:rsidRPr="000A48E1" w:rsidRDefault="006378EA" w:rsidP="00E109C9">
      <w:pPr>
        <w:numPr>
          <w:ilvl w:val="0"/>
          <w:numId w:val="13"/>
        </w:numPr>
        <w:spacing w:after="120"/>
        <w:rPr>
          <w:rFonts w:cs="Arial"/>
          <w:sz w:val="20"/>
          <w:szCs w:val="20"/>
        </w:rPr>
      </w:pPr>
      <w:r w:rsidRPr="00A2410D">
        <w:rPr>
          <w:rFonts w:cs="Arial"/>
          <w:sz w:val="20"/>
          <w:szCs w:val="20"/>
        </w:rPr>
        <w:t>to enable the continuous development of a flexible, responsive and sustainable Australian health workforce and to enable innovation in the education of, and service delivery by, health practitioners.’</w:t>
      </w:r>
    </w:p>
    <w:p w:rsidR="00575ABB" w:rsidRPr="00A2410D" w:rsidRDefault="009D760C" w:rsidP="00E109C9">
      <w:pPr>
        <w:pStyle w:val="ListParagraph"/>
        <w:tabs>
          <w:tab w:val="left" w:pos="3544"/>
        </w:tabs>
        <w:spacing w:after="120"/>
        <w:ind w:left="284"/>
        <w:contextualSpacing/>
        <w:rPr>
          <w:rFonts w:cs="Arial"/>
          <w:sz w:val="20"/>
          <w:szCs w:val="20"/>
        </w:rPr>
      </w:pPr>
      <w:r w:rsidRPr="00A2410D">
        <w:rPr>
          <w:rFonts w:cs="Arial"/>
          <w:sz w:val="20"/>
          <w:szCs w:val="20"/>
        </w:rPr>
        <w:t>‘</w:t>
      </w:r>
      <w:r w:rsidR="00575ABB" w:rsidRPr="00A2410D">
        <w:rPr>
          <w:rFonts w:cs="Arial"/>
          <w:sz w:val="20"/>
          <w:szCs w:val="20"/>
        </w:rPr>
        <w:t>The guiding principles of the national registration and accreditation scheme are as follows</w:t>
      </w:r>
      <w:r w:rsidR="009C288D">
        <w:rPr>
          <w:rFonts w:cs="Arial"/>
          <w:sz w:val="20"/>
        </w:rPr>
        <w:t>—</w:t>
      </w:r>
    </w:p>
    <w:p w:rsidR="006378EA" w:rsidRPr="00A2410D" w:rsidRDefault="006378EA" w:rsidP="00E109C9">
      <w:pPr>
        <w:numPr>
          <w:ilvl w:val="1"/>
          <w:numId w:val="14"/>
        </w:numPr>
        <w:tabs>
          <w:tab w:val="clear" w:pos="425"/>
          <w:tab w:val="left" w:pos="851"/>
        </w:tabs>
        <w:spacing w:after="120"/>
        <w:ind w:left="709" w:hanging="425"/>
        <w:rPr>
          <w:rFonts w:cs="Arial"/>
          <w:sz w:val="20"/>
          <w:szCs w:val="20"/>
        </w:rPr>
      </w:pPr>
      <w:r w:rsidRPr="00A2410D">
        <w:rPr>
          <w:rFonts w:cs="Arial"/>
          <w:sz w:val="20"/>
          <w:szCs w:val="20"/>
        </w:rPr>
        <w:t>the scheme is to operate in a transparent, accountable, efficient, effective and fair way;</w:t>
      </w:r>
    </w:p>
    <w:p w:rsidR="006378EA" w:rsidRPr="00A2410D" w:rsidRDefault="006378EA" w:rsidP="00E109C9">
      <w:pPr>
        <w:numPr>
          <w:ilvl w:val="1"/>
          <w:numId w:val="14"/>
        </w:numPr>
        <w:tabs>
          <w:tab w:val="clear" w:pos="425"/>
          <w:tab w:val="left" w:pos="851"/>
        </w:tabs>
        <w:spacing w:after="120"/>
        <w:ind w:left="709" w:hanging="425"/>
        <w:rPr>
          <w:rFonts w:cs="Arial"/>
          <w:sz w:val="20"/>
          <w:szCs w:val="20"/>
        </w:rPr>
      </w:pPr>
      <w:r w:rsidRPr="00A2410D">
        <w:rPr>
          <w:rFonts w:cs="Arial"/>
          <w:sz w:val="20"/>
          <w:szCs w:val="20"/>
        </w:rPr>
        <w:t xml:space="preserve">fees required to be paid under the scheme are to be reasonable having regard to the efficient and effective operation of the scheme; </w:t>
      </w:r>
    </w:p>
    <w:p w:rsidR="00E00E20" w:rsidRDefault="006378EA" w:rsidP="00E109C9">
      <w:pPr>
        <w:numPr>
          <w:ilvl w:val="1"/>
          <w:numId w:val="14"/>
        </w:numPr>
        <w:tabs>
          <w:tab w:val="clear" w:pos="425"/>
          <w:tab w:val="left" w:pos="851"/>
        </w:tabs>
        <w:spacing w:after="120"/>
        <w:ind w:left="709" w:hanging="425"/>
        <w:rPr>
          <w:rFonts w:cs="Arial"/>
          <w:sz w:val="20"/>
          <w:szCs w:val="20"/>
        </w:rPr>
      </w:pPr>
      <w:r w:rsidRPr="00A2410D">
        <w:rPr>
          <w:rFonts w:cs="Arial"/>
          <w:sz w:val="20"/>
          <w:szCs w:val="20"/>
        </w:rPr>
        <w:t>restrictions on the practice of a health profession are to be imposed under the scheme only if it is necessary to ensure health services are provided safely and are of an appropriate quality.’</w:t>
      </w:r>
    </w:p>
    <w:p w:rsidR="00A86393" w:rsidRPr="00A86393" w:rsidRDefault="00A86393" w:rsidP="00E109C9">
      <w:pPr>
        <w:tabs>
          <w:tab w:val="left" w:pos="851"/>
        </w:tabs>
        <w:spacing w:after="120"/>
        <w:rPr>
          <w:rFonts w:cs="Arial"/>
          <w:sz w:val="20"/>
          <w:szCs w:val="20"/>
        </w:rPr>
      </w:pPr>
    </w:p>
    <w:p w:rsidR="00030208" w:rsidRDefault="00030208" w:rsidP="00E109C9">
      <w:pPr>
        <w:spacing w:after="120"/>
        <w:rPr>
          <w:rFonts w:cs="Arial"/>
          <w:sz w:val="20"/>
          <w:szCs w:val="20"/>
        </w:rPr>
      </w:pPr>
      <w:r>
        <w:rPr>
          <w:rFonts w:cs="Arial"/>
          <w:sz w:val="20"/>
          <w:szCs w:val="20"/>
        </w:rPr>
        <w:br w:type="page"/>
      </w:r>
    </w:p>
    <w:p w:rsidR="00575ABB" w:rsidRPr="00A2410D" w:rsidRDefault="00575ABB" w:rsidP="00E109C9">
      <w:pPr>
        <w:pStyle w:val="ListParagraph"/>
        <w:numPr>
          <w:ilvl w:val="0"/>
          <w:numId w:val="1"/>
        </w:numPr>
        <w:tabs>
          <w:tab w:val="left" w:pos="3544"/>
        </w:tabs>
        <w:spacing w:after="120"/>
        <w:ind w:left="284" w:hanging="284"/>
        <w:contextualSpacing/>
        <w:rPr>
          <w:rFonts w:cs="Arial"/>
          <w:sz w:val="20"/>
          <w:szCs w:val="20"/>
        </w:rPr>
      </w:pPr>
      <w:r w:rsidRPr="00A2410D">
        <w:rPr>
          <w:rFonts w:cs="Arial"/>
          <w:sz w:val="20"/>
          <w:szCs w:val="20"/>
        </w:rPr>
        <w:lastRenderedPageBreak/>
        <w:t xml:space="preserve">meets the consultation requirements in the </w:t>
      </w:r>
      <w:r w:rsidR="00753B06" w:rsidRPr="00A2410D">
        <w:rPr>
          <w:rFonts w:cs="Arial"/>
          <w:sz w:val="20"/>
          <w:szCs w:val="20"/>
        </w:rPr>
        <w:t>National Law</w:t>
      </w:r>
      <w:r w:rsidRPr="00A2410D">
        <w:rPr>
          <w:rFonts w:cs="Arial"/>
          <w:sz w:val="20"/>
          <w:szCs w:val="20"/>
        </w:rPr>
        <w:t>, namely:</w:t>
      </w:r>
    </w:p>
    <w:p w:rsidR="00575ABB" w:rsidRPr="00A2410D" w:rsidRDefault="009D760C" w:rsidP="00E109C9">
      <w:pPr>
        <w:numPr>
          <w:ilvl w:val="1"/>
          <w:numId w:val="3"/>
        </w:numPr>
        <w:tabs>
          <w:tab w:val="clear" w:pos="425"/>
          <w:tab w:val="left" w:pos="3544"/>
        </w:tabs>
        <w:spacing w:after="120"/>
        <w:ind w:left="709" w:hanging="425"/>
        <w:rPr>
          <w:rFonts w:cs="Arial"/>
          <w:sz w:val="20"/>
          <w:szCs w:val="20"/>
        </w:rPr>
      </w:pPr>
      <w:r w:rsidRPr="00A2410D">
        <w:rPr>
          <w:rFonts w:cs="Arial"/>
          <w:sz w:val="20"/>
          <w:szCs w:val="20"/>
        </w:rPr>
        <w:t>‘</w:t>
      </w:r>
      <w:r w:rsidR="00575ABB" w:rsidRPr="00A2410D">
        <w:rPr>
          <w:rFonts w:cs="Arial"/>
          <w:sz w:val="20"/>
          <w:szCs w:val="20"/>
        </w:rPr>
        <w:t xml:space="preserve">If a National Board develops a registration standard or a code or a guideline, it must ensure </w:t>
      </w:r>
      <w:r w:rsidR="00753B06" w:rsidRPr="00A2410D">
        <w:rPr>
          <w:rFonts w:cs="Arial"/>
          <w:sz w:val="20"/>
          <w:szCs w:val="20"/>
        </w:rPr>
        <w:t>there is</w:t>
      </w:r>
      <w:r w:rsidR="00575ABB" w:rsidRPr="00A2410D">
        <w:rPr>
          <w:rFonts w:cs="Arial"/>
          <w:sz w:val="20"/>
          <w:szCs w:val="20"/>
        </w:rPr>
        <w:t xml:space="preserve"> wide-ranging consultation about its content</w:t>
      </w:r>
      <w:r w:rsidR="00B611EA" w:rsidRPr="00A2410D">
        <w:rPr>
          <w:rFonts w:cs="Arial"/>
          <w:sz w:val="20"/>
          <w:szCs w:val="20"/>
        </w:rPr>
        <w:t>’</w:t>
      </w:r>
      <w:r w:rsidR="00575ABB" w:rsidRPr="00A2410D">
        <w:rPr>
          <w:rFonts w:cs="Arial"/>
          <w:sz w:val="20"/>
          <w:szCs w:val="20"/>
        </w:rPr>
        <w:t xml:space="preserve"> (</w:t>
      </w:r>
      <w:r w:rsidR="00753B06" w:rsidRPr="00A2410D">
        <w:rPr>
          <w:rFonts w:cs="Arial"/>
          <w:sz w:val="20"/>
          <w:szCs w:val="20"/>
        </w:rPr>
        <w:t>section</w:t>
      </w:r>
      <w:r w:rsidR="008D2C87" w:rsidRPr="00A2410D">
        <w:rPr>
          <w:rFonts w:cs="Arial"/>
          <w:sz w:val="20"/>
          <w:szCs w:val="20"/>
        </w:rPr>
        <w:t xml:space="preserve"> </w:t>
      </w:r>
      <w:r w:rsidR="00753B06" w:rsidRPr="00A2410D">
        <w:rPr>
          <w:rFonts w:cs="Arial"/>
          <w:sz w:val="20"/>
          <w:szCs w:val="20"/>
        </w:rPr>
        <w:t>40(1</w:t>
      </w:r>
      <w:r w:rsidR="008E6E0C" w:rsidRPr="00A2410D">
        <w:rPr>
          <w:rFonts w:cs="Arial"/>
          <w:sz w:val="20"/>
          <w:szCs w:val="20"/>
        </w:rPr>
        <w:t xml:space="preserve">)), </w:t>
      </w:r>
      <w:r w:rsidR="00575ABB" w:rsidRPr="00A2410D">
        <w:rPr>
          <w:rFonts w:cs="Arial"/>
          <w:sz w:val="20"/>
          <w:szCs w:val="20"/>
        </w:rPr>
        <w:t>and</w:t>
      </w:r>
    </w:p>
    <w:p w:rsidR="00575ABB" w:rsidRPr="00A2410D" w:rsidRDefault="009D760C" w:rsidP="00E109C9">
      <w:pPr>
        <w:numPr>
          <w:ilvl w:val="1"/>
          <w:numId w:val="3"/>
        </w:numPr>
        <w:tabs>
          <w:tab w:val="clear" w:pos="425"/>
          <w:tab w:val="left" w:pos="3544"/>
        </w:tabs>
        <w:spacing w:after="120"/>
        <w:ind w:left="709" w:hanging="425"/>
        <w:rPr>
          <w:rFonts w:cs="Arial"/>
          <w:sz w:val="20"/>
          <w:szCs w:val="20"/>
        </w:rPr>
      </w:pPr>
      <w:r w:rsidRPr="00A2410D">
        <w:rPr>
          <w:rFonts w:cs="Arial"/>
          <w:sz w:val="20"/>
          <w:szCs w:val="20"/>
        </w:rPr>
        <w:t>‘</w:t>
      </w:r>
      <w:r w:rsidR="00575ABB" w:rsidRPr="00A2410D">
        <w:rPr>
          <w:rFonts w:cs="Arial"/>
          <w:sz w:val="20"/>
          <w:szCs w:val="20"/>
        </w:rPr>
        <w:t xml:space="preserve">If a National Board (the </w:t>
      </w:r>
      <w:r w:rsidR="00575ABB" w:rsidRPr="00A2410D">
        <w:rPr>
          <w:rFonts w:cs="Arial"/>
          <w:i/>
          <w:sz w:val="20"/>
          <w:szCs w:val="20"/>
        </w:rPr>
        <w:t>first Board</w:t>
      </w:r>
      <w:r w:rsidR="00575ABB" w:rsidRPr="00A2410D">
        <w:rPr>
          <w:rFonts w:cs="Arial"/>
          <w:sz w:val="20"/>
          <w:szCs w:val="20"/>
        </w:rPr>
        <w:t xml:space="preserve">) proposes to make a recommendation to the Ministerial Council about a matter that may reasonably be expected to be of interest to another National Board (the </w:t>
      </w:r>
      <w:r w:rsidR="00575ABB" w:rsidRPr="00A2410D">
        <w:rPr>
          <w:rFonts w:cs="Arial"/>
          <w:i/>
          <w:sz w:val="20"/>
          <w:szCs w:val="20"/>
        </w:rPr>
        <w:t>other Board</w:t>
      </w:r>
      <w:r w:rsidR="00575ABB" w:rsidRPr="00A2410D">
        <w:rPr>
          <w:rFonts w:cs="Arial"/>
          <w:sz w:val="20"/>
          <w:szCs w:val="20"/>
        </w:rPr>
        <w:t>), the first Board must:</w:t>
      </w:r>
      <w:r w:rsidR="00575ABB" w:rsidRPr="00A2410D">
        <w:rPr>
          <w:rFonts w:cs="Arial"/>
          <w:sz w:val="20"/>
          <w:szCs w:val="20"/>
        </w:rPr>
        <w:tab/>
      </w:r>
    </w:p>
    <w:p w:rsidR="00575ABB" w:rsidRPr="00A2410D" w:rsidRDefault="005F0186" w:rsidP="00E109C9">
      <w:pPr>
        <w:tabs>
          <w:tab w:val="left" w:pos="3544"/>
        </w:tabs>
        <w:spacing w:after="120"/>
        <w:ind w:left="1134" w:hanging="425"/>
        <w:rPr>
          <w:rFonts w:cs="Arial"/>
          <w:sz w:val="20"/>
          <w:szCs w:val="20"/>
        </w:rPr>
      </w:pPr>
      <w:r w:rsidRPr="00A2410D">
        <w:rPr>
          <w:rFonts w:cs="Arial"/>
          <w:sz w:val="20"/>
          <w:szCs w:val="20"/>
        </w:rPr>
        <w:t>(a)</w:t>
      </w:r>
      <w:r w:rsidR="002948C1" w:rsidRPr="00A2410D">
        <w:rPr>
          <w:rFonts w:cs="Arial"/>
          <w:sz w:val="20"/>
          <w:szCs w:val="20"/>
        </w:rPr>
        <w:tab/>
      </w:r>
      <w:r w:rsidR="00575ABB" w:rsidRPr="00A2410D">
        <w:rPr>
          <w:rFonts w:cs="Arial"/>
          <w:sz w:val="20"/>
          <w:szCs w:val="20"/>
        </w:rPr>
        <w:t>consult with the other board about the proposed recommendation, and</w:t>
      </w:r>
    </w:p>
    <w:p w:rsidR="00575ABB" w:rsidRPr="00A2410D" w:rsidRDefault="005F0186" w:rsidP="00E109C9">
      <w:pPr>
        <w:tabs>
          <w:tab w:val="left" w:pos="3544"/>
        </w:tabs>
        <w:spacing w:after="120"/>
        <w:ind w:left="1134" w:hanging="425"/>
        <w:rPr>
          <w:rFonts w:cs="Arial"/>
          <w:sz w:val="20"/>
          <w:szCs w:val="20"/>
        </w:rPr>
      </w:pPr>
      <w:r w:rsidRPr="00A2410D">
        <w:rPr>
          <w:rFonts w:cs="Arial"/>
          <w:sz w:val="20"/>
          <w:szCs w:val="20"/>
        </w:rPr>
        <w:t>(b)</w:t>
      </w:r>
      <w:r w:rsidR="002948C1" w:rsidRPr="00A2410D">
        <w:rPr>
          <w:rFonts w:cs="Arial"/>
          <w:sz w:val="20"/>
          <w:szCs w:val="20"/>
        </w:rPr>
        <w:tab/>
      </w:r>
      <w:r w:rsidR="00575ABB" w:rsidRPr="00A2410D">
        <w:rPr>
          <w:rFonts w:cs="Arial"/>
          <w:sz w:val="20"/>
          <w:szCs w:val="20"/>
        </w:rPr>
        <w:t>if the first Board makes the recommendation to the Ministerial Council, advise the Council about any contrary views expressed by the other Board about the recommendation</w:t>
      </w:r>
      <w:r w:rsidR="008E6E0C" w:rsidRPr="00A2410D">
        <w:rPr>
          <w:rFonts w:cs="Arial"/>
          <w:sz w:val="20"/>
          <w:szCs w:val="20"/>
        </w:rPr>
        <w:t>.</w:t>
      </w:r>
      <w:r w:rsidR="009D760C" w:rsidRPr="00A2410D">
        <w:rPr>
          <w:rFonts w:cs="Arial"/>
          <w:sz w:val="20"/>
          <w:szCs w:val="20"/>
        </w:rPr>
        <w:t>’</w:t>
      </w:r>
      <w:r w:rsidR="00575ABB" w:rsidRPr="00A2410D">
        <w:rPr>
          <w:rFonts w:cs="Arial"/>
          <w:sz w:val="20"/>
          <w:szCs w:val="20"/>
        </w:rPr>
        <w:t xml:space="preserve"> (</w:t>
      </w:r>
      <w:r w:rsidR="00753B06" w:rsidRPr="00A2410D">
        <w:rPr>
          <w:rFonts w:cs="Arial"/>
          <w:sz w:val="20"/>
          <w:szCs w:val="20"/>
        </w:rPr>
        <w:t>Schedule 4, clause 9</w:t>
      </w:r>
      <w:r w:rsidR="00575ABB" w:rsidRPr="00A2410D">
        <w:rPr>
          <w:rFonts w:cs="Arial"/>
          <w:sz w:val="20"/>
          <w:szCs w:val="20"/>
        </w:rPr>
        <w:t>)</w:t>
      </w:r>
    </w:p>
    <w:p w:rsidR="00575ABB" w:rsidRPr="00A2410D" w:rsidRDefault="00575ABB" w:rsidP="00E109C9">
      <w:pPr>
        <w:pStyle w:val="ListParagraph"/>
        <w:numPr>
          <w:ilvl w:val="0"/>
          <w:numId w:val="1"/>
        </w:numPr>
        <w:tabs>
          <w:tab w:val="left" w:pos="3544"/>
        </w:tabs>
        <w:spacing w:after="120"/>
        <w:ind w:left="284" w:hanging="284"/>
        <w:contextualSpacing/>
        <w:rPr>
          <w:rFonts w:cs="Arial"/>
          <w:sz w:val="20"/>
          <w:szCs w:val="20"/>
        </w:rPr>
      </w:pPr>
      <w:r w:rsidRPr="00A2410D">
        <w:rPr>
          <w:rFonts w:cs="Arial"/>
          <w:sz w:val="20"/>
          <w:szCs w:val="20"/>
        </w:rPr>
        <w:t xml:space="preserve">takes into account the </w:t>
      </w:r>
      <w:hyperlink r:id="rId8" w:history="1">
        <w:r w:rsidR="002722A9" w:rsidRPr="00A2410D">
          <w:rPr>
            <w:rStyle w:val="Hyperlink"/>
            <w:rFonts w:cs="Arial"/>
            <w:i/>
            <w:sz w:val="20"/>
            <w:szCs w:val="20"/>
          </w:rPr>
          <w:t>COAG Principles for Best Practice Regulation</w:t>
        </w:r>
      </w:hyperlink>
      <w:r w:rsidRPr="00A2410D">
        <w:rPr>
          <w:rFonts w:cs="Arial"/>
          <w:sz w:val="20"/>
          <w:szCs w:val="20"/>
        </w:rPr>
        <w:t xml:space="preserve"> by considering the following matters:</w:t>
      </w:r>
    </w:p>
    <w:p w:rsidR="00CF3F12" w:rsidRPr="00A2410D" w:rsidRDefault="004B499E" w:rsidP="00E109C9">
      <w:pPr>
        <w:numPr>
          <w:ilvl w:val="1"/>
          <w:numId w:val="15"/>
        </w:numPr>
        <w:tabs>
          <w:tab w:val="left" w:pos="3544"/>
        </w:tabs>
        <w:spacing w:after="120"/>
        <w:ind w:left="709" w:hanging="425"/>
        <w:rPr>
          <w:rFonts w:cs="Arial"/>
          <w:sz w:val="20"/>
          <w:szCs w:val="20"/>
        </w:rPr>
      </w:pPr>
      <w:r w:rsidRPr="00A2410D">
        <w:rPr>
          <w:rFonts w:cs="Arial"/>
          <w:sz w:val="20"/>
          <w:szCs w:val="20"/>
        </w:rPr>
        <w:t xml:space="preserve">whether the proposal is the best option </w:t>
      </w:r>
      <w:r w:rsidR="000C47FD" w:rsidRPr="00A2410D">
        <w:rPr>
          <w:rFonts w:cs="Arial"/>
          <w:sz w:val="20"/>
          <w:szCs w:val="20"/>
        </w:rPr>
        <w:t xml:space="preserve">to achieve </w:t>
      </w:r>
      <w:r w:rsidRPr="00A2410D">
        <w:rPr>
          <w:rFonts w:cs="Arial"/>
          <w:sz w:val="20"/>
          <w:szCs w:val="20"/>
        </w:rPr>
        <w:t xml:space="preserve">the proposal’s stated purpose and protect the public  </w:t>
      </w:r>
    </w:p>
    <w:p w:rsidR="00CF3F12" w:rsidRPr="00A2410D" w:rsidRDefault="00575ABB" w:rsidP="00E109C9">
      <w:pPr>
        <w:numPr>
          <w:ilvl w:val="1"/>
          <w:numId w:val="15"/>
        </w:numPr>
        <w:tabs>
          <w:tab w:val="left" w:pos="3544"/>
        </w:tabs>
        <w:spacing w:after="120"/>
        <w:ind w:left="709" w:hanging="425"/>
        <w:rPr>
          <w:rFonts w:cs="Arial"/>
          <w:sz w:val="20"/>
          <w:szCs w:val="20"/>
        </w:rPr>
      </w:pPr>
      <w:r w:rsidRPr="00A2410D">
        <w:rPr>
          <w:rFonts w:cs="Arial"/>
          <w:sz w:val="20"/>
          <w:szCs w:val="20"/>
        </w:rPr>
        <w:t>whether the proposal results in an unnecessary restriction of competition among health practitioners</w:t>
      </w:r>
    </w:p>
    <w:p w:rsidR="00CF3F12" w:rsidRPr="00A2410D" w:rsidRDefault="00575ABB" w:rsidP="00E109C9">
      <w:pPr>
        <w:numPr>
          <w:ilvl w:val="1"/>
          <w:numId w:val="15"/>
        </w:numPr>
        <w:tabs>
          <w:tab w:val="left" w:pos="3544"/>
        </w:tabs>
        <w:spacing w:after="120"/>
        <w:ind w:left="709" w:hanging="425"/>
        <w:rPr>
          <w:rFonts w:cs="Arial"/>
          <w:sz w:val="20"/>
          <w:szCs w:val="20"/>
        </w:rPr>
      </w:pPr>
      <w:r w:rsidRPr="00A2410D">
        <w:rPr>
          <w:rFonts w:cs="Arial"/>
          <w:sz w:val="20"/>
          <w:szCs w:val="20"/>
        </w:rPr>
        <w:t>whether the proposal results in an unnecessary restriction of consumer choice</w:t>
      </w:r>
    </w:p>
    <w:p w:rsidR="00CF3F12" w:rsidRPr="00A2410D" w:rsidRDefault="00575ABB" w:rsidP="00E109C9">
      <w:pPr>
        <w:numPr>
          <w:ilvl w:val="1"/>
          <w:numId w:val="15"/>
        </w:numPr>
        <w:tabs>
          <w:tab w:val="left" w:pos="3544"/>
        </w:tabs>
        <w:spacing w:after="120"/>
        <w:ind w:left="709" w:hanging="425"/>
        <w:rPr>
          <w:rFonts w:cs="Arial"/>
          <w:sz w:val="20"/>
          <w:szCs w:val="20"/>
        </w:rPr>
      </w:pPr>
      <w:r w:rsidRPr="00A2410D">
        <w:rPr>
          <w:rFonts w:cs="Arial"/>
          <w:sz w:val="20"/>
          <w:szCs w:val="20"/>
        </w:rPr>
        <w:t xml:space="preserve">whether the overall costs of the proposal to members of the public and/or registrants and/or governments are reasonable in relation to the benefits to be achieved </w:t>
      </w:r>
    </w:p>
    <w:p w:rsidR="00CF3F12" w:rsidRPr="00A2410D" w:rsidRDefault="004B499E" w:rsidP="00E109C9">
      <w:pPr>
        <w:numPr>
          <w:ilvl w:val="1"/>
          <w:numId w:val="15"/>
        </w:numPr>
        <w:tabs>
          <w:tab w:val="left" w:pos="3544"/>
        </w:tabs>
        <w:spacing w:after="120"/>
        <w:ind w:left="709" w:hanging="425"/>
        <w:rPr>
          <w:rFonts w:cs="Arial"/>
          <w:sz w:val="20"/>
          <w:szCs w:val="20"/>
        </w:rPr>
      </w:pPr>
      <w:r w:rsidRPr="00A2410D">
        <w:rPr>
          <w:rFonts w:cs="Arial"/>
          <w:sz w:val="20"/>
          <w:szCs w:val="20"/>
        </w:rPr>
        <w:t>whether the proposal’s requirements are clearly stated using ‘plain language’ to reduce uncertainty, enable the public to understand the requirements, and enable understanding and compliance by registrants,</w:t>
      </w:r>
      <w:r w:rsidR="00222D26" w:rsidRPr="00A2410D">
        <w:rPr>
          <w:rFonts w:cs="Arial"/>
          <w:sz w:val="20"/>
          <w:szCs w:val="20"/>
        </w:rPr>
        <w:t xml:space="preserve">  </w:t>
      </w:r>
      <w:r w:rsidR="00575ABB" w:rsidRPr="00A2410D">
        <w:rPr>
          <w:rFonts w:cs="Arial"/>
          <w:sz w:val="20"/>
          <w:szCs w:val="20"/>
        </w:rPr>
        <w:t>and</w:t>
      </w:r>
    </w:p>
    <w:p w:rsidR="00CF3F12" w:rsidRPr="00A2410D" w:rsidRDefault="00B76E3B" w:rsidP="00E109C9">
      <w:pPr>
        <w:numPr>
          <w:ilvl w:val="1"/>
          <w:numId w:val="15"/>
        </w:numPr>
        <w:tabs>
          <w:tab w:val="left" w:pos="3544"/>
        </w:tabs>
        <w:spacing w:after="120"/>
        <w:ind w:left="709" w:hanging="425"/>
        <w:rPr>
          <w:rFonts w:cs="Arial"/>
          <w:sz w:val="20"/>
          <w:szCs w:val="20"/>
        </w:rPr>
      </w:pPr>
      <w:r w:rsidRPr="00A2410D">
        <w:rPr>
          <w:rFonts w:cs="Arial"/>
          <w:sz w:val="20"/>
          <w:szCs w:val="20"/>
        </w:rPr>
        <w:lastRenderedPageBreak/>
        <w:tab/>
      </w:r>
      <w:r w:rsidR="00575ABB" w:rsidRPr="00A2410D">
        <w:rPr>
          <w:rFonts w:cs="Arial"/>
          <w:sz w:val="20"/>
          <w:szCs w:val="20"/>
        </w:rPr>
        <w:t>whether the Board has procedures in place to ensure that the proposed standard remains relevant and effective over time.</w:t>
      </w:r>
    </w:p>
    <w:p w:rsidR="004B499E" w:rsidRPr="00A2410D" w:rsidRDefault="00780A4E" w:rsidP="00E109C9">
      <w:pPr>
        <w:tabs>
          <w:tab w:val="left" w:pos="3544"/>
        </w:tabs>
        <w:spacing w:after="120"/>
        <w:rPr>
          <w:rFonts w:cs="Arial"/>
          <w:sz w:val="20"/>
          <w:szCs w:val="20"/>
        </w:rPr>
      </w:pPr>
      <w:r w:rsidRPr="00A2410D">
        <w:rPr>
          <w:rFonts w:cs="Arial"/>
          <w:sz w:val="20"/>
          <w:szCs w:val="20"/>
        </w:rPr>
        <w:t>National Boards m</w:t>
      </w:r>
      <w:r w:rsidR="00401410" w:rsidRPr="00A2410D">
        <w:rPr>
          <w:rFonts w:cs="Arial"/>
          <w:sz w:val="20"/>
          <w:szCs w:val="20"/>
        </w:rPr>
        <w:t>ust</w:t>
      </w:r>
      <w:r w:rsidRPr="00A2410D">
        <w:rPr>
          <w:rFonts w:cs="Arial"/>
          <w:sz w:val="20"/>
          <w:szCs w:val="20"/>
        </w:rPr>
        <w:t xml:space="preserve"> make a</w:t>
      </w:r>
      <w:r w:rsidR="004B499E" w:rsidRPr="00A2410D">
        <w:rPr>
          <w:rFonts w:cs="Arial"/>
          <w:sz w:val="20"/>
          <w:szCs w:val="20"/>
        </w:rPr>
        <w:t>n</w:t>
      </w:r>
      <w:r w:rsidRPr="00A2410D">
        <w:rPr>
          <w:rFonts w:cs="Arial"/>
          <w:sz w:val="20"/>
          <w:szCs w:val="20"/>
        </w:rPr>
        <w:t xml:space="preserve"> </w:t>
      </w:r>
      <w:r w:rsidR="00771803" w:rsidRPr="00A2410D">
        <w:rPr>
          <w:rFonts w:cs="Arial"/>
          <w:sz w:val="20"/>
          <w:szCs w:val="20"/>
        </w:rPr>
        <w:t>assessment of proposed standard, code or guideline</w:t>
      </w:r>
      <w:r w:rsidRPr="00A2410D">
        <w:rPr>
          <w:rFonts w:cs="Arial"/>
          <w:sz w:val="20"/>
          <w:szCs w:val="20"/>
        </w:rPr>
        <w:t xml:space="preserve"> against the COAG principles</w:t>
      </w:r>
      <w:r w:rsidR="004B499E" w:rsidRPr="00A2410D">
        <w:rPr>
          <w:rFonts w:cs="Arial"/>
          <w:sz w:val="20"/>
          <w:szCs w:val="20"/>
        </w:rPr>
        <w:t xml:space="preserve"> expressed above</w:t>
      </w:r>
      <w:r w:rsidRPr="00A2410D">
        <w:rPr>
          <w:rFonts w:cs="Arial"/>
          <w:sz w:val="20"/>
          <w:szCs w:val="20"/>
        </w:rPr>
        <w:t xml:space="preserve">, which should be made publicly available including during the consultation process. </w:t>
      </w:r>
    </w:p>
    <w:p w:rsidR="00315DF3" w:rsidRPr="00A2410D" w:rsidRDefault="00315DF3" w:rsidP="00E109C9">
      <w:pPr>
        <w:tabs>
          <w:tab w:val="left" w:pos="3544"/>
        </w:tabs>
        <w:spacing w:after="120"/>
        <w:rPr>
          <w:rFonts w:cs="Arial"/>
          <w:sz w:val="20"/>
          <w:szCs w:val="20"/>
        </w:rPr>
      </w:pPr>
      <w:r w:rsidRPr="00A2410D">
        <w:rPr>
          <w:rFonts w:cs="Arial"/>
          <w:sz w:val="20"/>
          <w:szCs w:val="20"/>
        </w:rPr>
        <w:t xml:space="preserve">It is recommended that the Office of Best Practice Regulation (OBPR) is contacted at preliminary consultation (and at a later stage/s if requested by the OBPR), to seek advice about the regulatory impact of the National Board’s proposal and whether it is necessary to do a regulatory impact statement (RIS).  </w:t>
      </w:r>
    </w:p>
    <w:p w:rsidR="00AB61D1" w:rsidRPr="00A2410D" w:rsidRDefault="00AB61D1" w:rsidP="00E109C9">
      <w:pPr>
        <w:tabs>
          <w:tab w:val="left" w:pos="3544"/>
        </w:tabs>
        <w:spacing w:before="200" w:after="200"/>
        <w:rPr>
          <w:rFonts w:cs="Arial"/>
          <w:b/>
          <w:sz w:val="20"/>
          <w:szCs w:val="20"/>
        </w:rPr>
      </w:pPr>
      <w:r w:rsidRPr="00A2410D">
        <w:rPr>
          <w:rFonts w:cs="Arial"/>
          <w:b/>
          <w:sz w:val="20"/>
          <w:szCs w:val="20"/>
        </w:rPr>
        <w:t>Decision by the Ministerial Council</w:t>
      </w:r>
      <w:r w:rsidR="003665D6" w:rsidRPr="00A2410D">
        <w:rPr>
          <w:rFonts w:cs="Arial"/>
          <w:b/>
          <w:sz w:val="20"/>
          <w:szCs w:val="20"/>
        </w:rPr>
        <w:t xml:space="preserve"> on registration standards</w:t>
      </w:r>
    </w:p>
    <w:p w:rsidR="000902DF" w:rsidRPr="00A2410D" w:rsidRDefault="00780A4E" w:rsidP="00E109C9">
      <w:pPr>
        <w:tabs>
          <w:tab w:val="left" w:pos="3544"/>
        </w:tabs>
        <w:spacing w:after="120"/>
        <w:rPr>
          <w:rFonts w:cs="Arial"/>
          <w:sz w:val="20"/>
          <w:szCs w:val="20"/>
        </w:rPr>
      </w:pPr>
      <w:r w:rsidRPr="00A2410D">
        <w:rPr>
          <w:rFonts w:cs="Arial"/>
          <w:sz w:val="20"/>
          <w:szCs w:val="20"/>
        </w:rPr>
        <w:t>The National Board will provide advice to Ministerial Council about the</w:t>
      </w:r>
      <w:r w:rsidR="004B499E" w:rsidRPr="00A2410D">
        <w:rPr>
          <w:rFonts w:cs="Arial"/>
          <w:sz w:val="20"/>
          <w:szCs w:val="20"/>
        </w:rPr>
        <w:t xml:space="preserve"> </w:t>
      </w:r>
      <w:r w:rsidRPr="00A2410D">
        <w:rPr>
          <w:rFonts w:cs="Arial"/>
          <w:sz w:val="20"/>
          <w:szCs w:val="20"/>
        </w:rPr>
        <w:t>impact of its proposed registration standards, including</w:t>
      </w:r>
      <w:r w:rsidR="00753B06" w:rsidRPr="00A2410D">
        <w:rPr>
          <w:rFonts w:cs="Arial"/>
          <w:sz w:val="20"/>
          <w:szCs w:val="20"/>
        </w:rPr>
        <w:t xml:space="preserve"> the issues in these procedures and</w:t>
      </w:r>
      <w:r w:rsidRPr="00A2410D">
        <w:rPr>
          <w:rFonts w:cs="Arial"/>
          <w:sz w:val="20"/>
          <w:szCs w:val="20"/>
        </w:rPr>
        <w:t xml:space="preserve"> a summary of any feedback on impacts provided during the consultation process. </w:t>
      </w:r>
    </w:p>
    <w:p w:rsidR="00E109C9" w:rsidRDefault="00E109C9" w:rsidP="00B054E2">
      <w:pPr>
        <w:tabs>
          <w:tab w:val="left" w:pos="3544"/>
        </w:tabs>
        <w:spacing w:before="120"/>
        <w:rPr>
          <w:rFonts w:cs="Arial"/>
          <w:sz w:val="20"/>
          <w:szCs w:val="20"/>
        </w:rPr>
      </w:pPr>
    </w:p>
    <w:p w:rsidR="004814DD" w:rsidRDefault="004814DD" w:rsidP="00B054E2">
      <w:pPr>
        <w:tabs>
          <w:tab w:val="left" w:pos="3544"/>
        </w:tabs>
        <w:spacing w:before="120"/>
        <w:rPr>
          <w:noProof/>
          <w:lang w:eastAsia="en-AU"/>
        </w:rPr>
      </w:pPr>
    </w:p>
    <w:p w:rsidR="00E109C9" w:rsidRPr="00A2410D" w:rsidRDefault="00E109C9" w:rsidP="00B054E2">
      <w:pPr>
        <w:tabs>
          <w:tab w:val="left" w:pos="3544"/>
        </w:tabs>
        <w:spacing w:before="120"/>
        <w:rPr>
          <w:rFonts w:cs="Arial"/>
          <w:sz w:val="20"/>
          <w:szCs w:val="20"/>
        </w:rPr>
      </w:pPr>
    </w:p>
    <w:p w:rsidR="00DC19FA" w:rsidRPr="00A2410D" w:rsidRDefault="00DC19FA" w:rsidP="00B054E2">
      <w:pPr>
        <w:tabs>
          <w:tab w:val="left" w:pos="3544"/>
        </w:tabs>
        <w:spacing w:before="120"/>
        <w:rPr>
          <w:rFonts w:cs="Arial"/>
          <w:sz w:val="20"/>
          <w:szCs w:val="20"/>
        </w:rPr>
      </w:pPr>
    </w:p>
    <w:p w:rsidR="00BE0359" w:rsidRPr="00442AE3" w:rsidRDefault="00AA59A2" w:rsidP="00B054E2">
      <w:pPr>
        <w:pStyle w:val="BodyText"/>
        <w:spacing w:before="0" w:after="0"/>
        <w:rPr>
          <w:b/>
          <w:color w:val="007DC3"/>
          <w:highlight w:val="lightGray"/>
        </w:rPr>
      </w:pPr>
      <w:r>
        <w:fldChar w:fldCharType="begin"/>
      </w:r>
      <w:r>
        <w:instrText xml:space="preserve"> DOCPROPERTY  xSenderName  \* MERGEFORMAT </w:instrText>
      </w:r>
      <w:r>
        <w:fldChar w:fldCharType="separate"/>
      </w:r>
      <w:r w:rsidR="00BE0359">
        <w:rPr>
          <w:b/>
          <w:color w:val="007DC3"/>
        </w:rPr>
        <w:t>Michael Gorton AM</w:t>
      </w:r>
      <w:r>
        <w:rPr>
          <w:b/>
          <w:color w:val="007DC3"/>
        </w:rPr>
        <w:fldChar w:fldCharType="end"/>
      </w:r>
      <w:r w:rsidR="00BE0359" w:rsidRPr="00442AE3">
        <w:rPr>
          <w:b/>
          <w:color w:val="007DC3"/>
          <w:highlight w:val="lightGray"/>
        </w:rPr>
        <w:t xml:space="preserve"> </w:t>
      </w:r>
    </w:p>
    <w:p w:rsidR="00BE0359" w:rsidRDefault="00AA59A2" w:rsidP="00B054E2">
      <w:pPr>
        <w:pStyle w:val="BodyText"/>
        <w:spacing w:before="0" w:after="0"/>
        <w:rPr>
          <w:highlight w:val="lightGray"/>
        </w:rPr>
      </w:pPr>
      <w:r>
        <w:fldChar w:fldCharType="begin"/>
      </w:r>
      <w:r>
        <w:instrText xml:space="preserve"> DOCPROPERTY  xSenderPosition  \* MERGEFORMAT </w:instrText>
      </w:r>
      <w:r>
        <w:fldChar w:fldCharType="separate"/>
      </w:r>
      <w:r w:rsidR="00BE0359">
        <w:t>Chair</w:t>
      </w:r>
      <w:r>
        <w:fldChar w:fldCharType="end"/>
      </w:r>
      <w:r w:rsidR="00BE0359" w:rsidRPr="00500C2F">
        <w:rPr>
          <w:highlight w:val="lightGray"/>
        </w:rPr>
        <w:t xml:space="preserve"> </w:t>
      </w:r>
    </w:p>
    <w:p w:rsidR="00BE0359" w:rsidRDefault="00BE0359" w:rsidP="00B054E2">
      <w:pPr>
        <w:rPr>
          <w:sz w:val="20"/>
        </w:rPr>
      </w:pPr>
      <w:r>
        <w:rPr>
          <w:sz w:val="20"/>
        </w:rPr>
        <w:t>Agency Management Committee</w:t>
      </w:r>
    </w:p>
    <w:p w:rsidR="000C47FD" w:rsidRPr="00A2410D" w:rsidRDefault="000C47FD" w:rsidP="00B054E2">
      <w:pPr>
        <w:tabs>
          <w:tab w:val="left" w:pos="3544"/>
        </w:tabs>
        <w:rPr>
          <w:rFonts w:cs="Arial"/>
          <w:sz w:val="20"/>
          <w:szCs w:val="20"/>
        </w:rPr>
      </w:pPr>
    </w:p>
    <w:p w:rsidR="00DC19FA" w:rsidRPr="00A2410D" w:rsidRDefault="00DC19FA" w:rsidP="00B054E2">
      <w:pPr>
        <w:spacing w:before="120" w:after="120"/>
        <w:rPr>
          <w:rFonts w:cs="Arial"/>
          <w:b/>
          <w:sz w:val="20"/>
          <w:szCs w:val="20"/>
        </w:rPr>
      </w:pPr>
      <w:r w:rsidRPr="00A2410D">
        <w:rPr>
          <w:rFonts w:cs="Arial"/>
          <w:b/>
          <w:sz w:val="20"/>
          <w:szCs w:val="20"/>
        </w:rPr>
        <w:t xml:space="preserve">Date of issue: </w:t>
      </w:r>
      <w:r w:rsidR="00A32F0E">
        <w:rPr>
          <w:rFonts w:cs="Arial"/>
          <w:sz w:val="20"/>
          <w:szCs w:val="20"/>
        </w:rPr>
        <w:t>6 November 2014</w:t>
      </w:r>
    </w:p>
    <w:p w:rsidR="00315DF3" w:rsidRPr="00A2410D" w:rsidRDefault="00DC19FA" w:rsidP="00B054E2">
      <w:pPr>
        <w:spacing w:before="120" w:after="120"/>
        <w:rPr>
          <w:rFonts w:cs="Arial"/>
          <w:b/>
          <w:sz w:val="20"/>
          <w:szCs w:val="20"/>
        </w:rPr>
      </w:pPr>
      <w:r w:rsidRPr="00A2410D">
        <w:rPr>
          <w:rFonts w:cs="Arial"/>
          <w:b/>
          <w:sz w:val="20"/>
          <w:szCs w:val="20"/>
        </w:rPr>
        <w:t xml:space="preserve">Date of review: </w:t>
      </w:r>
      <w:r w:rsidRPr="00A2410D">
        <w:rPr>
          <w:rFonts w:cs="Arial"/>
          <w:sz w:val="20"/>
          <w:szCs w:val="20"/>
        </w:rPr>
        <w:t>These procedures will be reviewed from time to time as required. This will generally be at least every 3 years.</w:t>
      </w:r>
    </w:p>
    <w:sectPr w:rsidR="00315DF3" w:rsidRPr="00A2410D" w:rsidSect="00877D9F">
      <w:headerReference w:type="default" r:id="rId9"/>
      <w:footerReference w:type="default" r:id="rId10"/>
      <w:headerReference w:type="first" r:id="rId11"/>
      <w:footerReference w:type="first" r:id="rId12"/>
      <w:pgSz w:w="11907" w:h="16839" w:code="9"/>
      <w:pgMar w:top="1276" w:right="1440"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DA1" w:rsidRDefault="00A25DA1">
      <w:r>
        <w:separator/>
      </w:r>
    </w:p>
  </w:endnote>
  <w:endnote w:type="continuationSeparator" w:id="0">
    <w:p w:rsidR="00A25DA1" w:rsidRDefault="00A2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A1" w:rsidRPr="005B754C" w:rsidRDefault="00A25DA1" w:rsidP="00B632DB">
    <w:pPr>
      <w:pStyle w:val="Footer"/>
      <w:tabs>
        <w:tab w:val="clear" w:pos="8306"/>
        <w:tab w:val="right" w:pos="8931"/>
      </w:tabs>
      <w:spacing w:before="120"/>
      <w:rPr>
        <w:rFonts w:cs="Arial"/>
        <w:color w:val="5F6062"/>
        <w:sz w:val="18"/>
        <w:szCs w:val="18"/>
      </w:rPr>
    </w:pPr>
    <w:r>
      <w:rPr>
        <w:rFonts w:cs="Arial"/>
        <w:b/>
        <w:i/>
        <w:color w:val="C0504D" w:themeColor="accent2"/>
        <w:sz w:val="20"/>
        <w:szCs w:val="20"/>
      </w:rPr>
      <w:t xml:space="preserve"> </w:t>
    </w:r>
    <w:r>
      <w:rPr>
        <w:rFonts w:cs="Arial"/>
        <w:sz w:val="20"/>
        <w:szCs w:val="20"/>
      </w:rPr>
      <w:tab/>
    </w:r>
    <w:r>
      <w:rPr>
        <w:rFonts w:cs="Arial"/>
        <w:sz w:val="20"/>
        <w:szCs w:val="20"/>
      </w:rPr>
      <w:tab/>
    </w:r>
    <w:r w:rsidRPr="005B754C">
      <w:rPr>
        <w:rFonts w:cs="Arial"/>
        <w:color w:val="5F6062"/>
        <w:sz w:val="18"/>
        <w:szCs w:val="18"/>
      </w:rPr>
      <w:t xml:space="preserve">Page </w:t>
    </w:r>
    <w:r w:rsidR="00522F96" w:rsidRPr="005B754C">
      <w:rPr>
        <w:rStyle w:val="PageNumber"/>
        <w:rFonts w:cs="Arial"/>
        <w:color w:val="5F6062"/>
        <w:sz w:val="18"/>
        <w:szCs w:val="18"/>
      </w:rPr>
      <w:fldChar w:fldCharType="begin"/>
    </w:r>
    <w:r w:rsidRPr="005B754C">
      <w:rPr>
        <w:rStyle w:val="PageNumber"/>
        <w:rFonts w:cs="Arial"/>
        <w:color w:val="5F6062"/>
        <w:sz w:val="18"/>
        <w:szCs w:val="18"/>
      </w:rPr>
      <w:instrText xml:space="preserve"> PAGE </w:instrText>
    </w:r>
    <w:r w:rsidR="00522F96" w:rsidRPr="005B754C">
      <w:rPr>
        <w:rStyle w:val="PageNumber"/>
        <w:rFonts w:cs="Arial"/>
        <w:color w:val="5F6062"/>
        <w:sz w:val="18"/>
        <w:szCs w:val="18"/>
      </w:rPr>
      <w:fldChar w:fldCharType="separate"/>
    </w:r>
    <w:r w:rsidR="00AA59A2">
      <w:rPr>
        <w:rStyle w:val="PageNumber"/>
        <w:rFonts w:cs="Arial"/>
        <w:noProof/>
        <w:color w:val="5F6062"/>
        <w:sz w:val="18"/>
        <w:szCs w:val="18"/>
      </w:rPr>
      <w:t>2</w:t>
    </w:r>
    <w:r w:rsidR="00522F96" w:rsidRPr="005B754C">
      <w:rPr>
        <w:rStyle w:val="PageNumber"/>
        <w:rFonts w:cs="Arial"/>
        <w:color w:val="5F6062"/>
        <w:sz w:val="18"/>
        <w:szCs w:val="18"/>
      </w:rPr>
      <w:fldChar w:fldCharType="end"/>
    </w:r>
    <w:r w:rsidRPr="005B754C">
      <w:rPr>
        <w:rStyle w:val="PageNumber"/>
        <w:rFonts w:cs="Arial"/>
        <w:color w:val="5F6062"/>
        <w:sz w:val="18"/>
        <w:szCs w:val="18"/>
      </w:rPr>
      <w:t xml:space="preserve"> of </w:t>
    </w:r>
    <w:r w:rsidR="00522F96" w:rsidRPr="005B754C">
      <w:rPr>
        <w:rStyle w:val="PageNumber"/>
        <w:rFonts w:cs="Arial"/>
        <w:color w:val="5F6062"/>
        <w:sz w:val="18"/>
        <w:szCs w:val="18"/>
      </w:rPr>
      <w:fldChar w:fldCharType="begin"/>
    </w:r>
    <w:r w:rsidRPr="005B754C">
      <w:rPr>
        <w:rStyle w:val="PageNumber"/>
        <w:rFonts w:cs="Arial"/>
        <w:color w:val="5F6062"/>
        <w:sz w:val="18"/>
        <w:szCs w:val="18"/>
      </w:rPr>
      <w:instrText xml:space="preserve"> NUMPAGES </w:instrText>
    </w:r>
    <w:r w:rsidR="00522F96" w:rsidRPr="005B754C">
      <w:rPr>
        <w:rStyle w:val="PageNumber"/>
        <w:rFonts w:cs="Arial"/>
        <w:color w:val="5F6062"/>
        <w:sz w:val="18"/>
        <w:szCs w:val="18"/>
      </w:rPr>
      <w:fldChar w:fldCharType="separate"/>
    </w:r>
    <w:r w:rsidR="00AA59A2">
      <w:rPr>
        <w:rStyle w:val="PageNumber"/>
        <w:rFonts w:cs="Arial"/>
        <w:noProof/>
        <w:color w:val="5F6062"/>
        <w:sz w:val="18"/>
        <w:szCs w:val="18"/>
      </w:rPr>
      <w:t>2</w:t>
    </w:r>
    <w:r w:rsidR="00522F96" w:rsidRPr="005B754C">
      <w:rPr>
        <w:rStyle w:val="PageNumber"/>
        <w:rFonts w:cs="Arial"/>
        <w:color w:val="5F6062"/>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54C" w:rsidRPr="005B754C" w:rsidRDefault="005B754C" w:rsidP="005B754C">
    <w:pPr>
      <w:pStyle w:val="AHPRAfirstpagefooter"/>
      <w:spacing w:after="0" w:line="240" w:lineRule="auto"/>
      <w:rPr>
        <w:rFonts w:ascii="Arial" w:hAnsi="Arial" w:cs="Arial"/>
      </w:rPr>
    </w:pPr>
    <w:r w:rsidRPr="005B754C">
      <w:rPr>
        <w:rFonts w:ascii="Arial" w:hAnsi="Arial" w:cs="Arial"/>
      </w:rPr>
      <w:t xml:space="preserve">Australian </w:t>
    </w:r>
    <w:r w:rsidRPr="005B754C">
      <w:rPr>
        <w:rFonts w:ascii="Arial" w:hAnsi="Arial" w:cs="Arial"/>
        <w:color w:val="007DC3"/>
      </w:rPr>
      <w:t>Health Practitioner</w:t>
    </w:r>
    <w:r w:rsidRPr="005B754C">
      <w:rPr>
        <w:rFonts w:ascii="Arial" w:hAnsi="Arial" w:cs="Arial"/>
      </w:rPr>
      <w:t xml:space="preserve"> Regulation Agency</w:t>
    </w:r>
  </w:p>
  <w:p w:rsidR="00A25DA1" w:rsidRPr="005B754C" w:rsidRDefault="005B754C" w:rsidP="005B754C">
    <w:pPr>
      <w:pStyle w:val="AHPRAfooter"/>
      <w:spacing w:after="0" w:line="240" w:lineRule="auto"/>
      <w:jc w:val="center"/>
      <w:rPr>
        <w:rFonts w:ascii="Arial" w:hAnsi="Arial" w:cs="Arial"/>
      </w:rPr>
    </w:pPr>
    <w:r w:rsidRPr="005B754C">
      <w:rPr>
        <w:rFonts w:ascii="Arial" w:hAnsi="Arial" w:cs="Arial"/>
      </w:rPr>
      <w:t xml:space="preserve">G.P.O. Box 9958   </w:t>
    </w:r>
    <w:r w:rsidRPr="005B754C">
      <w:rPr>
        <w:rFonts w:ascii="Arial" w:hAnsi="Arial" w:cs="Arial"/>
        <w:b/>
        <w:color w:val="007DC3"/>
        <w:szCs w:val="28"/>
      </w:rPr>
      <w:t>|</w:t>
    </w:r>
    <w:r w:rsidRPr="005B754C">
      <w:rPr>
        <w:rFonts w:ascii="Arial" w:hAnsi="Arial" w:cs="Arial"/>
      </w:rPr>
      <w:t xml:space="preserve">   Melbourne VIC 3001   </w:t>
    </w:r>
    <w:r w:rsidRPr="005B754C">
      <w:rPr>
        <w:rFonts w:ascii="Arial" w:hAnsi="Arial" w:cs="Arial"/>
        <w:b/>
        <w:color w:val="007DC3"/>
        <w:szCs w:val="28"/>
      </w:rPr>
      <w:t>|</w:t>
    </w:r>
    <w:r w:rsidRPr="005B754C">
      <w:rPr>
        <w:rFonts w:ascii="Arial" w:hAnsi="Arial" w:cs="Arial"/>
      </w:rPr>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DA1" w:rsidRDefault="00A25DA1">
      <w:r>
        <w:separator/>
      </w:r>
    </w:p>
  </w:footnote>
  <w:footnote w:type="continuationSeparator" w:id="0">
    <w:p w:rsidR="00A25DA1" w:rsidRDefault="00A25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A1" w:rsidRDefault="00A25DA1" w:rsidP="00575ABB">
    <w:pPr>
      <w:shd w:val="solid" w:color="FFFFFF" w:fill="FFFFFF"/>
      <w:jc w:val="right"/>
    </w:pPr>
  </w:p>
  <w:p w:rsidR="00A25DA1" w:rsidRDefault="00A25DA1" w:rsidP="00575AB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A1" w:rsidRDefault="00A25DA1" w:rsidP="00575ABB">
    <w:pPr>
      <w:pStyle w:val="Header"/>
      <w:jc w:val="right"/>
    </w:pPr>
    <w:r>
      <w:rPr>
        <w:noProof/>
        <w:lang w:eastAsia="en-AU"/>
      </w:rPr>
      <w:drawing>
        <wp:inline distT="0" distB="0" distL="0" distR="0" wp14:anchorId="3E40FB86" wp14:editId="5DFE22D6">
          <wp:extent cx="1470660" cy="1272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0660" cy="12725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347F"/>
    <w:multiLevelType w:val="multilevel"/>
    <w:tmpl w:val="539C0624"/>
    <w:lvl w:ilvl="0">
      <w:start w:val="2"/>
      <w:numFmt w:val="decimal"/>
      <w:lvlText w:val="(%1)"/>
      <w:lvlJc w:val="left"/>
      <w:pPr>
        <w:tabs>
          <w:tab w:val="num" w:pos="425"/>
        </w:tabs>
        <w:ind w:left="425" w:hanging="425"/>
      </w:pPr>
      <w:rPr>
        <w:rFonts w:ascii="Palatino Linotype" w:hAnsi="Palatino Linotype" w:hint="default"/>
        <w:b w:val="0"/>
        <w:i w:val="0"/>
        <w:sz w:val="20"/>
      </w:rPr>
    </w:lvl>
    <w:lvl w:ilvl="1">
      <w:start w:val="1"/>
      <w:numFmt w:val="lowerLetter"/>
      <w:lvlText w:val="%2."/>
      <w:lvlJc w:val="left"/>
      <w:pPr>
        <w:tabs>
          <w:tab w:val="num" w:pos="425"/>
        </w:tabs>
        <w:ind w:left="851" w:hanging="426"/>
      </w:pPr>
      <w:rPr>
        <w:rFonts w:hint="default"/>
        <w:b w:val="0"/>
        <w:i w:val="0"/>
        <w:sz w:val="20"/>
        <w:szCs w:val="20"/>
      </w:rPr>
    </w:lvl>
    <w:lvl w:ilvl="2">
      <w:start w:val="1"/>
      <w:numFmt w:val="lowerRoman"/>
      <w:lvlText w:val="(%3)"/>
      <w:lvlJc w:val="left"/>
      <w:pPr>
        <w:tabs>
          <w:tab w:val="num" w:pos="425"/>
        </w:tabs>
        <w:ind w:left="1276" w:hanging="425"/>
      </w:pPr>
      <w:rPr>
        <w:rFonts w:ascii="Palatino Linotype" w:hAnsi="Palatino Linotype" w:hint="default"/>
        <w:b w:val="0"/>
        <w:i w:val="0"/>
        <w:sz w:val="20"/>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
    <w:nsid w:val="04486BC7"/>
    <w:multiLevelType w:val="multilevel"/>
    <w:tmpl w:val="DB6C565E"/>
    <w:lvl w:ilvl="0">
      <w:start w:val="1"/>
      <w:numFmt w:val="lowerLetter"/>
      <w:lvlText w:val="%1."/>
      <w:lvlJc w:val="left"/>
      <w:pPr>
        <w:tabs>
          <w:tab w:val="num" w:pos="284"/>
        </w:tabs>
        <w:ind w:left="851" w:hanging="426"/>
      </w:pPr>
      <w:rPr>
        <w:rFonts w:hint="default"/>
        <w:b w:val="0"/>
        <w:i w:val="0"/>
        <w:sz w:val="22"/>
        <w:szCs w:val="22"/>
      </w:rPr>
    </w:lvl>
    <w:lvl w:ilvl="1">
      <w:start w:val="1"/>
      <w:numFmt w:val="lowerLetter"/>
      <w:lvlText w:val="(%2)"/>
      <w:lvlJc w:val="left"/>
      <w:pPr>
        <w:tabs>
          <w:tab w:val="num" w:pos="850"/>
        </w:tabs>
        <w:ind w:left="1276" w:hanging="426"/>
      </w:pPr>
      <w:rPr>
        <w:rFonts w:ascii="Palatino Linotype" w:hAnsi="Palatino Linotype" w:hint="default"/>
        <w:b w:val="0"/>
        <w:i w:val="0"/>
        <w:sz w:val="20"/>
      </w:rPr>
    </w:lvl>
    <w:lvl w:ilvl="2">
      <w:start w:val="1"/>
      <w:numFmt w:val="lowerRoman"/>
      <w:lvlText w:val="(%3)"/>
      <w:lvlJc w:val="left"/>
      <w:pPr>
        <w:tabs>
          <w:tab w:val="num" w:pos="850"/>
        </w:tabs>
        <w:ind w:left="1701" w:hanging="425"/>
      </w:pPr>
      <w:rPr>
        <w:rFonts w:ascii="Palatino Linotype" w:hAnsi="Palatino Linotype" w:hint="default"/>
        <w:b w:val="0"/>
        <w:i w:val="0"/>
        <w:sz w:val="20"/>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
    <w:nsid w:val="0ABE4E08"/>
    <w:multiLevelType w:val="multilevel"/>
    <w:tmpl w:val="539C0624"/>
    <w:lvl w:ilvl="0">
      <w:start w:val="2"/>
      <w:numFmt w:val="decimal"/>
      <w:lvlText w:val="(%1)"/>
      <w:lvlJc w:val="left"/>
      <w:pPr>
        <w:tabs>
          <w:tab w:val="num" w:pos="425"/>
        </w:tabs>
        <w:ind w:left="425" w:hanging="425"/>
      </w:pPr>
      <w:rPr>
        <w:rFonts w:ascii="Palatino Linotype" w:hAnsi="Palatino Linotype" w:hint="default"/>
        <w:b w:val="0"/>
        <w:i w:val="0"/>
        <w:sz w:val="20"/>
      </w:rPr>
    </w:lvl>
    <w:lvl w:ilvl="1">
      <w:start w:val="1"/>
      <w:numFmt w:val="lowerLetter"/>
      <w:lvlText w:val="%2."/>
      <w:lvlJc w:val="left"/>
      <w:pPr>
        <w:tabs>
          <w:tab w:val="num" w:pos="425"/>
        </w:tabs>
        <w:ind w:left="851" w:hanging="426"/>
      </w:pPr>
      <w:rPr>
        <w:rFonts w:hint="default"/>
        <w:b w:val="0"/>
        <w:i w:val="0"/>
        <w:sz w:val="20"/>
        <w:szCs w:val="20"/>
      </w:rPr>
    </w:lvl>
    <w:lvl w:ilvl="2">
      <w:start w:val="1"/>
      <w:numFmt w:val="lowerRoman"/>
      <w:lvlText w:val="(%3)"/>
      <w:lvlJc w:val="left"/>
      <w:pPr>
        <w:tabs>
          <w:tab w:val="num" w:pos="425"/>
        </w:tabs>
        <w:ind w:left="1276" w:hanging="425"/>
      </w:pPr>
      <w:rPr>
        <w:rFonts w:ascii="Palatino Linotype" w:hAnsi="Palatino Linotype" w:hint="default"/>
        <w:b w:val="0"/>
        <w:i w:val="0"/>
        <w:sz w:val="20"/>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3">
    <w:nsid w:val="0C9273DB"/>
    <w:multiLevelType w:val="hybridMultilevel"/>
    <w:tmpl w:val="35FA20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F9742C8"/>
    <w:multiLevelType w:val="multilevel"/>
    <w:tmpl w:val="C92E9812"/>
    <w:lvl w:ilvl="0">
      <w:start w:val="1"/>
      <w:numFmt w:val="lowerLetter"/>
      <w:lvlText w:val="(%1)"/>
      <w:lvlJc w:val="left"/>
      <w:pPr>
        <w:tabs>
          <w:tab w:val="num" w:pos="709"/>
        </w:tabs>
        <w:ind w:left="709" w:hanging="425"/>
      </w:pPr>
      <w:rPr>
        <w:rFonts w:hint="default"/>
        <w:b w:val="0"/>
        <w:i w:val="0"/>
        <w:sz w:val="20"/>
      </w:rPr>
    </w:lvl>
    <w:lvl w:ilvl="1">
      <w:start w:val="1"/>
      <w:numFmt w:val="lowerLetter"/>
      <w:lvlText w:val="(%2)"/>
      <w:lvlJc w:val="left"/>
      <w:pPr>
        <w:tabs>
          <w:tab w:val="num" w:pos="709"/>
        </w:tabs>
        <w:ind w:left="1135" w:hanging="426"/>
      </w:pPr>
      <w:rPr>
        <w:rFonts w:ascii="Arial" w:hAnsi="Arial" w:cs="Arial" w:hint="default"/>
        <w:b w:val="0"/>
        <w:i w:val="0"/>
        <w:sz w:val="20"/>
      </w:rPr>
    </w:lvl>
    <w:lvl w:ilvl="2">
      <w:start w:val="1"/>
      <w:numFmt w:val="lowerRoman"/>
      <w:lvlText w:val="(%3)"/>
      <w:lvlJc w:val="left"/>
      <w:pPr>
        <w:tabs>
          <w:tab w:val="num" w:pos="709"/>
        </w:tabs>
        <w:ind w:left="1560" w:hanging="425"/>
      </w:pPr>
      <w:rPr>
        <w:rFonts w:ascii="Palatino Linotype" w:hAnsi="Palatino Linotype" w:cs="Times New Roman" w:hint="default"/>
        <w:b w:val="0"/>
        <w:i w:val="0"/>
        <w:sz w:val="2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5">
    <w:nsid w:val="17FB368B"/>
    <w:multiLevelType w:val="multilevel"/>
    <w:tmpl w:val="539C0624"/>
    <w:lvl w:ilvl="0">
      <w:start w:val="2"/>
      <w:numFmt w:val="decimal"/>
      <w:lvlText w:val="(%1)"/>
      <w:lvlJc w:val="left"/>
      <w:pPr>
        <w:tabs>
          <w:tab w:val="num" w:pos="425"/>
        </w:tabs>
        <w:ind w:left="425" w:hanging="425"/>
      </w:pPr>
      <w:rPr>
        <w:rFonts w:ascii="Palatino Linotype" w:hAnsi="Palatino Linotype" w:hint="default"/>
        <w:b w:val="0"/>
        <w:i w:val="0"/>
        <w:sz w:val="20"/>
      </w:rPr>
    </w:lvl>
    <w:lvl w:ilvl="1">
      <w:start w:val="1"/>
      <w:numFmt w:val="lowerLetter"/>
      <w:lvlText w:val="%2."/>
      <w:lvlJc w:val="left"/>
      <w:pPr>
        <w:tabs>
          <w:tab w:val="num" w:pos="425"/>
        </w:tabs>
        <w:ind w:left="851" w:hanging="426"/>
      </w:pPr>
      <w:rPr>
        <w:rFonts w:hint="default"/>
        <w:b w:val="0"/>
        <w:i w:val="0"/>
        <w:sz w:val="20"/>
        <w:szCs w:val="20"/>
      </w:rPr>
    </w:lvl>
    <w:lvl w:ilvl="2">
      <w:start w:val="1"/>
      <w:numFmt w:val="lowerRoman"/>
      <w:lvlText w:val="(%3)"/>
      <w:lvlJc w:val="left"/>
      <w:pPr>
        <w:tabs>
          <w:tab w:val="num" w:pos="425"/>
        </w:tabs>
        <w:ind w:left="1276" w:hanging="425"/>
      </w:pPr>
      <w:rPr>
        <w:rFonts w:ascii="Palatino Linotype" w:hAnsi="Palatino Linotype" w:hint="default"/>
        <w:b w:val="0"/>
        <w:i w:val="0"/>
        <w:sz w:val="20"/>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6">
    <w:nsid w:val="1B9E29C8"/>
    <w:multiLevelType w:val="hybridMultilevel"/>
    <w:tmpl w:val="5D7CE8E0"/>
    <w:lvl w:ilvl="0" w:tplc="62A6EF82">
      <w:start w:val="1"/>
      <w:numFmt w:val="lowerLetter"/>
      <w:lvlText w:val="%1."/>
      <w:lvlJc w:val="left"/>
      <w:pPr>
        <w:tabs>
          <w:tab w:val="num" w:pos="284"/>
        </w:tabs>
        <w:ind w:left="851" w:hanging="426"/>
      </w:pPr>
      <w:rPr>
        <w:rFonts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2C92214"/>
    <w:multiLevelType w:val="hybridMultilevel"/>
    <w:tmpl w:val="41FCC3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437F44"/>
    <w:multiLevelType w:val="multilevel"/>
    <w:tmpl w:val="4E9E6F26"/>
    <w:lvl w:ilvl="0">
      <w:start w:val="1"/>
      <w:numFmt w:val="decimal"/>
      <w:lvlText w:val="%1."/>
      <w:lvlJc w:val="left"/>
      <w:pPr>
        <w:tabs>
          <w:tab w:val="num" w:pos="0"/>
        </w:tabs>
        <w:ind w:left="283" w:hanging="283"/>
      </w:pPr>
      <w:rPr>
        <w:rFonts w:ascii="Arial" w:hAnsi="Arial" w:cs="Arial" w:hint="default"/>
        <w:b w:val="0"/>
        <w:i w:val="0"/>
        <w:sz w:val="20"/>
        <w:szCs w:val="20"/>
      </w:rPr>
    </w:lvl>
    <w:lvl w:ilvl="1">
      <w:start w:val="1"/>
      <w:numFmt w:val="lowerLetter"/>
      <w:lvlText w:val="%2."/>
      <w:lvlJc w:val="left"/>
      <w:pPr>
        <w:tabs>
          <w:tab w:val="num" w:pos="0"/>
        </w:tabs>
        <w:ind w:left="567" w:hanging="284"/>
      </w:pPr>
      <w:rPr>
        <w:rFonts w:ascii="Times New Roman" w:hAnsi="Times New Roman" w:hint="default"/>
        <w:b w:val="0"/>
        <w:i w:val="0"/>
        <w:sz w:val="24"/>
      </w:rPr>
    </w:lvl>
    <w:lvl w:ilvl="2">
      <w:start w:val="1"/>
      <w:numFmt w:val="lowerRoman"/>
      <w:lvlText w:val="%3."/>
      <w:lvlJc w:val="left"/>
      <w:pPr>
        <w:tabs>
          <w:tab w:val="num" w:pos="0"/>
        </w:tabs>
        <w:ind w:left="850" w:hanging="283"/>
      </w:pPr>
      <w:rPr>
        <w:rFonts w:hint="default"/>
        <w:b w:val="0"/>
        <w:i w:val="0"/>
        <w:sz w:val="20"/>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9">
    <w:nsid w:val="4223711B"/>
    <w:multiLevelType w:val="hybridMultilevel"/>
    <w:tmpl w:val="A51A3FE6"/>
    <w:lvl w:ilvl="0" w:tplc="C1E2A734">
      <w:start w:val="1"/>
      <w:numFmt w:val="lowerLetter"/>
      <w:lvlText w:val="%1."/>
      <w:lvlJc w:val="left"/>
      <w:pPr>
        <w:tabs>
          <w:tab w:val="num" w:pos="284"/>
        </w:tabs>
        <w:ind w:left="851" w:hanging="426"/>
      </w:pPr>
      <w:rPr>
        <w:rFonts w:hint="default"/>
        <w:b w:val="0"/>
        <w:i w:val="0"/>
        <w:sz w:val="20"/>
        <w:szCs w:val="20"/>
      </w:rPr>
    </w:lvl>
    <w:lvl w:ilvl="1" w:tplc="0C090019">
      <w:start w:val="1"/>
      <w:numFmt w:val="lowerLetter"/>
      <w:lvlText w:val="%2."/>
      <w:lvlJc w:val="left"/>
      <w:pPr>
        <w:tabs>
          <w:tab w:val="num" w:pos="1440"/>
        </w:tabs>
        <w:ind w:left="1440" w:hanging="360"/>
      </w:pPr>
    </w:lvl>
    <w:lvl w:ilvl="2" w:tplc="5BE6FAAC">
      <w:start w:val="2"/>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D0577F9"/>
    <w:multiLevelType w:val="multilevel"/>
    <w:tmpl w:val="539C0624"/>
    <w:lvl w:ilvl="0">
      <w:start w:val="2"/>
      <w:numFmt w:val="decimal"/>
      <w:lvlText w:val="(%1)"/>
      <w:lvlJc w:val="left"/>
      <w:pPr>
        <w:tabs>
          <w:tab w:val="num" w:pos="425"/>
        </w:tabs>
        <w:ind w:left="425" w:hanging="425"/>
      </w:pPr>
      <w:rPr>
        <w:rFonts w:ascii="Palatino Linotype" w:hAnsi="Palatino Linotype" w:hint="default"/>
        <w:b w:val="0"/>
        <w:i w:val="0"/>
        <w:sz w:val="20"/>
      </w:rPr>
    </w:lvl>
    <w:lvl w:ilvl="1">
      <w:start w:val="1"/>
      <w:numFmt w:val="lowerLetter"/>
      <w:lvlText w:val="%2."/>
      <w:lvlJc w:val="left"/>
      <w:pPr>
        <w:tabs>
          <w:tab w:val="num" w:pos="425"/>
        </w:tabs>
        <w:ind w:left="851" w:hanging="426"/>
      </w:pPr>
      <w:rPr>
        <w:rFonts w:hint="default"/>
        <w:b w:val="0"/>
        <w:i w:val="0"/>
        <w:sz w:val="20"/>
        <w:szCs w:val="20"/>
      </w:rPr>
    </w:lvl>
    <w:lvl w:ilvl="2">
      <w:start w:val="1"/>
      <w:numFmt w:val="lowerRoman"/>
      <w:lvlText w:val="(%3)"/>
      <w:lvlJc w:val="left"/>
      <w:pPr>
        <w:tabs>
          <w:tab w:val="num" w:pos="425"/>
        </w:tabs>
        <w:ind w:left="1276" w:hanging="425"/>
      </w:pPr>
      <w:rPr>
        <w:rFonts w:ascii="Palatino Linotype" w:hAnsi="Palatino Linotype" w:hint="default"/>
        <w:b w:val="0"/>
        <w:i w:val="0"/>
        <w:sz w:val="20"/>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1">
    <w:nsid w:val="64C951D3"/>
    <w:multiLevelType w:val="hybridMultilevel"/>
    <w:tmpl w:val="5D7CE8E0"/>
    <w:lvl w:ilvl="0" w:tplc="62A6EF82">
      <w:start w:val="1"/>
      <w:numFmt w:val="lowerLetter"/>
      <w:lvlText w:val="%1."/>
      <w:lvlJc w:val="left"/>
      <w:pPr>
        <w:tabs>
          <w:tab w:val="num" w:pos="284"/>
        </w:tabs>
        <w:ind w:left="851" w:hanging="426"/>
      </w:pPr>
      <w:rPr>
        <w:rFonts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75A6453A"/>
    <w:multiLevelType w:val="multilevel"/>
    <w:tmpl w:val="043025FE"/>
    <w:lvl w:ilvl="0">
      <w:start w:val="1"/>
      <w:numFmt w:val="decimal"/>
      <w:lvlText w:val="%1."/>
      <w:lvlJc w:val="left"/>
      <w:pPr>
        <w:tabs>
          <w:tab w:val="num" w:pos="0"/>
        </w:tabs>
        <w:ind w:left="283" w:hanging="283"/>
      </w:pPr>
      <w:rPr>
        <w:rFonts w:ascii="Palatino Linotype" w:hAnsi="Palatino Linotype" w:hint="default"/>
        <w:b w:val="0"/>
        <w:i w:val="0"/>
        <w:sz w:val="22"/>
      </w:rPr>
    </w:lvl>
    <w:lvl w:ilvl="1">
      <w:start w:val="1"/>
      <w:numFmt w:val="lowerLetter"/>
      <w:lvlText w:val="%2."/>
      <w:lvlJc w:val="left"/>
      <w:pPr>
        <w:tabs>
          <w:tab w:val="num" w:pos="0"/>
        </w:tabs>
        <w:ind w:left="567" w:hanging="284"/>
      </w:pPr>
      <w:rPr>
        <w:rFonts w:hint="default"/>
        <w:b w:val="0"/>
        <w:i w:val="0"/>
        <w:sz w:val="20"/>
      </w:rPr>
    </w:lvl>
    <w:lvl w:ilvl="2">
      <w:start w:val="1"/>
      <w:numFmt w:val="lowerRoman"/>
      <w:lvlText w:val="%3."/>
      <w:lvlJc w:val="left"/>
      <w:pPr>
        <w:tabs>
          <w:tab w:val="num" w:pos="0"/>
        </w:tabs>
        <w:ind w:left="850" w:hanging="283"/>
      </w:pPr>
      <w:rPr>
        <w:rFonts w:hint="default"/>
        <w:b w:val="0"/>
        <w:i w:val="0"/>
        <w:sz w:val="20"/>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76045370"/>
    <w:multiLevelType w:val="multilevel"/>
    <w:tmpl w:val="EFF09292"/>
    <w:lvl w:ilvl="0">
      <w:start w:val="1"/>
      <w:numFmt w:val="decimal"/>
      <w:lvlText w:val="(%1)"/>
      <w:lvlJc w:val="left"/>
      <w:pPr>
        <w:tabs>
          <w:tab w:val="num" w:pos="425"/>
        </w:tabs>
        <w:ind w:left="425" w:hanging="425"/>
      </w:pPr>
      <w:rPr>
        <w:rFonts w:ascii="Palatino Linotype" w:hAnsi="Palatino Linotype" w:hint="default"/>
        <w:b w:val="0"/>
        <w:i w:val="0"/>
        <w:sz w:val="20"/>
      </w:rPr>
    </w:lvl>
    <w:lvl w:ilvl="1">
      <w:start w:val="1"/>
      <w:numFmt w:val="lowerLetter"/>
      <w:lvlText w:val="(%2)"/>
      <w:lvlJc w:val="left"/>
      <w:pPr>
        <w:tabs>
          <w:tab w:val="num" w:pos="284"/>
        </w:tabs>
        <w:ind w:left="567" w:hanging="283"/>
      </w:pPr>
      <w:rPr>
        <w:rFonts w:ascii="Palatino Linotype" w:hAnsi="Palatino Linotype" w:hint="default"/>
        <w:b w:val="0"/>
        <w:i w:val="0"/>
        <w:sz w:val="20"/>
      </w:rPr>
    </w:lvl>
    <w:lvl w:ilvl="2">
      <w:start w:val="1"/>
      <w:numFmt w:val="lowerRoman"/>
      <w:lvlText w:val="(%3)"/>
      <w:lvlJc w:val="left"/>
      <w:pPr>
        <w:tabs>
          <w:tab w:val="num" w:pos="425"/>
        </w:tabs>
        <w:ind w:left="992" w:hanging="425"/>
      </w:pPr>
      <w:rPr>
        <w:rFonts w:ascii="Palatino Linotype" w:hAnsi="Palatino Linotype" w:hint="default"/>
        <w:b w:val="0"/>
        <w:i w:val="0"/>
        <w:sz w:val="20"/>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4">
    <w:nsid w:val="7DAA309F"/>
    <w:multiLevelType w:val="multilevel"/>
    <w:tmpl w:val="058E6158"/>
    <w:lvl w:ilvl="0">
      <w:start w:val="1"/>
      <w:numFmt w:val="decimal"/>
      <w:lvlText w:val="(%1)"/>
      <w:lvlJc w:val="left"/>
      <w:pPr>
        <w:tabs>
          <w:tab w:val="num" w:pos="425"/>
        </w:tabs>
        <w:ind w:left="425" w:hanging="425"/>
      </w:pPr>
      <w:rPr>
        <w:rFonts w:ascii="Palatino Linotype" w:hAnsi="Palatino Linotype" w:cs="Times New Roman" w:hint="default"/>
        <w:b w:val="0"/>
        <w:i w:val="0"/>
        <w:sz w:val="20"/>
      </w:rPr>
    </w:lvl>
    <w:lvl w:ilvl="1">
      <w:start w:val="1"/>
      <w:numFmt w:val="lowerLetter"/>
      <w:lvlText w:val="(%2)"/>
      <w:lvlJc w:val="left"/>
      <w:pPr>
        <w:tabs>
          <w:tab w:val="num" w:pos="425"/>
        </w:tabs>
        <w:ind w:left="851" w:hanging="426"/>
      </w:pPr>
      <w:rPr>
        <w:rFonts w:ascii="Arial" w:hAnsi="Arial" w:cs="Arial" w:hint="default"/>
        <w:b w:val="0"/>
        <w:i w:val="0"/>
        <w:sz w:val="20"/>
      </w:rPr>
    </w:lvl>
    <w:lvl w:ilvl="2">
      <w:start w:val="1"/>
      <w:numFmt w:val="lowerRoman"/>
      <w:lvlText w:val="(%3)"/>
      <w:lvlJc w:val="left"/>
      <w:pPr>
        <w:tabs>
          <w:tab w:val="num" w:pos="425"/>
        </w:tabs>
        <w:ind w:left="1276" w:hanging="425"/>
      </w:pPr>
      <w:rPr>
        <w:rFonts w:ascii="Palatino Linotype" w:hAnsi="Palatino Linotype" w:cs="Times New Roman" w:hint="default"/>
        <w:b w:val="0"/>
        <w:i w:val="0"/>
        <w:sz w:val="20"/>
      </w:rPr>
    </w:lvl>
    <w:lvl w:ilvl="3">
      <w:start w:val="1"/>
      <w:numFmt w:val="decimal"/>
      <w:lvlText w:val="(%4)"/>
      <w:lvlJc w:val="left"/>
      <w:pPr>
        <w:tabs>
          <w:tab w:val="num" w:pos="1723"/>
        </w:tabs>
        <w:ind w:left="1723" w:hanging="360"/>
      </w:pPr>
      <w:rPr>
        <w:rFonts w:cs="Times New Roman" w:hint="default"/>
      </w:rPr>
    </w:lvl>
    <w:lvl w:ilvl="4">
      <w:start w:val="1"/>
      <w:numFmt w:val="lowerLetter"/>
      <w:lvlText w:val="(%5)"/>
      <w:lvlJc w:val="left"/>
      <w:pPr>
        <w:tabs>
          <w:tab w:val="num" w:pos="2083"/>
        </w:tabs>
        <w:ind w:left="2083" w:hanging="360"/>
      </w:pPr>
      <w:rPr>
        <w:rFonts w:cs="Times New Roman" w:hint="default"/>
      </w:rPr>
    </w:lvl>
    <w:lvl w:ilvl="5">
      <w:start w:val="1"/>
      <w:numFmt w:val="lowerRoman"/>
      <w:lvlText w:val="(%6)"/>
      <w:lvlJc w:val="left"/>
      <w:pPr>
        <w:tabs>
          <w:tab w:val="num" w:pos="2443"/>
        </w:tabs>
        <w:ind w:left="2443" w:hanging="360"/>
      </w:pPr>
      <w:rPr>
        <w:rFonts w:cs="Times New Roman" w:hint="default"/>
      </w:rPr>
    </w:lvl>
    <w:lvl w:ilvl="6">
      <w:start w:val="1"/>
      <w:numFmt w:val="decimal"/>
      <w:lvlText w:val="%7."/>
      <w:lvlJc w:val="left"/>
      <w:pPr>
        <w:tabs>
          <w:tab w:val="num" w:pos="2803"/>
        </w:tabs>
        <w:ind w:left="2803" w:hanging="360"/>
      </w:pPr>
      <w:rPr>
        <w:rFonts w:cs="Times New Roman" w:hint="default"/>
      </w:rPr>
    </w:lvl>
    <w:lvl w:ilvl="7">
      <w:start w:val="1"/>
      <w:numFmt w:val="lowerLetter"/>
      <w:lvlText w:val="%8."/>
      <w:lvlJc w:val="left"/>
      <w:pPr>
        <w:tabs>
          <w:tab w:val="num" w:pos="3163"/>
        </w:tabs>
        <w:ind w:left="3163" w:hanging="360"/>
      </w:pPr>
      <w:rPr>
        <w:rFonts w:cs="Times New Roman" w:hint="default"/>
      </w:rPr>
    </w:lvl>
    <w:lvl w:ilvl="8">
      <w:start w:val="1"/>
      <w:numFmt w:val="lowerRoman"/>
      <w:lvlText w:val="%9."/>
      <w:lvlJc w:val="left"/>
      <w:pPr>
        <w:tabs>
          <w:tab w:val="num" w:pos="3523"/>
        </w:tabs>
        <w:ind w:left="3523" w:hanging="360"/>
      </w:pPr>
      <w:rPr>
        <w:rFonts w:cs="Times New Roman" w:hint="default"/>
      </w:rPr>
    </w:lvl>
  </w:abstractNum>
  <w:num w:numId="1">
    <w:abstractNumId w:val="8"/>
  </w:num>
  <w:num w:numId="2">
    <w:abstractNumId w:val="9"/>
  </w:num>
  <w:num w:numId="3">
    <w:abstractNumId w:val="0"/>
  </w:num>
  <w:num w:numId="4">
    <w:abstractNumId w:val="6"/>
  </w:num>
  <w:num w:numId="5">
    <w:abstractNumId w:val="1"/>
  </w:num>
  <w:num w:numId="6">
    <w:abstractNumId w:val="7"/>
  </w:num>
  <w:num w:numId="7">
    <w:abstractNumId w:val="3"/>
  </w:num>
  <w:num w:numId="8">
    <w:abstractNumId w:val="13"/>
  </w:num>
  <w:num w:numId="9">
    <w:abstractNumId w:val="12"/>
  </w:num>
  <w:num w:numId="10">
    <w:abstractNumId w:val="11"/>
  </w:num>
  <w:num w:numId="11">
    <w:abstractNumId w:val="10"/>
  </w:num>
  <w:num w:numId="12">
    <w:abstractNumId w:val="2"/>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567"/>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575ABB"/>
    <w:rsid w:val="00030208"/>
    <w:rsid w:val="00036FFE"/>
    <w:rsid w:val="00042E47"/>
    <w:rsid w:val="00065253"/>
    <w:rsid w:val="000902DF"/>
    <w:rsid w:val="000A48E1"/>
    <w:rsid w:val="000C47FD"/>
    <w:rsid w:val="000D5C08"/>
    <w:rsid w:val="00143200"/>
    <w:rsid w:val="001618F9"/>
    <w:rsid w:val="001900A4"/>
    <w:rsid w:val="001B2901"/>
    <w:rsid w:val="001C3A39"/>
    <w:rsid w:val="001D4357"/>
    <w:rsid w:val="001D539C"/>
    <w:rsid w:val="001E138C"/>
    <w:rsid w:val="00222D26"/>
    <w:rsid w:val="00253B32"/>
    <w:rsid w:val="002722A9"/>
    <w:rsid w:val="002948C1"/>
    <w:rsid w:val="002D331F"/>
    <w:rsid w:val="002E396B"/>
    <w:rsid w:val="002F33A6"/>
    <w:rsid w:val="00315DF3"/>
    <w:rsid w:val="00343C01"/>
    <w:rsid w:val="003665D6"/>
    <w:rsid w:val="0036737E"/>
    <w:rsid w:val="00371483"/>
    <w:rsid w:val="00393AA1"/>
    <w:rsid w:val="003A2D8A"/>
    <w:rsid w:val="003B4CAD"/>
    <w:rsid w:val="003D0726"/>
    <w:rsid w:val="003D41BE"/>
    <w:rsid w:val="003D6A2A"/>
    <w:rsid w:val="003F1095"/>
    <w:rsid w:val="003F2A2E"/>
    <w:rsid w:val="00401410"/>
    <w:rsid w:val="004814DD"/>
    <w:rsid w:val="00481D5B"/>
    <w:rsid w:val="004A51C1"/>
    <w:rsid w:val="004B08BA"/>
    <w:rsid w:val="004B499E"/>
    <w:rsid w:val="004E616E"/>
    <w:rsid w:val="004E7D05"/>
    <w:rsid w:val="00510CBB"/>
    <w:rsid w:val="005151D3"/>
    <w:rsid w:val="00522F96"/>
    <w:rsid w:val="0052629A"/>
    <w:rsid w:val="005361E0"/>
    <w:rsid w:val="00556676"/>
    <w:rsid w:val="00572B64"/>
    <w:rsid w:val="00575ABB"/>
    <w:rsid w:val="005B3FCF"/>
    <w:rsid w:val="005B754C"/>
    <w:rsid w:val="005D23FD"/>
    <w:rsid w:val="005E523B"/>
    <w:rsid w:val="005F0186"/>
    <w:rsid w:val="005F477B"/>
    <w:rsid w:val="00606078"/>
    <w:rsid w:val="006076BB"/>
    <w:rsid w:val="006378EA"/>
    <w:rsid w:val="00671C59"/>
    <w:rsid w:val="00675C72"/>
    <w:rsid w:val="006A2784"/>
    <w:rsid w:val="006A5B3C"/>
    <w:rsid w:val="006A5D21"/>
    <w:rsid w:val="006B4E13"/>
    <w:rsid w:val="006E0486"/>
    <w:rsid w:val="006F44E0"/>
    <w:rsid w:val="007254C0"/>
    <w:rsid w:val="00737034"/>
    <w:rsid w:val="00753B06"/>
    <w:rsid w:val="00767F8C"/>
    <w:rsid w:val="00771803"/>
    <w:rsid w:val="0078092A"/>
    <w:rsid w:val="00780A4E"/>
    <w:rsid w:val="007846B9"/>
    <w:rsid w:val="00807DF2"/>
    <w:rsid w:val="00810620"/>
    <w:rsid w:val="00852912"/>
    <w:rsid w:val="00877D9F"/>
    <w:rsid w:val="008D2C87"/>
    <w:rsid w:val="008D7595"/>
    <w:rsid w:val="008E4DA2"/>
    <w:rsid w:val="008E6E0C"/>
    <w:rsid w:val="00945D31"/>
    <w:rsid w:val="00950E3F"/>
    <w:rsid w:val="00953950"/>
    <w:rsid w:val="0095486F"/>
    <w:rsid w:val="009678F4"/>
    <w:rsid w:val="009B3CF7"/>
    <w:rsid w:val="009B7BB8"/>
    <w:rsid w:val="009C288D"/>
    <w:rsid w:val="009D760C"/>
    <w:rsid w:val="00A10E4B"/>
    <w:rsid w:val="00A2410D"/>
    <w:rsid w:val="00A25DA1"/>
    <w:rsid w:val="00A32C4B"/>
    <w:rsid w:val="00A32F0E"/>
    <w:rsid w:val="00A86393"/>
    <w:rsid w:val="00A86F73"/>
    <w:rsid w:val="00A946B9"/>
    <w:rsid w:val="00AA1754"/>
    <w:rsid w:val="00AA1789"/>
    <w:rsid w:val="00AA59A2"/>
    <w:rsid w:val="00AB61D1"/>
    <w:rsid w:val="00AE6A96"/>
    <w:rsid w:val="00AF200E"/>
    <w:rsid w:val="00B054E2"/>
    <w:rsid w:val="00B207DB"/>
    <w:rsid w:val="00B263B8"/>
    <w:rsid w:val="00B478B1"/>
    <w:rsid w:val="00B604C2"/>
    <w:rsid w:val="00B611EA"/>
    <w:rsid w:val="00B632DB"/>
    <w:rsid w:val="00B6360B"/>
    <w:rsid w:val="00B64A18"/>
    <w:rsid w:val="00B76E3B"/>
    <w:rsid w:val="00BA5D3C"/>
    <w:rsid w:val="00BD6F35"/>
    <w:rsid w:val="00BE0359"/>
    <w:rsid w:val="00BF2ACD"/>
    <w:rsid w:val="00C17FC2"/>
    <w:rsid w:val="00C317A5"/>
    <w:rsid w:val="00C65506"/>
    <w:rsid w:val="00C7346A"/>
    <w:rsid w:val="00C768DE"/>
    <w:rsid w:val="00C96C21"/>
    <w:rsid w:val="00CC2A9D"/>
    <w:rsid w:val="00CF3F12"/>
    <w:rsid w:val="00D074F8"/>
    <w:rsid w:val="00D17B09"/>
    <w:rsid w:val="00D243DC"/>
    <w:rsid w:val="00D3423A"/>
    <w:rsid w:val="00D55ED7"/>
    <w:rsid w:val="00D720B1"/>
    <w:rsid w:val="00D75E8E"/>
    <w:rsid w:val="00DA5913"/>
    <w:rsid w:val="00DC19FA"/>
    <w:rsid w:val="00E00E20"/>
    <w:rsid w:val="00E109C9"/>
    <w:rsid w:val="00E40417"/>
    <w:rsid w:val="00E479AD"/>
    <w:rsid w:val="00E52F65"/>
    <w:rsid w:val="00E71D8B"/>
    <w:rsid w:val="00E76157"/>
    <w:rsid w:val="00EB4F7E"/>
    <w:rsid w:val="00EC659A"/>
    <w:rsid w:val="00EE4DC4"/>
    <w:rsid w:val="00F1034B"/>
    <w:rsid w:val="00F2568C"/>
    <w:rsid w:val="00F414B1"/>
    <w:rsid w:val="00F573F3"/>
    <w:rsid w:val="00F66DBD"/>
    <w:rsid w:val="00F739DB"/>
    <w:rsid w:val="00F8451C"/>
    <w:rsid w:val="00FD6294"/>
    <w:rsid w:val="00FE4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ules v:ext="edit">
        <o:r id="V:Rule2" type="connector" idref="#AutoShape 3"/>
      </o:rules>
    </o:shapelayout>
  </w:shapeDefaults>
  <w:decimalSymbol w:val="."/>
  <w:listSeparator w:val=","/>
  <w15:docId w15:val="{A8A87867-9793-454D-B9F8-5CB0AC7A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ABB"/>
    <w:rPr>
      <w:rFonts w:ascii="Arial" w:hAnsi="Arial"/>
      <w:sz w:val="24"/>
      <w:szCs w:val="24"/>
      <w:lang w:eastAsia="en-US"/>
    </w:rPr>
  </w:style>
  <w:style w:type="paragraph" w:styleId="Heading1">
    <w:name w:val="heading 1"/>
    <w:basedOn w:val="Normal"/>
    <w:next w:val="Normal"/>
    <w:link w:val="Heading1Char"/>
    <w:qFormat/>
    <w:rsid w:val="001D4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D43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D43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D43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43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D435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53B06"/>
    <w:rPr>
      <w:rFonts w:ascii="Tahoma" w:hAnsi="Tahoma" w:cs="Tahoma"/>
      <w:sz w:val="16"/>
      <w:szCs w:val="16"/>
    </w:rPr>
  </w:style>
  <w:style w:type="character" w:customStyle="1" w:styleId="BalloonTextChar">
    <w:name w:val="Balloon Text Char"/>
    <w:basedOn w:val="DefaultParagraphFont"/>
    <w:uiPriority w:val="99"/>
    <w:semiHidden/>
    <w:rsid w:val="00114625"/>
    <w:rPr>
      <w:rFonts w:ascii="Lucida Grande" w:hAnsi="Lucida Grande" w:cs="Lucida Grande"/>
      <w:sz w:val="18"/>
      <w:szCs w:val="18"/>
    </w:rPr>
  </w:style>
  <w:style w:type="paragraph" w:styleId="ListParagraph">
    <w:name w:val="List Paragraph"/>
    <w:basedOn w:val="Normal"/>
    <w:qFormat/>
    <w:rsid w:val="00575ABB"/>
    <w:pPr>
      <w:ind w:left="720"/>
    </w:pPr>
  </w:style>
  <w:style w:type="paragraph" w:styleId="Header">
    <w:name w:val="header"/>
    <w:basedOn w:val="Normal"/>
    <w:rsid w:val="00575ABB"/>
    <w:pPr>
      <w:tabs>
        <w:tab w:val="center" w:pos="4153"/>
        <w:tab w:val="right" w:pos="8306"/>
      </w:tabs>
    </w:pPr>
  </w:style>
  <w:style w:type="paragraph" w:styleId="Footer">
    <w:name w:val="footer"/>
    <w:basedOn w:val="Normal"/>
    <w:rsid w:val="00575ABB"/>
    <w:pPr>
      <w:tabs>
        <w:tab w:val="center" w:pos="4153"/>
        <w:tab w:val="right" w:pos="8306"/>
      </w:tabs>
    </w:pPr>
  </w:style>
  <w:style w:type="character" w:styleId="PageNumber">
    <w:name w:val="page number"/>
    <w:basedOn w:val="DefaultParagraphFont"/>
    <w:rsid w:val="00575ABB"/>
  </w:style>
  <w:style w:type="character" w:customStyle="1" w:styleId="BalloonTextChar1">
    <w:name w:val="Balloon Text Char1"/>
    <w:basedOn w:val="DefaultParagraphFont"/>
    <w:link w:val="BalloonText"/>
    <w:rsid w:val="00753B06"/>
    <w:rPr>
      <w:rFonts w:ascii="Tahoma" w:hAnsi="Tahoma" w:cs="Tahoma"/>
      <w:sz w:val="16"/>
      <w:szCs w:val="16"/>
      <w:lang w:eastAsia="en-US"/>
    </w:rPr>
  </w:style>
  <w:style w:type="paragraph" w:customStyle="1" w:styleId="AHPRAfooter">
    <w:name w:val="AHPRA footer"/>
    <w:rsid w:val="002948C1"/>
    <w:pPr>
      <w:spacing w:after="200" w:line="276" w:lineRule="auto"/>
    </w:pPr>
    <w:rPr>
      <w:rFonts w:asciiTheme="minorHAnsi" w:eastAsia="Cambria" w:hAnsiTheme="minorHAnsi" w:cstheme="minorBidi"/>
      <w:color w:val="5F6062"/>
      <w:sz w:val="18"/>
      <w:lang w:val="en-US" w:eastAsia="en-US"/>
    </w:rPr>
  </w:style>
  <w:style w:type="paragraph" w:customStyle="1" w:styleId="AHPRAfirstpagefooter">
    <w:name w:val="AHPRA first page footer"/>
    <w:basedOn w:val="AHPRAfooter"/>
    <w:rsid w:val="002948C1"/>
    <w:pPr>
      <w:jc w:val="center"/>
    </w:pPr>
    <w:rPr>
      <w:b/>
    </w:rPr>
  </w:style>
  <w:style w:type="character" w:styleId="CommentReference">
    <w:name w:val="annotation reference"/>
    <w:basedOn w:val="DefaultParagraphFont"/>
    <w:rsid w:val="004B499E"/>
    <w:rPr>
      <w:sz w:val="16"/>
      <w:szCs w:val="16"/>
    </w:rPr>
  </w:style>
  <w:style w:type="paragraph" w:styleId="CommentText">
    <w:name w:val="annotation text"/>
    <w:basedOn w:val="Normal"/>
    <w:link w:val="CommentTextChar"/>
    <w:rsid w:val="004B499E"/>
    <w:rPr>
      <w:sz w:val="20"/>
      <w:szCs w:val="20"/>
    </w:rPr>
  </w:style>
  <w:style w:type="character" w:customStyle="1" w:styleId="CommentTextChar">
    <w:name w:val="Comment Text Char"/>
    <w:basedOn w:val="DefaultParagraphFont"/>
    <w:link w:val="CommentText"/>
    <w:rsid w:val="004B499E"/>
    <w:rPr>
      <w:rFonts w:ascii="Arial" w:hAnsi="Arial"/>
      <w:lang w:eastAsia="en-US"/>
    </w:rPr>
  </w:style>
  <w:style w:type="paragraph" w:styleId="CommentSubject">
    <w:name w:val="annotation subject"/>
    <w:basedOn w:val="CommentText"/>
    <w:next w:val="CommentText"/>
    <w:link w:val="CommentSubjectChar"/>
    <w:rsid w:val="004B499E"/>
    <w:rPr>
      <w:b/>
      <w:bCs/>
    </w:rPr>
  </w:style>
  <w:style w:type="character" w:customStyle="1" w:styleId="CommentSubjectChar">
    <w:name w:val="Comment Subject Char"/>
    <w:basedOn w:val="CommentTextChar"/>
    <w:link w:val="CommentSubject"/>
    <w:rsid w:val="004B499E"/>
    <w:rPr>
      <w:rFonts w:ascii="Arial" w:hAnsi="Arial"/>
      <w:b/>
      <w:bCs/>
      <w:lang w:eastAsia="en-US"/>
    </w:rPr>
  </w:style>
  <w:style w:type="paragraph" w:customStyle="1" w:styleId="AHPRATitle">
    <w:name w:val="AHPRA Title"/>
    <w:basedOn w:val="Normal"/>
    <w:next w:val="Normal"/>
    <w:qFormat/>
    <w:rsid w:val="00737034"/>
    <w:pPr>
      <w:spacing w:after="200"/>
      <w:outlineLvl w:val="0"/>
    </w:pPr>
    <w:rPr>
      <w:rFonts w:eastAsia="Cambria" w:cs="Arial"/>
      <w:color w:val="808080"/>
      <w:sz w:val="44"/>
      <w:szCs w:val="52"/>
    </w:rPr>
  </w:style>
  <w:style w:type="paragraph" w:styleId="Revision">
    <w:name w:val="Revision"/>
    <w:hidden/>
    <w:uiPriority w:val="99"/>
    <w:semiHidden/>
    <w:rsid w:val="008E4DA2"/>
    <w:rPr>
      <w:rFonts w:ascii="Arial" w:hAnsi="Arial"/>
      <w:sz w:val="24"/>
      <w:szCs w:val="24"/>
      <w:lang w:eastAsia="en-US"/>
    </w:rPr>
  </w:style>
  <w:style w:type="character" w:styleId="Hyperlink">
    <w:name w:val="Hyperlink"/>
    <w:basedOn w:val="DefaultParagraphFont"/>
    <w:rsid w:val="009D760C"/>
    <w:rPr>
      <w:color w:val="0000FF" w:themeColor="hyperlink"/>
      <w:u w:val="single"/>
    </w:rPr>
  </w:style>
  <w:style w:type="paragraph" w:customStyle="1" w:styleId="AHPRAHeadline">
    <w:name w:val="AHPRA Headline"/>
    <w:basedOn w:val="Normal"/>
    <w:qFormat/>
    <w:rsid w:val="00EC659A"/>
    <w:pPr>
      <w:spacing w:after="200"/>
    </w:pPr>
    <w:rPr>
      <w:rFonts w:eastAsia="Cambria"/>
      <w:color w:val="008EC4"/>
      <w:sz w:val="28"/>
    </w:rPr>
  </w:style>
  <w:style w:type="character" w:customStyle="1" w:styleId="Heading2Char">
    <w:name w:val="Heading 2 Char"/>
    <w:basedOn w:val="DefaultParagraphFont"/>
    <w:link w:val="Heading2"/>
    <w:rsid w:val="001D435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1D4357"/>
    <w:rPr>
      <w:rFonts w:asciiTheme="majorHAnsi" w:eastAsiaTheme="majorEastAsia" w:hAnsiTheme="majorHAnsi" w:cstheme="majorBidi"/>
      <w:b/>
      <w:bCs/>
      <w:color w:val="4F81BD" w:themeColor="accent1"/>
      <w:sz w:val="24"/>
      <w:szCs w:val="24"/>
      <w:lang w:eastAsia="en-US"/>
    </w:rPr>
  </w:style>
  <w:style w:type="character" w:customStyle="1" w:styleId="Heading1Char">
    <w:name w:val="Heading 1 Char"/>
    <w:basedOn w:val="DefaultParagraphFont"/>
    <w:link w:val="Heading1"/>
    <w:rsid w:val="001D4357"/>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rsid w:val="001D435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1D4357"/>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rsid w:val="001D4357"/>
    <w:rPr>
      <w:rFonts w:asciiTheme="majorHAnsi" w:eastAsiaTheme="majorEastAsia" w:hAnsiTheme="majorHAnsi" w:cstheme="majorBidi"/>
      <w:i/>
      <w:iCs/>
      <w:color w:val="243F60" w:themeColor="accent1" w:themeShade="7F"/>
      <w:sz w:val="24"/>
      <w:szCs w:val="24"/>
      <w:lang w:eastAsia="en-US"/>
    </w:rPr>
  </w:style>
  <w:style w:type="paragraph" w:styleId="BodyText">
    <w:name w:val="Body Text"/>
    <w:basedOn w:val="Normal"/>
    <w:link w:val="BodyTextChar"/>
    <w:qFormat/>
    <w:rsid w:val="00BE0359"/>
    <w:pPr>
      <w:spacing w:before="200" w:after="200"/>
    </w:pPr>
    <w:rPr>
      <w:rFonts w:eastAsia="Cambria" w:cs="Arial"/>
      <w:noProof/>
      <w:sz w:val="20"/>
    </w:rPr>
  </w:style>
  <w:style w:type="character" w:customStyle="1" w:styleId="BodyTextChar">
    <w:name w:val="Body Text Char"/>
    <w:basedOn w:val="DefaultParagraphFont"/>
    <w:link w:val="BodyText"/>
    <w:rsid w:val="00BE0359"/>
    <w:rPr>
      <w:rFonts w:ascii="Arial" w:eastAsia="Cambria" w:hAnsi="Arial" w:cs="Arial"/>
      <w:noProo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ag.gov.au/sites/default/files/coag_documents/COAG_best_practice_guide_200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43B77-A508-4046-8774-2772225A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REGISTRATION STANDARDS</vt:lpstr>
    </vt:vector>
  </TitlesOfParts>
  <Company>Department of Human Services</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the development of registration standards, codes and guidelines</dc:title>
  <dc:subject>Procedure</dc:subject>
  <dc:creator>AHPRA</dc:creator>
  <cp:lastModifiedBy>Tara Johnson</cp:lastModifiedBy>
  <cp:revision>2</cp:revision>
  <cp:lastPrinted>2014-11-05T23:42:00Z</cp:lastPrinted>
  <dcterms:created xsi:type="dcterms:W3CDTF">2014-11-12T01:17:00Z</dcterms:created>
  <dcterms:modified xsi:type="dcterms:W3CDTF">2014-11-12T01:17:00Z</dcterms:modified>
</cp:coreProperties>
</file>