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C3795C" w:rsidRDefault="00070E99" w:rsidP="00C3795C">
      <w:pPr>
        <w:pStyle w:val="AHPRADocumenttitle"/>
      </w:pPr>
      <w:r w:rsidRPr="00070E99">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537C2F">
        <w:t>Practitioner Audit Pilot Report</w:t>
      </w:r>
    </w:p>
    <w:p w:rsidR="00C3795C" w:rsidRDefault="00C3795C" w:rsidP="00FC2881">
      <w:pPr>
        <w:outlineLvl w:val="0"/>
      </w:pPr>
    </w:p>
    <w:p w:rsidR="00C35DE1" w:rsidRDefault="00537C2F" w:rsidP="00C3795C">
      <w:pPr>
        <w:pStyle w:val="AHPRAbody"/>
      </w:pPr>
      <w:r>
        <w:t>July 2013</w:t>
      </w:r>
    </w:p>
    <w:p w:rsidR="00C3795C" w:rsidRDefault="00537C2F" w:rsidP="00C3795C">
      <w:pPr>
        <w:pStyle w:val="AHPRADocumentsubheading"/>
      </w:pPr>
      <w:r>
        <w:t xml:space="preserve">Phase Two: </w:t>
      </w:r>
      <w:r w:rsidR="00642505">
        <w:t>Pharmacy</w:t>
      </w:r>
    </w:p>
    <w:p w:rsidR="00537C2F" w:rsidRDefault="00537C2F" w:rsidP="0037447E">
      <w:pPr>
        <w:pStyle w:val="AHPRASubheadinglevel2"/>
        <w:rPr>
          <w:color w:val="007DC3"/>
        </w:rPr>
      </w:pPr>
      <w:bookmarkStart w:id="0" w:name="_Toc315895075"/>
      <w:bookmarkStart w:id="1" w:name="_Toc315895086"/>
      <w:bookmarkStart w:id="2" w:name="_Toc316637055"/>
      <w:bookmarkStart w:id="3" w:name="_Toc316997877"/>
      <w:r w:rsidRPr="00537C2F">
        <w:rPr>
          <w:color w:val="007DC3"/>
        </w:rPr>
        <w:t>Introduction</w:t>
      </w:r>
    </w:p>
    <w:p w:rsidR="00C3795C" w:rsidRDefault="00537C2F" w:rsidP="00537C2F">
      <w:pPr>
        <w:pStyle w:val="AHPRASubheadinglevel3"/>
        <w:rPr>
          <w:b/>
          <w:color w:val="auto"/>
        </w:rPr>
      </w:pPr>
      <w:bookmarkStart w:id="4" w:name="_Toc315895076"/>
      <w:bookmarkStart w:id="5" w:name="_Toc315895087"/>
      <w:bookmarkStart w:id="6" w:name="_Toc316637056"/>
      <w:bookmarkStart w:id="7" w:name="_Toc316997878"/>
      <w:bookmarkEnd w:id="0"/>
      <w:bookmarkEnd w:id="1"/>
      <w:bookmarkEnd w:id="2"/>
      <w:bookmarkEnd w:id="3"/>
      <w:r w:rsidRPr="00537C2F">
        <w:rPr>
          <w:b/>
          <w:color w:val="auto"/>
        </w:rPr>
        <w:t>About this document</w:t>
      </w:r>
      <w:bookmarkEnd w:id="4"/>
      <w:bookmarkEnd w:id="5"/>
      <w:bookmarkEnd w:id="6"/>
      <w:bookmarkEnd w:id="7"/>
    </w:p>
    <w:p w:rsidR="00642505" w:rsidRPr="00642505" w:rsidRDefault="00642505" w:rsidP="00642505">
      <w:pPr>
        <w:pStyle w:val="AHPRASubheadinglevel2"/>
        <w:rPr>
          <w:rFonts w:cs="Arial"/>
          <w:b w:val="0"/>
        </w:rPr>
      </w:pPr>
      <w:r w:rsidRPr="00642505">
        <w:rPr>
          <w:rFonts w:cs="Arial"/>
          <w:b w:val="0"/>
        </w:rPr>
        <w:t>This report presents the findings and recommendations from phase 2 pilot audit, undertaken by the NSW AHPRA office audit team from October 2012 to February 2013.</w:t>
      </w:r>
    </w:p>
    <w:p w:rsidR="00642505" w:rsidRPr="00642505" w:rsidRDefault="00642505" w:rsidP="00642505">
      <w:pPr>
        <w:pStyle w:val="AHPRASubheadinglevel2"/>
        <w:rPr>
          <w:rFonts w:cs="Arial"/>
          <w:b w:val="0"/>
        </w:rPr>
      </w:pPr>
      <w:r w:rsidRPr="00642505">
        <w:rPr>
          <w:rFonts w:cs="Arial"/>
          <w:b w:val="0"/>
        </w:rPr>
        <w:t>It was conducted on the recommendation of the phase 1 audit pilot report and involved auditing a fixed sample size from the pharmacy, chiropractic and optometry professions for the same four registration standards.</w:t>
      </w:r>
    </w:p>
    <w:p w:rsidR="00642505" w:rsidRPr="00642505" w:rsidRDefault="00642505" w:rsidP="00642505">
      <w:pPr>
        <w:pStyle w:val="AHPRASubheadinglevel2"/>
        <w:rPr>
          <w:rFonts w:cs="Arial"/>
          <w:b w:val="0"/>
        </w:rPr>
      </w:pPr>
      <w:r w:rsidRPr="00642505">
        <w:rPr>
          <w:rFonts w:cs="Arial"/>
          <w:b w:val="0"/>
        </w:rPr>
        <w:t>This report will present the findings for the pharmacy profession only. Reports for the other professions are available on the respective board websites.</w:t>
      </w:r>
    </w:p>
    <w:p w:rsidR="007F13A8" w:rsidRDefault="00642505" w:rsidP="00642505">
      <w:pPr>
        <w:pStyle w:val="AHPRASubheadinglevel2"/>
        <w:rPr>
          <w:rFonts w:cs="Arial"/>
          <w:b w:val="0"/>
        </w:rPr>
      </w:pPr>
      <w:r w:rsidRPr="00642505">
        <w:rPr>
          <w:rFonts w:cs="Arial"/>
          <w:b w:val="0"/>
        </w:rPr>
        <w:t>The overall practitioner audit project is designed to determine the frequency, size and type of audits required as well as develop and establish the audit methodology to be developed for the National Scheme.</w:t>
      </w:r>
      <w:r w:rsidR="007F13A8" w:rsidRPr="007F13A8">
        <w:rPr>
          <w:rFonts w:cs="Arial"/>
          <w:b w:val="0"/>
        </w:rPr>
        <w:t xml:space="preserve"> </w:t>
      </w:r>
    </w:p>
    <w:p w:rsidR="00537C2F" w:rsidRDefault="00537C2F" w:rsidP="007F13A8">
      <w:pPr>
        <w:pStyle w:val="AHPRASubheadinglevel2"/>
      </w:pPr>
      <w:r>
        <w:t>About the National Scheme</w:t>
      </w:r>
    </w:p>
    <w:p w:rsidR="00642505" w:rsidRPr="00642505" w:rsidRDefault="00642505" w:rsidP="00642505">
      <w:pPr>
        <w:pStyle w:val="AHPRAbody"/>
      </w:pPr>
      <w:r w:rsidRPr="00642505">
        <w:t>AHPRA supports and works with the National Boards responsible for regulating 14 health professions in Australia.</w:t>
      </w:r>
    </w:p>
    <w:p w:rsidR="00642505" w:rsidRPr="00642505" w:rsidRDefault="00642505" w:rsidP="00642505">
      <w:pPr>
        <w:pStyle w:val="AHPRAbody"/>
        <w:rPr>
          <w:rFonts w:cs="Times New Roman"/>
        </w:rPr>
      </w:pPr>
      <w:r w:rsidRPr="00642505">
        <w:t>The primary role of the National Boards is to protect the public and facilitate access to health services. National Boards set the standards and policies that all registered practitioners must meet. AHPRA’s operations are governed by the Health Practitioner Regulation National Law, as in force in each state and territory (the National Law). The 14 National Boards are:</w:t>
      </w:r>
    </w:p>
    <w:p w:rsidR="00537C2F" w:rsidRDefault="00537C2F" w:rsidP="00642505">
      <w:pPr>
        <w:pStyle w:val="AHPRABulletlevel1"/>
      </w:pPr>
      <w:r>
        <w:t>Aboriginal and Torres Strait Islander Health Practice Board</w:t>
      </w:r>
    </w:p>
    <w:p w:rsidR="00537C2F" w:rsidRDefault="00537C2F" w:rsidP="00537C2F">
      <w:pPr>
        <w:pStyle w:val="AHPRABulletlevel1"/>
      </w:pPr>
      <w:r>
        <w:t>Chinese Medicine Board</w:t>
      </w:r>
    </w:p>
    <w:p w:rsidR="00537C2F" w:rsidRDefault="00537C2F" w:rsidP="00537C2F">
      <w:pPr>
        <w:pStyle w:val="AHPRABulletlevel1"/>
      </w:pPr>
      <w:r>
        <w:t>Chiropractic Board</w:t>
      </w:r>
    </w:p>
    <w:p w:rsidR="00537C2F" w:rsidRDefault="00537C2F" w:rsidP="00537C2F">
      <w:pPr>
        <w:pStyle w:val="AHPRABulletlevel1"/>
      </w:pPr>
      <w:r>
        <w:t>Dental Board</w:t>
      </w:r>
    </w:p>
    <w:p w:rsidR="00537C2F" w:rsidRDefault="00537C2F" w:rsidP="00537C2F">
      <w:pPr>
        <w:pStyle w:val="AHPRABulletlevel1"/>
      </w:pPr>
      <w:r>
        <w:t>Medical Board</w:t>
      </w:r>
    </w:p>
    <w:p w:rsidR="00537C2F" w:rsidRDefault="00537C2F" w:rsidP="00537C2F">
      <w:pPr>
        <w:pStyle w:val="AHPRABulletlevel1"/>
      </w:pPr>
      <w:r>
        <w:t>Medical Radiation Practice Board</w:t>
      </w:r>
    </w:p>
    <w:p w:rsidR="00537C2F" w:rsidRDefault="00537C2F" w:rsidP="00537C2F">
      <w:pPr>
        <w:pStyle w:val="AHPRABulletlevel1"/>
      </w:pPr>
      <w:r>
        <w:t>Nursing and Midwifery Board</w:t>
      </w:r>
    </w:p>
    <w:p w:rsidR="00537C2F" w:rsidRDefault="00537C2F" w:rsidP="00537C2F">
      <w:pPr>
        <w:pStyle w:val="AHPRABulletlevel1"/>
      </w:pPr>
      <w:r>
        <w:t>Occupational Therapy Board</w:t>
      </w:r>
    </w:p>
    <w:p w:rsidR="00537C2F" w:rsidRDefault="00537C2F" w:rsidP="00537C2F">
      <w:pPr>
        <w:pStyle w:val="AHPRABulletlevel1"/>
      </w:pPr>
      <w:r>
        <w:t>Optometry Board</w:t>
      </w:r>
    </w:p>
    <w:p w:rsidR="00537C2F" w:rsidRDefault="00537C2F" w:rsidP="00537C2F">
      <w:pPr>
        <w:pStyle w:val="AHPRABulletlevel1"/>
      </w:pPr>
      <w:r>
        <w:t>Osteopathy Board</w:t>
      </w:r>
    </w:p>
    <w:p w:rsidR="00537C2F" w:rsidRDefault="00537C2F" w:rsidP="00537C2F">
      <w:pPr>
        <w:pStyle w:val="AHPRABulletlevel1"/>
      </w:pPr>
      <w:r>
        <w:t>Pharmacy Board</w:t>
      </w:r>
    </w:p>
    <w:p w:rsidR="00537C2F" w:rsidRDefault="00537C2F" w:rsidP="00537C2F">
      <w:pPr>
        <w:pStyle w:val="AHPRABulletlevel1"/>
      </w:pPr>
      <w:r>
        <w:t>Physiotherapy Board</w:t>
      </w:r>
    </w:p>
    <w:p w:rsidR="00537C2F" w:rsidRDefault="00537C2F" w:rsidP="00537C2F">
      <w:pPr>
        <w:pStyle w:val="AHPRABulletlevel1"/>
      </w:pPr>
      <w:r>
        <w:t>Podiatry Board, and</w:t>
      </w:r>
    </w:p>
    <w:p w:rsidR="00537C2F" w:rsidRDefault="00537C2F" w:rsidP="00537C2F">
      <w:pPr>
        <w:pStyle w:val="AHPRABulletlevel1last"/>
      </w:pPr>
      <w:r>
        <w:t>Psychology Board.</w:t>
      </w:r>
    </w:p>
    <w:p w:rsidR="00537C2F" w:rsidRDefault="00537C2F" w:rsidP="00537C2F">
      <w:pPr>
        <w:pStyle w:val="AHPRAbody"/>
      </w:pPr>
      <w:r>
        <w:t>More information about the role of AHPRA and the National Boards is published at www.ahpra.gov.au and on individual National Board websites, accessible through the AHPRA site.</w:t>
      </w:r>
    </w:p>
    <w:p w:rsidR="00537C2F" w:rsidRDefault="00537C2F" w:rsidP="00537C2F">
      <w:pPr>
        <w:pStyle w:val="AHPRASubheadinglevel2"/>
      </w:pPr>
      <w:r>
        <w:lastRenderedPageBreak/>
        <w:t>Registration standards</w:t>
      </w:r>
    </w:p>
    <w:p w:rsidR="007F13A8" w:rsidRPr="007F13A8" w:rsidRDefault="007F13A8" w:rsidP="007F13A8">
      <w:pPr>
        <w:pStyle w:val="AHPRASubheading"/>
        <w:rPr>
          <w:rFonts w:cs="Arial"/>
          <w:b w:val="0"/>
          <w:color w:val="auto"/>
        </w:rPr>
      </w:pPr>
      <w:r w:rsidRPr="007F13A8">
        <w:rPr>
          <w:rFonts w:cs="Arial"/>
          <w:b w:val="0"/>
          <w:color w:val="auto"/>
        </w:rPr>
        <w:t>Each National Board sets registration standards that practitioners must meet to be registered to practise. The National Law requires Boards, at a minimum, to set five standards – the four detailed below and also a standard in relation to English language skills.</w:t>
      </w:r>
    </w:p>
    <w:p w:rsidR="007F13A8" w:rsidRPr="007F13A8" w:rsidRDefault="007F13A8" w:rsidP="007F13A8">
      <w:pPr>
        <w:pStyle w:val="AHPRASubheading"/>
        <w:rPr>
          <w:rFonts w:cs="Arial"/>
          <w:b w:val="0"/>
          <w:color w:val="auto"/>
        </w:rPr>
      </w:pPr>
      <w:r w:rsidRPr="007F13A8">
        <w:rPr>
          <w:rFonts w:cs="Arial"/>
          <w:b w:val="0"/>
          <w:color w:val="auto"/>
        </w:rPr>
        <w:t>The audit focused on practitioners’ compliance with the following four registration standards:</w:t>
      </w:r>
    </w:p>
    <w:p w:rsidR="007F13A8" w:rsidRPr="007F13A8" w:rsidRDefault="007F13A8" w:rsidP="007F13A8">
      <w:pPr>
        <w:pStyle w:val="AHPRABulletlevel1"/>
      </w:pPr>
      <w:r w:rsidRPr="007F13A8">
        <w:t>criminal history check (CHC)</w:t>
      </w:r>
    </w:p>
    <w:p w:rsidR="007F13A8" w:rsidRPr="007F13A8" w:rsidRDefault="007F13A8" w:rsidP="007F13A8">
      <w:pPr>
        <w:pStyle w:val="AHPRABulletlevel1"/>
      </w:pPr>
      <w:r w:rsidRPr="007F13A8">
        <w:t>continuing professional development (CPD)</w:t>
      </w:r>
    </w:p>
    <w:p w:rsidR="007F13A8" w:rsidRPr="007F13A8" w:rsidRDefault="007F13A8" w:rsidP="007F13A8">
      <w:pPr>
        <w:pStyle w:val="AHPRABulletlevel1"/>
      </w:pPr>
      <w:r w:rsidRPr="007F13A8">
        <w:t>recency of practice (ROP), and</w:t>
      </w:r>
    </w:p>
    <w:p w:rsidR="007F13A8" w:rsidRPr="007F13A8" w:rsidRDefault="007F13A8" w:rsidP="007F13A8">
      <w:pPr>
        <w:pStyle w:val="AHPRABulletlevel1"/>
      </w:pPr>
      <w:proofErr w:type="gramStart"/>
      <w:r w:rsidRPr="007F13A8">
        <w:t>professional</w:t>
      </w:r>
      <w:proofErr w:type="gramEnd"/>
      <w:r w:rsidRPr="007F13A8">
        <w:t xml:space="preserve"> indemnity insurance (PII).</w:t>
      </w:r>
    </w:p>
    <w:p w:rsidR="007F13A8" w:rsidRDefault="007F13A8" w:rsidP="007F13A8">
      <w:pPr>
        <w:pStyle w:val="AHPRASubheading"/>
        <w:rPr>
          <w:rFonts w:cs="Arial"/>
          <w:b w:val="0"/>
          <w:color w:val="auto"/>
        </w:rPr>
      </w:pPr>
      <w:r w:rsidRPr="007F13A8">
        <w:rPr>
          <w:rFonts w:cs="Arial"/>
          <w:b w:val="0"/>
          <w:color w:val="auto"/>
        </w:rPr>
        <w:t xml:space="preserve">More information about the </w:t>
      </w:r>
      <w:r w:rsidR="00062EC5">
        <w:rPr>
          <w:rFonts w:cs="Arial"/>
          <w:b w:val="0"/>
          <w:color w:val="auto"/>
        </w:rPr>
        <w:t>Pharmacy</w:t>
      </w:r>
      <w:r w:rsidRPr="007F13A8">
        <w:rPr>
          <w:rFonts w:cs="Arial"/>
          <w:b w:val="0"/>
          <w:color w:val="auto"/>
        </w:rPr>
        <w:t xml:space="preserve"> Board of Australia’s (the Board) registration standards are published at </w:t>
      </w:r>
      <w:hyperlink r:id="rId8" w:history="1">
        <w:r w:rsidR="00642505" w:rsidRPr="00954AFD">
          <w:rPr>
            <w:rStyle w:val="Hyperlink"/>
            <w:rFonts w:cs="Arial"/>
            <w:b w:val="0"/>
          </w:rPr>
          <w:t>www.pharmacyboard.gov.au/Registration-Standards</w:t>
        </w:r>
      </w:hyperlink>
      <w:r w:rsidRPr="007F13A8">
        <w:rPr>
          <w:rFonts w:cs="Arial"/>
          <w:b w:val="0"/>
          <w:color w:val="auto"/>
        </w:rPr>
        <w:t>.</w:t>
      </w:r>
    </w:p>
    <w:p w:rsidR="00537C2F" w:rsidRDefault="00537C2F" w:rsidP="007F13A8">
      <w:pPr>
        <w:pStyle w:val="AHPRASubheading"/>
      </w:pPr>
      <w:r>
        <w:t>The audit process</w:t>
      </w:r>
    </w:p>
    <w:p w:rsidR="00642505" w:rsidRPr="00642505" w:rsidRDefault="00642505" w:rsidP="00642505">
      <w:pPr>
        <w:pStyle w:val="AHPRASubheadinglevel2"/>
        <w:rPr>
          <w:rFonts w:cs="Arial"/>
          <w:b w:val="0"/>
        </w:rPr>
      </w:pPr>
      <w:r w:rsidRPr="00642505">
        <w:rPr>
          <w:rFonts w:cs="Arial"/>
          <w:b w:val="0"/>
        </w:rPr>
        <w:t xml:space="preserve">The phase 2 pilot audit used the audit framework from phase 1 and was run in conjunction with the renewal registration period. This provided the Board with more options for managing practitioner non-compliance. </w:t>
      </w:r>
    </w:p>
    <w:p w:rsidR="007F13A8" w:rsidRDefault="00642505" w:rsidP="00642505">
      <w:pPr>
        <w:pStyle w:val="AHPRASubheadinglevel2"/>
        <w:rPr>
          <w:rFonts w:cs="Arial"/>
          <w:b w:val="0"/>
        </w:rPr>
      </w:pPr>
      <w:r w:rsidRPr="00642505">
        <w:rPr>
          <w:rFonts w:cs="Arial"/>
          <w:b w:val="0"/>
        </w:rPr>
        <w:t>This audit took place from October 2012 to February 2013 and assessed practitioners’ compliance with four registration standards during the previous registration year to 30 November 2012.</w:t>
      </w:r>
    </w:p>
    <w:p w:rsidR="00537C2F" w:rsidRDefault="00537C2F" w:rsidP="007F13A8">
      <w:pPr>
        <w:pStyle w:val="AHPRASubheadinglevel2"/>
      </w:pPr>
      <w:r>
        <w:t>Selection and sample size</w:t>
      </w:r>
    </w:p>
    <w:p w:rsidR="007F13A8" w:rsidRDefault="007F13A8" w:rsidP="007F13A8">
      <w:pPr>
        <w:pStyle w:val="AHPRAbody"/>
      </w:pPr>
      <w:r>
        <w:t xml:space="preserve">AHPRA engaged an external statistician to </w:t>
      </w:r>
      <w:proofErr w:type="gramStart"/>
      <w:r>
        <w:t>advise</w:t>
      </w:r>
      <w:proofErr w:type="gramEnd"/>
      <w:r>
        <w:t xml:space="preserve"> on an appropriate and cost effective sample selection method and size for the audit. A fixed sample size was chosen, to provide a high rate of reliability and to ensure the results could be applied across the profession as a whole. As a result, among audited practitioners:</w:t>
      </w:r>
    </w:p>
    <w:p w:rsidR="007F13A8" w:rsidRDefault="007F13A8" w:rsidP="007F13A8">
      <w:pPr>
        <w:pStyle w:val="AHPRAbody"/>
      </w:pPr>
      <w:r>
        <w:t>The random selection method ensured each registered practitioner had an equal opportunity of being selected.</w:t>
      </w:r>
    </w:p>
    <w:p w:rsidR="007F13A8" w:rsidRDefault="007F13A8" w:rsidP="007F13A8">
      <w:pPr>
        <w:pStyle w:val="AHPRAbody"/>
      </w:pPr>
      <w:r>
        <w:t xml:space="preserve">Practitioners were selected from all optometrists who had renewed at least once with the </w:t>
      </w:r>
      <w:r w:rsidR="00527775">
        <w:t>Pharmacy</w:t>
      </w:r>
      <w:r>
        <w:t xml:space="preserve"> Board of Australia in the National Scheme. </w:t>
      </w:r>
    </w:p>
    <w:p w:rsidR="0037447E" w:rsidRDefault="007F13A8" w:rsidP="007F13A8">
      <w:pPr>
        <w:pStyle w:val="AHPRAbody"/>
      </w:pPr>
      <w:r>
        <w:t>The table below summarises how registrants selected for the audit compared to the overall population in regards to the location they practice. In terms of location of practice, these results reveal the audit sample is representative of the population of registrants as a whole.</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740"/>
        <w:gridCol w:w="1718"/>
        <w:gridCol w:w="1725"/>
        <w:gridCol w:w="1724"/>
      </w:tblGrid>
      <w:tr w:rsidR="00537C2F" w:rsidRPr="00FC4483" w:rsidTr="00537C2F">
        <w:trPr>
          <w:cantSplit/>
          <w:tblHeader/>
        </w:trPr>
        <w:tc>
          <w:tcPr>
            <w:tcW w:w="2740" w:type="dxa"/>
            <w:tcBorders>
              <w:bottom w:val="single" w:sz="24" w:space="0" w:color="FFFFFF" w:themeColor="background1"/>
            </w:tcBorders>
            <w:shd w:val="clear" w:color="auto" w:fill="007DC3"/>
          </w:tcPr>
          <w:p w:rsidR="00537C2F" w:rsidRPr="00FC4483" w:rsidRDefault="00537C2F" w:rsidP="0037447E">
            <w:pPr>
              <w:pStyle w:val="AHPRAComplextableheadings"/>
            </w:pPr>
            <w:r w:rsidRPr="00537C2F">
              <w:t>State / territory</w:t>
            </w:r>
            <w:bookmarkStart w:id="8" w:name="_GoBack"/>
            <w:bookmarkEnd w:id="8"/>
          </w:p>
        </w:tc>
        <w:tc>
          <w:tcPr>
            <w:tcW w:w="1718" w:type="dxa"/>
            <w:tcBorders>
              <w:bottom w:val="single" w:sz="24" w:space="0" w:color="FFFFFF" w:themeColor="background1"/>
            </w:tcBorders>
            <w:shd w:val="clear" w:color="auto" w:fill="007DC3"/>
          </w:tcPr>
          <w:p w:rsidR="00537C2F" w:rsidRPr="00FC4483" w:rsidRDefault="00537C2F" w:rsidP="0037447E">
            <w:pPr>
              <w:pStyle w:val="AHPRAComplextableheadings"/>
            </w:pPr>
            <w:r w:rsidRPr="00537C2F">
              <w:t>% of sample</w:t>
            </w:r>
          </w:p>
        </w:tc>
        <w:tc>
          <w:tcPr>
            <w:tcW w:w="1725" w:type="dxa"/>
            <w:tcBorders>
              <w:bottom w:val="single" w:sz="24" w:space="0" w:color="FFFFFF" w:themeColor="background1"/>
            </w:tcBorders>
            <w:shd w:val="clear" w:color="auto" w:fill="007DC3"/>
          </w:tcPr>
          <w:p w:rsidR="00537C2F" w:rsidRPr="00BB3F0B" w:rsidRDefault="00537C2F" w:rsidP="0037447E">
            <w:pPr>
              <w:pStyle w:val="AHPRAComplextableheadings"/>
            </w:pPr>
            <w:r w:rsidRPr="00537C2F">
              <w:t>Total no. of registrants</w:t>
            </w:r>
          </w:p>
        </w:tc>
        <w:tc>
          <w:tcPr>
            <w:tcW w:w="1724" w:type="dxa"/>
            <w:tcBorders>
              <w:bottom w:val="single" w:sz="24" w:space="0" w:color="FFFFFF" w:themeColor="background1"/>
            </w:tcBorders>
            <w:shd w:val="clear" w:color="auto" w:fill="007DC3"/>
          </w:tcPr>
          <w:p w:rsidR="00537C2F" w:rsidRPr="00FC4483" w:rsidRDefault="00537C2F" w:rsidP="0037447E">
            <w:pPr>
              <w:pStyle w:val="AHPRAComplextableheadings"/>
            </w:pPr>
            <w:r w:rsidRPr="00537C2F">
              <w:t>% of population</w:t>
            </w:r>
          </w:p>
        </w:tc>
      </w:tr>
      <w:tr w:rsidR="00642505" w:rsidRPr="00DC2952" w:rsidTr="00537C2F">
        <w:trPr>
          <w:cantSplit/>
        </w:trPr>
        <w:tc>
          <w:tcPr>
            <w:tcW w:w="2740" w:type="dxa"/>
            <w:tcBorders>
              <w:top w:val="single" w:sz="24" w:space="0" w:color="FFFFFF" w:themeColor="background1"/>
              <w:right w:val="single" w:sz="24" w:space="0" w:color="FFFFFF" w:themeColor="background1"/>
            </w:tcBorders>
            <w:shd w:val="clear" w:color="auto" w:fill="007DC3"/>
            <w:vAlign w:val="center"/>
          </w:tcPr>
          <w:p w:rsidR="00642505" w:rsidRDefault="00642505" w:rsidP="00537C2F">
            <w:pPr>
              <w:pStyle w:val="AHPRAComplextablerowheaders"/>
            </w:pPr>
            <w:r>
              <w:t>ACT</w:t>
            </w:r>
          </w:p>
        </w:tc>
        <w:tc>
          <w:tcPr>
            <w:tcW w:w="1718" w:type="dxa"/>
            <w:tcBorders>
              <w:top w:val="single" w:sz="24" w:space="0" w:color="FFFFFF" w:themeColor="background1"/>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1.2</w:t>
            </w:r>
          </w:p>
        </w:tc>
        <w:tc>
          <w:tcPr>
            <w:tcW w:w="1725" w:type="dxa"/>
            <w:tcBorders>
              <w:top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403</w:t>
            </w:r>
          </w:p>
        </w:tc>
        <w:tc>
          <w:tcPr>
            <w:tcW w:w="1724" w:type="dxa"/>
            <w:tcBorders>
              <w:top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1.5</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Default="00642505" w:rsidP="00537C2F">
            <w:pPr>
              <w:pStyle w:val="AHPRAComplextablerowheaders"/>
            </w:pPr>
            <w:r>
              <w:t>NSW</w:t>
            </w:r>
          </w:p>
        </w:tc>
        <w:tc>
          <w:tcPr>
            <w:tcW w:w="1718" w:type="dxa"/>
            <w:tcBorders>
              <w:left w:val="single" w:sz="24" w:space="0" w:color="FFFFFF" w:themeColor="background1"/>
            </w:tcBorders>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28.6</w:t>
            </w:r>
          </w:p>
        </w:tc>
        <w:tc>
          <w:tcPr>
            <w:tcW w:w="1725" w:type="dxa"/>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8374</w:t>
            </w:r>
          </w:p>
        </w:tc>
        <w:tc>
          <w:tcPr>
            <w:tcW w:w="1724" w:type="dxa"/>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30.7</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Default="00642505" w:rsidP="00537C2F">
            <w:pPr>
              <w:pStyle w:val="AHPRAComplextablerowheaders"/>
            </w:pPr>
            <w:r>
              <w:t>NT</w:t>
            </w:r>
          </w:p>
        </w:tc>
        <w:tc>
          <w:tcPr>
            <w:tcW w:w="1718" w:type="dxa"/>
            <w:tcBorders>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0.8</w:t>
            </w:r>
          </w:p>
        </w:tc>
        <w:tc>
          <w:tcPr>
            <w:tcW w:w="1725" w:type="dxa"/>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187</w:t>
            </w:r>
          </w:p>
        </w:tc>
        <w:tc>
          <w:tcPr>
            <w:tcW w:w="1724" w:type="dxa"/>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0.7</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Default="00642505" w:rsidP="00537C2F">
            <w:pPr>
              <w:pStyle w:val="AHPRAComplextablerowheaders"/>
            </w:pPr>
            <w:r>
              <w:t>QLD</w:t>
            </w:r>
          </w:p>
        </w:tc>
        <w:tc>
          <w:tcPr>
            <w:tcW w:w="1718" w:type="dxa"/>
            <w:tcBorders>
              <w:left w:val="single" w:sz="24" w:space="0" w:color="FFFFFF" w:themeColor="background1"/>
            </w:tcBorders>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21.4</w:t>
            </w:r>
          </w:p>
        </w:tc>
        <w:tc>
          <w:tcPr>
            <w:tcW w:w="1725" w:type="dxa"/>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5357</w:t>
            </w:r>
          </w:p>
        </w:tc>
        <w:tc>
          <w:tcPr>
            <w:tcW w:w="1724" w:type="dxa"/>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19.7</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Default="00642505" w:rsidP="00537C2F">
            <w:pPr>
              <w:pStyle w:val="AHPRAComplextablerowheaders"/>
            </w:pPr>
            <w:r>
              <w:t>SA</w:t>
            </w:r>
          </w:p>
        </w:tc>
        <w:tc>
          <w:tcPr>
            <w:tcW w:w="1718" w:type="dxa"/>
            <w:tcBorders>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7.6</w:t>
            </w:r>
          </w:p>
        </w:tc>
        <w:tc>
          <w:tcPr>
            <w:tcW w:w="1725" w:type="dxa"/>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1977</w:t>
            </w:r>
          </w:p>
        </w:tc>
        <w:tc>
          <w:tcPr>
            <w:tcW w:w="1724" w:type="dxa"/>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7.3</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Default="00642505" w:rsidP="00537C2F">
            <w:pPr>
              <w:pStyle w:val="AHPRAComplextablerowheaders"/>
            </w:pPr>
            <w:r>
              <w:t>TAS</w:t>
            </w:r>
          </w:p>
        </w:tc>
        <w:tc>
          <w:tcPr>
            <w:tcW w:w="1718" w:type="dxa"/>
            <w:tcBorders>
              <w:left w:val="single" w:sz="24" w:space="0" w:color="FFFFFF" w:themeColor="background1"/>
            </w:tcBorders>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1.2</w:t>
            </w:r>
          </w:p>
        </w:tc>
        <w:tc>
          <w:tcPr>
            <w:tcW w:w="1725" w:type="dxa"/>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651</w:t>
            </w:r>
          </w:p>
        </w:tc>
        <w:tc>
          <w:tcPr>
            <w:tcW w:w="1724" w:type="dxa"/>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2.4</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Default="00642505" w:rsidP="00537C2F">
            <w:pPr>
              <w:pStyle w:val="AHPRAComplextablerowheaders"/>
            </w:pPr>
            <w:r>
              <w:t>VIC</w:t>
            </w:r>
          </w:p>
        </w:tc>
        <w:tc>
          <w:tcPr>
            <w:tcW w:w="1718" w:type="dxa"/>
            <w:tcBorders>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25.9</w:t>
            </w:r>
          </w:p>
        </w:tc>
        <w:tc>
          <w:tcPr>
            <w:tcW w:w="1725" w:type="dxa"/>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6682</w:t>
            </w:r>
          </w:p>
        </w:tc>
        <w:tc>
          <w:tcPr>
            <w:tcW w:w="1724" w:type="dxa"/>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24.5</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Pr="00BB3F0B" w:rsidRDefault="00642505" w:rsidP="0037447E">
            <w:pPr>
              <w:pStyle w:val="AHPRAComplextablerowheaders"/>
            </w:pPr>
            <w:r>
              <w:t>WA</w:t>
            </w:r>
          </w:p>
        </w:tc>
        <w:tc>
          <w:tcPr>
            <w:tcW w:w="1718" w:type="dxa"/>
            <w:tcBorders>
              <w:left w:val="single" w:sz="24" w:space="0" w:color="FFFFFF" w:themeColor="background1"/>
            </w:tcBorders>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11.6</w:t>
            </w:r>
          </w:p>
        </w:tc>
        <w:tc>
          <w:tcPr>
            <w:tcW w:w="1725" w:type="dxa"/>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2932</w:t>
            </w:r>
          </w:p>
        </w:tc>
        <w:tc>
          <w:tcPr>
            <w:tcW w:w="1724" w:type="dxa"/>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10.8</w:t>
            </w:r>
          </w:p>
        </w:tc>
      </w:tr>
      <w:tr w:rsidR="00642505" w:rsidRPr="00DC2952" w:rsidTr="008A4A90">
        <w:trPr>
          <w:cantSplit/>
          <w:trHeight w:val="240"/>
        </w:trPr>
        <w:tc>
          <w:tcPr>
            <w:tcW w:w="2740" w:type="dxa"/>
            <w:tcBorders>
              <w:right w:val="single" w:sz="24" w:space="0" w:color="FFFFFF" w:themeColor="background1"/>
            </w:tcBorders>
            <w:shd w:val="clear" w:color="auto" w:fill="007DC3"/>
            <w:vAlign w:val="center"/>
          </w:tcPr>
          <w:p w:rsidR="00642505" w:rsidRPr="00BB3F0B" w:rsidRDefault="00642505" w:rsidP="0037447E">
            <w:pPr>
              <w:pStyle w:val="AHPRAComplextablerowheaders"/>
            </w:pPr>
            <w:r>
              <w:lastRenderedPageBreak/>
              <w:t>No PPP</w:t>
            </w:r>
          </w:p>
        </w:tc>
        <w:tc>
          <w:tcPr>
            <w:tcW w:w="1718" w:type="dxa"/>
            <w:tcBorders>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1.6</w:t>
            </w:r>
          </w:p>
        </w:tc>
        <w:tc>
          <w:tcPr>
            <w:tcW w:w="1725" w:type="dxa"/>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673</w:t>
            </w:r>
          </w:p>
        </w:tc>
        <w:tc>
          <w:tcPr>
            <w:tcW w:w="1724" w:type="dxa"/>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2.5</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Pr="00BB3F0B" w:rsidRDefault="00642505" w:rsidP="0037447E">
            <w:pPr>
              <w:pStyle w:val="AHPRAComplextablerowheaders"/>
            </w:pPr>
            <w:r>
              <w:t>Total</w:t>
            </w:r>
          </w:p>
        </w:tc>
        <w:tc>
          <w:tcPr>
            <w:tcW w:w="1718" w:type="dxa"/>
            <w:tcBorders>
              <w:lef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100</w:t>
            </w:r>
          </w:p>
        </w:tc>
        <w:tc>
          <w:tcPr>
            <w:tcW w:w="1725" w:type="dxa"/>
            <w:shd w:val="clear" w:color="auto" w:fill="007DC3"/>
            <w:vAlign w:val="center"/>
          </w:tcPr>
          <w:p w:rsidR="00642505" w:rsidRPr="00642505" w:rsidRDefault="00642505" w:rsidP="00642505">
            <w:pPr>
              <w:pStyle w:val="AHPRAComplextablerowheaders"/>
            </w:pPr>
            <w:r w:rsidRPr="00642505">
              <w:t>27236</w:t>
            </w:r>
          </w:p>
        </w:tc>
        <w:tc>
          <w:tcPr>
            <w:tcW w:w="1724" w:type="dxa"/>
            <w:shd w:val="clear" w:color="auto" w:fill="007DC3"/>
            <w:vAlign w:val="center"/>
          </w:tcPr>
          <w:p w:rsidR="00642505" w:rsidRPr="00642505" w:rsidRDefault="00642505" w:rsidP="00642505">
            <w:pPr>
              <w:pStyle w:val="AHPRAComplextablerowheaders"/>
            </w:pPr>
            <w:r w:rsidRPr="00642505">
              <w:t>100</w:t>
            </w:r>
          </w:p>
        </w:tc>
      </w:tr>
    </w:tbl>
    <w:p w:rsidR="00642505" w:rsidRDefault="00642505" w:rsidP="00642505">
      <w:pPr>
        <w:pStyle w:val="AHPRASubheadinglevel2"/>
      </w:pPr>
      <w:r>
        <w:t>Age and gender</w:t>
      </w:r>
    </w:p>
    <w:p w:rsidR="00642505" w:rsidRDefault="00642505" w:rsidP="00642505">
      <w:pPr>
        <w:pStyle w:val="AHPRAbody"/>
      </w:pPr>
      <w:r>
        <w:t>Most pharmacists are in the age range 25-29 and 30-34 with a gradual drop in percentages across age bands above 35 years old. This was observed in the age bands of those selected for audit. Approximately 60% of registered pharmacists are female and this was the split for those selected for audit. These results reveal the audit sample is representative of the population of pharmacy registrants as a whole.</w:t>
      </w:r>
    </w:p>
    <w:p w:rsidR="00537C2F" w:rsidRDefault="00537C2F" w:rsidP="00642505">
      <w:pPr>
        <w:pStyle w:val="AHPRAbody"/>
      </w:pPr>
      <w:r>
        <w:t>Assessment process</w:t>
      </w:r>
    </w:p>
    <w:p w:rsidR="00642505" w:rsidRDefault="00642505" w:rsidP="00642505">
      <w:pPr>
        <w:pStyle w:val="AHPRAbody"/>
      </w:pPr>
      <w:r>
        <w:t xml:space="preserve">The audit team comprised one Senior Assessor and up to six Audit Assessors. The increase in team size was due to three professions being audited at once as opposed to only one in the previous pilot. </w:t>
      </w:r>
    </w:p>
    <w:p w:rsidR="00642505" w:rsidRDefault="00642505" w:rsidP="00642505">
      <w:pPr>
        <w:pStyle w:val="AHPRAbody"/>
      </w:pPr>
      <w:r>
        <w:t xml:space="preserve">The assessors were experienced in processing and assessing applications for registration and renewal and also received training on the audit framework prior to the commencement of the audit period. </w:t>
      </w:r>
    </w:p>
    <w:p w:rsidR="00642505" w:rsidRDefault="00642505" w:rsidP="00642505">
      <w:pPr>
        <w:pStyle w:val="AHPRAbody"/>
      </w:pPr>
      <w:r>
        <w:t>After reviewing the material provided by practitioners, the audit assessors could:</w:t>
      </w:r>
    </w:p>
    <w:p w:rsidR="00642505" w:rsidRDefault="00642505" w:rsidP="00642505">
      <w:pPr>
        <w:pStyle w:val="AHPRABulletlevel1"/>
      </w:pPr>
      <w:r>
        <w:t>find that the practitioner had complied with all of the requirements of the registration standards</w:t>
      </w:r>
    </w:p>
    <w:p w:rsidR="00642505" w:rsidRDefault="00642505" w:rsidP="00642505">
      <w:pPr>
        <w:pStyle w:val="AHPRABulletlevel1"/>
      </w:pPr>
      <w:r>
        <w:t xml:space="preserve">find that the practitioner had not met the requirements of the registration standards, but that no further action was </w:t>
      </w:r>
      <w:r w:rsidR="006D3DA3">
        <w:t>warranted if they had at least 28 instead of the required 3</w:t>
      </w:r>
      <w:r>
        <w:t>0 credit points for CPD</w:t>
      </w:r>
    </w:p>
    <w:p w:rsidR="00642505" w:rsidRDefault="00642505" w:rsidP="00642505">
      <w:pPr>
        <w:pStyle w:val="AHPRABulletlevel1"/>
      </w:pPr>
      <w:proofErr w:type="gramStart"/>
      <w:r>
        <w:t>request</w:t>
      </w:r>
      <w:proofErr w:type="gramEnd"/>
      <w:r>
        <w:t xml:space="preserve"> further information. An email was initially sent advising practitioners they had been selected for audit.</w:t>
      </w:r>
    </w:p>
    <w:p w:rsidR="00537C2F" w:rsidRDefault="00537C2F" w:rsidP="00642505">
      <w:pPr>
        <w:pStyle w:val="AHPRABulletlevel1last"/>
        <w:numPr>
          <w:ilvl w:val="0"/>
          <w:numId w:val="0"/>
        </w:numPr>
        <w:ind w:left="369"/>
      </w:pPr>
    </w:p>
    <w:p w:rsidR="00537C2F" w:rsidRDefault="00537C2F" w:rsidP="00537C2F">
      <w:pPr>
        <w:pStyle w:val="AHPRASubheading"/>
      </w:pPr>
      <w:r>
        <w:t>Audit results</w:t>
      </w:r>
    </w:p>
    <w:p w:rsidR="00537C2F" w:rsidRDefault="00537C2F" w:rsidP="00537C2F">
      <w:pPr>
        <w:pStyle w:val="AHPRASubheadinglevel2"/>
      </w:pPr>
      <w:r>
        <w:t>Audit outcomes</w:t>
      </w:r>
    </w:p>
    <w:p w:rsidR="000F5D90" w:rsidRPr="000E7E28" w:rsidRDefault="007F13A8" w:rsidP="00537C2F">
      <w:pPr>
        <w:pStyle w:val="AHPRAbody"/>
      </w:pPr>
      <w:r w:rsidRPr="007F13A8">
        <w:t>As with the previous pilot, each audited practitioner was allocated into one of the fol</w:t>
      </w:r>
      <w:r>
        <w:t>lowing audit outcome categories</w:t>
      </w:r>
      <w:r w:rsidR="00537C2F">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740"/>
        <w:gridCol w:w="5023"/>
        <w:gridCol w:w="1843"/>
      </w:tblGrid>
      <w:tr w:rsidR="00537C2F" w:rsidRPr="00FC4483" w:rsidTr="00537C2F">
        <w:trPr>
          <w:cantSplit/>
          <w:tblHeader/>
        </w:trPr>
        <w:tc>
          <w:tcPr>
            <w:tcW w:w="2740" w:type="dxa"/>
            <w:tcBorders>
              <w:bottom w:val="single" w:sz="24" w:space="0" w:color="FFFFFF" w:themeColor="background1"/>
            </w:tcBorders>
            <w:shd w:val="clear" w:color="auto" w:fill="007DC3"/>
          </w:tcPr>
          <w:p w:rsidR="00537C2F" w:rsidRPr="00FC4483" w:rsidRDefault="00537C2F" w:rsidP="00537C2F">
            <w:pPr>
              <w:pStyle w:val="AHPRAComplextableheadings"/>
            </w:pPr>
            <w:r w:rsidRPr="00537C2F">
              <w:t>Audit outcome category</w:t>
            </w:r>
          </w:p>
        </w:tc>
        <w:tc>
          <w:tcPr>
            <w:tcW w:w="5023" w:type="dxa"/>
            <w:tcBorders>
              <w:bottom w:val="single" w:sz="24" w:space="0" w:color="FFFFFF" w:themeColor="background1"/>
            </w:tcBorders>
            <w:shd w:val="clear" w:color="auto" w:fill="007DC3"/>
          </w:tcPr>
          <w:p w:rsidR="00537C2F" w:rsidRPr="00FC4483" w:rsidRDefault="00537C2F" w:rsidP="00537C2F">
            <w:pPr>
              <w:pStyle w:val="AHPRAComplextableheadings"/>
            </w:pPr>
            <w:r w:rsidRPr="00537C2F">
              <w:t>Description</w:t>
            </w:r>
          </w:p>
        </w:tc>
        <w:tc>
          <w:tcPr>
            <w:tcW w:w="1843" w:type="dxa"/>
            <w:tcBorders>
              <w:bottom w:val="single" w:sz="24" w:space="0" w:color="FFFFFF" w:themeColor="background1"/>
            </w:tcBorders>
            <w:shd w:val="clear" w:color="auto" w:fill="007DC3"/>
          </w:tcPr>
          <w:p w:rsidR="00537C2F" w:rsidRPr="00BB3F0B" w:rsidRDefault="00537C2F" w:rsidP="00642505">
            <w:pPr>
              <w:pStyle w:val="AHPRAComplextableheadings"/>
            </w:pPr>
            <w:r w:rsidRPr="00537C2F">
              <w:t>% of practitioners</w:t>
            </w:r>
          </w:p>
        </w:tc>
      </w:tr>
      <w:tr w:rsidR="00642505" w:rsidRPr="00DC2952" w:rsidTr="00537C2F">
        <w:trPr>
          <w:cantSplit/>
        </w:trPr>
        <w:tc>
          <w:tcPr>
            <w:tcW w:w="2740" w:type="dxa"/>
            <w:tcBorders>
              <w:top w:val="single" w:sz="24" w:space="0" w:color="FFFFFF" w:themeColor="background1"/>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Completed the audit</w:t>
            </w:r>
          </w:p>
        </w:tc>
        <w:tc>
          <w:tcPr>
            <w:tcW w:w="5023" w:type="dxa"/>
            <w:tcBorders>
              <w:top w:val="single" w:sz="24" w:space="0" w:color="FFFFFF" w:themeColor="background1"/>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Practitioners that submitted a renewal request, were audited and sent a successful renewal outcome letter</w:t>
            </w:r>
          </w:p>
        </w:tc>
        <w:tc>
          <w:tcPr>
            <w:tcW w:w="1843" w:type="dxa"/>
            <w:tcBorders>
              <w:top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 xml:space="preserve">92.2 </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Changed to non-practising</w:t>
            </w:r>
          </w:p>
        </w:tc>
        <w:tc>
          <w:tcPr>
            <w:tcW w:w="5023" w:type="dxa"/>
            <w:tcBorders>
              <w:left w:val="single" w:sz="24" w:space="0" w:color="FFFFFF" w:themeColor="background1"/>
            </w:tcBorders>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Practitioners who prior or during the audit and renewal period changed to a ‘non-practising’ status</w:t>
            </w:r>
          </w:p>
        </w:tc>
        <w:tc>
          <w:tcPr>
            <w:tcW w:w="1843" w:type="dxa"/>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 xml:space="preserve"> 1.4</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Failed to renew</w:t>
            </w:r>
          </w:p>
        </w:tc>
        <w:tc>
          <w:tcPr>
            <w:tcW w:w="5023" w:type="dxa"/>
            <w:tcBorders>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Practitioners who did not respond to the renewal request which would mean their registration being administratively withdrawn</w:t>
            </w:r>
          </w:p>
        </w:tc>
        <w:tc>
          <w:tcPr>
            <w:tcW w:w="1843" w:type="dxa"/>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 xml:space="preserve">2.7 </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Board submission</w:t>
            </w:r>
          </w:p>
        </w:tc>
        <w:tc>
          <w:tcPr>
            <w:tcW w:w="5023" w:type="dxa"/>
            <w:tcBorders>
              <w:left w:val="single" w:sz="24" w:space="0" w:color="FFFFFF" w:themeColor="background1"/>
            </w:tcBorders>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Board submission numbers related to those practitioners who did not comply with one or more standards at the time of the audit.</w:t>
            </w:r>
          </w:p>
          <w:p w:rsidR="00642505" w:rsidRPr="00642505" w:rsidRDefault="00642505" w:rsidP="00642505">
            <w:pPr>
              <w:pStyle w:val="AHPRAComplextablerowheaders"/>
              <w:rPr>
                <w:color w:val="000000" w:themeColor="text1"/>
              </w:rPr>
            </w:pPr>
            <w:r w:rsidRPr="00642505">
              <w:rPr>
                <w:color w:val="000000" w:themeColor="text1"/>
              </w:rPr>
              <w:t>Reasons for board submission:</w:t>
            </w:r>
          </w:p>
          <w:p w:rsidR="00642505" w:rsidRPr="00642505" w:rsidRDefault="00642505" w:rsidP="00642505">
            <w:pPr>
              <w:pStyle w:val="AHPRAComplextablerowheaders"/>
              <w:rPr>
                <w:color w:val="000000" w:themeColor="text1"/>
              </w:rPr>
            </w:pPr>
            <w:proofErr w:type="gramStart"/>
            <w:r w:rsidRPr="00642505">
              <w:rPr>
                <w:color w:val="000000" w:themeColor="text1"/>
              </w:rPr>
              <w:t>failed</w:t>
            </w:r>
            <w:proofErr w:type="gramEnd"/>
            <w:r w:rsidRPr="00642505">
              <w:rPr>
                <w:color w:val="000000" w:themeColor="text1"/>
              </w:rPr>
              <w:t xml:space="preserve"> CPD (20%) </w:t>
            </w:r>
          </w:p>
          <w:p w:rsidR="00642505" w:rsidRPr="00642505" w:rsidRDefault="00642505" w:rsidP="00642505">
            <w:pPr>
              <w:pStyle w:val="AHPRAComplextablerowheaders"/>
              <w:rPr>
                <w:color w:val="000000" w:themeColor="text1"/>
              </w:rPr>
            </w:pPr>
            <w:proofErr w:type="gramStart"/>
            <w:r w:rsidRPr="00642505">
              <w:rPr>
                <w:color w:val="000000" w:themeColor="text1"/>
              </w:rPr>
              <w:t>failed</w:t>
            </w:r>
            <w:proofErr w:type="gramEnd"/>
            <w:r w:rsidRPr="00642505">
              <w:rPr>
                <w:color w:val="000000" w:themeColor="text1"/>
              </w:rPr>
              <w:t xml:space="preserve"> PII (20%)</w:t>
            </w:r>
          </w:p>
          <w:p w:rsidR="00642505" w:rsidRPr="00642505" w:rsidRDefault="00642505" w:rsidP="00642505">
            <w:pPr>
              <w:pStyle w:val="AHPRAComplextablerowheaders"/>
              <w:rPr>
                <w:color w:val="000000" w:themeColor="text1"/>
              </w:rPr>
            </w:pPr>
            <w:proofErr w:type="gramStart"/>
            <w:r w:rsidRPr="00642505">
              <w:rPr>
                <w:color w:val="000000" w:themeColor="text1"/>
              </w:rPr>
              <w:t>failed</w:t>
            </w:r>
            <w:proofErr w:type="gramEnd"/>
            <w:r w:rsidRPr="00642505">
              <w:rPr>
                <w:color w:val="000000" w:themeColor="text1"/>
              </w:rPr>
              <w:t xml:space="preserve"> </w:t>
            </w:r>
            <w:proofErr w:type="spellStart"/>
            <w:r w:rsidRPr="00642505">
              <w:rPr>
                <w:color w:val="000000" w:themeColor="text1"/>
              </w:rPr>
              <w:t>RoP</w:t>
            </w:r>
            <w:proofErr w:type="spellEnd"/>
            <w:r w:rsidRPr="00642505">
              <w:rPr>
                <w:color w:val="000000" w:themeColor="text1"/>
              </w:rPr>
              <w:t xml:space="preserve"> (60%)</w:t>
            </w:r>
          </w:p>
        </w:tc>
        <w:tc>
          <w:tcPr>
            <w:tcW w:w="1843" w:type="dxa"/>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2.0</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lastRenderedPageBreak/>
              <w:t>Withdrew application</w:t>
            </w:r>
          </w:p>
        </w:tc>
        <w:tc>
          <w:tcPr>
            <w:tcW w:w="5023" w:type="dxa"/>
            <w:tcBorders>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Those practitioners who made their intention known they would not renew or during the renewal process decided to withdraw after seeking further information from the audit team</w:t>
            </w:r>
          </w:p>
        </w:tc>
        <w:tc>
          <w:tcPr>
            <w:tcW w:w="1843" w:type="dxa"/>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 xml:space="preserve">1.2 </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Other</w:t>
            </w:r>
          </w:p>
        </w:tc>
        <w:tc>
          <w:tcPr>
            <w:tcW w:w="5023" w:type="dxa"/>
            <w:tcBorders>
              <w:left w:val="single" w:sz="24" w:space="0" w:color="FFFFFF" w:themeColor="background1"/>
            </w:tcBorders>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 xml:space="preserve">Those practitioners that did not complete the audit process due to unforeseen circumstances </w:t>
            </w:r>
          </w:p>
        </w:tc>
        <w:tc>
          <w:tcPr>
            <w:tcW w:w="1843" w:type="dxa"/>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0.4</w:t>
            </w:r>
          </w:p>
        </w:tc>
      </w:tr>
    </w:tbl>
    <w:p w:rsidR="00642505" w:rsidRDefault="00642505" w:rsidP="007F13A8">
      <w:pPr>
        <w:pStyle w:val="AHPRAbody"/>
      </w:pPr>
    </w:p>
    <w:p w:rsidR="00E77E23" w:rsidRDefault="00642505" w:rsidP="007F13A8">
      <w:pPr>
        <w:pStyle w:val="AHPRAbody"/>
      </w:pPr>
      <w:r w:rsidRPr="00642505">
        <w:t>The report provided by the external statistician states that these results can be interpreted with 95% certainty that the true number of compliant registrants for all registration standards out of all registered pharmacists eligible to be audited would be 25124 (92.2%). The table below demonstrates how these main results from the audit can be applied to the total practitioner population.</w:t>
      </w:r>
      <w:r w:rsidR="000F5D90" w:rsidRPr="000E7E28">
        <w:tab/>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740"/>
        <w:gridCol w:w="5023"/>
      </w:tblGrid>
      <w:tr w:rsidR="005255E3" w:rsidRPr="00FC4483" w:rsidTr="00537C2F">
        <w:trPr>
          <w:cantSplit/>
          <w:tblHeader/>
        </w:trPr>
        <w:tc>
          <w:tcPr>
            <w:tcW w:w="2740" w:type="dxa"/>
            <w:tcBorders>
              <w:bottom w:val="single" w:sz="24" w:space="0" w:color="FFFFFF" w:themeColor="background1"/>
            </w:tcBorders>
            <w:shd w:val="clear" w:color="auto" w:fill="007DC3"/>
          </w:tcPr>
          <w:p w:rsidR="005255E3" w:rsidRPr="00FC4483" w:rsidRDefault="005255E3" w:rsidP="00537C2F">
            <w:pPr>
              <w:pStyle w:val="AHPRAComplextableheadings"/>
            </w:pPr>
            <w:r w:rsidRPr="005255E3">
              <w:t>Outcome</w:t>
            </w:r>
          </w:p>
        </w:tc>
        <w:tc>
          <w:tcPr>
            <w:tcW w:w="5023" w:type="dxa"/>
            <w:tcBorders>
              <w:bottom w:val="single" w:sz="24" w:space="0" w:color="FFFFFF" w:themeColor="background1"/>
            </w:tcBorders>
            <w:shd w:val="clear" w:color="auto" w:fill="007DC3"/>
          </w:tcPr>
          <w:p w:rsidR="005255E3" w:rsidRPr="00FC4483" w:rsidRDefault="005255E3" w:rsidP="00537C2F">
            <w:pPr>
              <w:pStyle w:val="AHPRAComplextableheadings"/>
            </w:pPr>
            <w:r w:rsidRPr="005255E3">
              <w:t>Percentage (best estimate)</w:t>
            </w:r>
          </w:p>
        </w:tc>
      </w:tr>
      <w:tr w:rsidR="00642505" w:rsidRPr="00DC2952" w:rsidTr="00537C2F">
        <w:trPr>
          <w:cantSplit/>
        </w:trPr>
        <w:tc>
          <w:tcPr>
            <w:tcW w:w="2740" w:type="dxa"/>
            <w:tcBorders>
              <w:top w:val="single" w:sz="24" w:space="0" w:color="FFFFFF" w:themeColor="background1"/>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Completed the audit</w:t>
            </w:r>
          </w:p>
        </w:tc>
        <w:tc>
          <w:tcPr>
            <w:tcW w:w="5023" w:type="dxa"/>
            <w:tcBorders>
              <w:top w:val="single" w:sz="24" w:space="0" w:color="FFFFFF" w:themeColor="background1"/>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92.2</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Changed to non-practising</w:t>
            </w:r>
          </w:p>
        </w:tc>
        <w:tc>
          <w:tcPr>
            <w:tcW w:w="5023" w:type="dxa"/>
            <w:tcBorders>
              <w:left w:val="single" w:sz="24" w:space="0" w:color="FFFFFF" w:themeColor="background1"/>
            </w:tcBorders>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1.4</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Failed to renew</w:t>
            </w:r>
          </w:p>
        </w:tc>
        <w:tc>
          <w:tcPr>
            <w:tcW w:w="5023" w:type="dxa"/>
            <w:tcBorders>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2.0</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Board submission</w:t>
            </w:r>
          </w:p>
        </w:tc>
        <w:tc>
          <w:tcPr>
            <w:tcW w:w="5023" w:type="dxa"/>
            <w:tcBorders>
              <w:left w:val="single" w:sz="24" w:space="0" w:color="FFFFFF" w:themeColor="background1"/>
            </w:tcBorders>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2.7</w:t>
            </w:r>
          </w:p>
        </w:tc>
      </w:tr>
      <w:tr w:rsidR="00642505" w:rsidRPr="00DC2952" w:rsidTr="00537C2F">
        <w:trPr>
          <w:cantSplit/>
        </w:trPr>
        <w:tc>
          <w:tcPr>
            <w:tcW w:w="2740" w:type="dxa"/>
            <w:tcBorders>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Withdrew application</w:t>
            </w:r>
          </w:p>
        </w:tc>
        <w:tc>
          <w:tcPr>
            <w:tcW w:w="5023" w:type="dxa"/>
            <w:tcBorders>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1.2</w:t>
            </w:r>
          </w:p>
        </w:tc>
      </w:tr>
    </w:tbl>
    <w:p w:rsidR="00537C2F" w:rsidRDefault="00537C2F" w:rsidP="00537C2F">
      <w:pPr>
        <w:pStyle w:val="AHPRAbody"/>
      </w:pPr>
    </w:p>
    <w:p w:rsidR="005255E3" w:rsidRDefault="005255E3" w:rsidP="005255E3">
      <w:pPr>
        <w:pStyle w:val="AHPRASubheadinglevel2"/>
      </w:pPr>
      <w:r>
        <w:t>Assessment process</w:t>
      </w:r>
    </w:p>
    <w:p w:rsidR="005255E3" w:rsidRDefault="005255E3" w:rsidP="005255E3">
      <w:pPr>
        <w:pStyle w:val="AHPRAbody"/>
      </w:pPr>
      <w:r>
        <w:t>For the purposes of this report, the process is divided into three stages: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740"/>
        <w:gridCol w:w="5023"/>
        <w:gridCol w:w="1843"/>
      </w:tblGrid>
      <w:tr w:rsidR="005255E3" w:rsidRPr="00FC4483" w:rsidTr="007F13A8">
        <w:trPr>
          <w:cantSplit/>
          <w:tblHeader/>
        </w:trPr>
        <w:tc>
          <w:tcPr>
            <w:tcW w:w="2740" w:type="dxa"/>
            <w:tcBorders>
              <w:bottom w:val="single" w:sz="24" w:space="0" w:color="FFFFFF" w:themeColor="background1"/>
            </w:tcBorders>
            <w:shd w:val="clear" w:color="auto" w:fill="007DC3"/>
          </w:tcPr>
          <w:p w:rsidR="005255E3" w:rsidRPr="00FC4483" w:rsidRDefault="005255E3" w:rsidP="005255E3">
            <w:pPr>
              <w:pStyle w:val="AHPRAComplextableheadings"/>
            </w:pPr>
            <w:r w:rsidRPr="00537C2F">
              <w:t xml:space="preserve">Audit </w:t>
            </w:r>
            <w:r>
              <w:t>stage</w:t>
            </w:r>
          </w:p>
        </w:tc>
        <w:tc>
          <w:tcPr>
            <w:tcW w:w="5023" w:type="dxa"/>
            <w:tcBorders>
              <w:bottom w:val="single" w:sz="24" w:space="0" w:color="FFFFFF" w:themeColor="background1"/>
            </w:tcBorders>
            <w:shd w:val="clear" w:color="auto" w:fill="007DC3"/>
          </w:tcPr>
          <w:p w:rsidR="005255E3" w:rsidRPr="00FC4483" w:rsidRDefault="005255E3" w:rsidP="007F13A8">
            <w:pPr>
              <w:pStyle w:val="AHPRAComplextableheadings"/>
            </w:pPr>
            <w:r w:rsidRPr="00537C2F">
              <w:t>Description</w:t>
            </w:r>
          </w:p>
        </w:tc>
        <w:tc>
          <w:tcPr>
            <w:tcW w:w="1843" w:type="dxa"/>
            <w:tcBorders>
              <w:bottom w:val="single" w:sz="24" w:space="0" w:color="FFFFFF" w:themeColor="background1"/>
            </w:tcBorders>
            <w:shd w:val="clear" w:color="auto" w:fill="007DC3"/>
          </w:tcPr>
          <w:p w:rsidR="005255E3" w:rsidRPr="00BB3F0B" w:rsidRDefault="005255E3" w:rsidP="007F13A8">
            <w:pPr>
              <w:pStyle w:val="AHPRAComplextableheadings"/>
            </w:pPr>
            <w:r>
              <w:t>Results</w:t>
            </w:r>
          </w:p>
        </w:tc>
      </w:tr>
      <w:tr w:rsidR="00642505" w:rsidRPr="005255E3" w:rsidTr="007F13A8">
        <w:trPr>
          <w:cantSplit/>
        </w:trPr>
        <w:tc>
          <w:tcPr>
            <w:tcW w:w="2740" w:type="dxa"/>
            <w:tcBorders>
              <w:top w:val="single" w:sz="24" w:space="0" w:color="FFFFFF" w:themeColor="background1"/>
              <w:right w:val="single" w:sz="24" w:space="0" w:color="FFFFFF" w:themeColor="background1"/>
            </w:tcBorders>
            <w:shd w:val="clear" w:color="auto" w:fill="007DC3"/>
            <w:vAlign w:val="center"/>
          </w:tcPr>
          <w:p w:rsidR="00642505" w:rsidRDefault="00642505" w:rsidP="005255E3">
            <w:pPr>
              <w:pStyle w:val="AHPRAComplextablerowheaders"/>
            </w:pPr>
            <w:r>
              <w:t>Renewal request</w:t>
            </w:r>
          </w:p>
        </w:tc>
        <w:tc>
          <w:tcPr>
            <w:tcW w:w="5023" w:type="dxa"/>
            <w:tcBorders>
              <w:top w:val="single" w:sz="24" w:space="0" w:color="FFFFFF" w:themeColor="background1"/>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When practitioners make their intention to renew their registration (either online or via submission of a paper form)</w:t>
            </w:r>
          </w:p>
        </w:tc>
        <w:tc>
          <w:tcPr>
            <w:tcW w:w="1843" w:type="dxa"/>
            <w:tcBorders>
              <w:top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 xml:space="preserve">96% of practitioners applied to renew by the close of the formal renew period (30 November 2012)  </w:t>
            </w:r>
          </w:p>
        </w:tc>
      </w:tr>
      <w:tr w:rsidR="00642505" w:rsidRPr="005255E3" w:rsidTr="007F13A8">
        <w:trPr>
          <w:cantSplit/>
        </w:trPr>
        <w:tc>
          <w:tcPr>
            <w:tcW w:w="2740" w:type="dxa"/>
            <w:tcBorders>
              <w:right w:val="single" w:sz="24" w:space="0" w:color="FFFFFF" w:themeColor="background1"/>
            </w:tcBorders>
            <w:shd w:val="clear" w:color="auto" w:fill="007DC3"/>
            <w:vAlign w:val="center"/>
          </w:tcPr>
          <w:p w:rsidR="00642505" w:rsidRDefault="00642505" w:rsidP="005255E3">
            <w:pPr>
              <w:pStyle w:val="AHPRAComplextablerowheaders"/>
            </w:pPr>
            <w:r>
              <w:t>Audit response</w:t>
            </w:r>
          </w:p>
        </w:tc>
        <w:tc>
          <w:tcPr>
            <w:tcW w:w="5023" w:type="dxa"/>
            <w:tcBorders>
              <w:left w:val="single" w:sz="24" w:space="0" w:color="FFFFFF" w:themeColor="background1"/>
            </w:tcBorders>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When supporting evidence has been receipted by the audit team to begin assessment</w:t>
            </w:r>
          </w:p>
        </w:tc>
        <w:tc>
          <w:tcPr>
            <w:tcW w:w="1843" w:type="dxa"/>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 xml:space="preserve">Number of days to respond </w:t>
            </w:r>
          </w:p>
          <w:p w:rsidR="00642505" w:rsidRPr="00642505" w:rsidRDefault="00642505" w:rsidP="00642505">
            <w:pPr>
              <w:pStyle w:val="AHPRAComplextablerowheaders"/>
              <w:rPr>
                <w:color w:val="000000" w:themeColor="text1"/>
              </w:rPr>
            </w:pPr>
            <w:r w:rsidRPr="00642505">
              <w:rPr>
                <w:color w:val="000000" w:themeColor="text1"/>
              </w:rPr>
              <w:t>Average: 26</w:t>
            </w:r>
          </w:p>
          <w:p w:rsidR="00642505" w:rsidRPr="00642505" w:rsidRDefault="00642505" w:rsidP="00642505">
            <w:pPr>
              <w:pStyle w:val="AHPRAComplextablerowheaders"/>
              <w:rPr>
                <w:color w:val="000000" w:themeColor="text1"/>
              </w:rPr>
            </w:pPr>
            <w:r w:rsidRPr="00642505">
              <w:rPr>
                <w:color w:val="000000" w:themeColor="text1"/>
              </w:rPr>
              <w:t>Maximum: 128</w:t>
            </w:r>
          </w:p>
        </w:tc>
      </w:tr>
      <w:tr w:rsidR="00642505" w:rsidRPr="005255E3" w:rsidTr="007F13A8">
        <w:trPr>
          <w:cantSplit/>
        </w:trPr>
        <w:tc>
          <w:tcPr>
            <w:tcW w:w="2740" w:type="dxa"/>
            <w:tcBorders>
              <w:right w:val="single" w:sz="24" w:space="0" w:color="FFFFFF" w:themeColor="background1"/>
            </w:tcBorders>
            <w:shd w:val="clear" w:color="auto" w:fill="007DC3"/>
            <w:vAlign w:val="center"/>
          </w:tcPr>
          <w:p w:rsidR="00642505" w:rsidRDefault="00642505" w:rsidP="005255E3">
            <w:pPr>
              <w:pStyle w:val="AHPRAComplextablerowheaders"/>
            </w:pPr>
            <w:r>
              <w:t>Audit completion</w:t>
            </w:r>
          </w:p>
        </w:tc>
        <w:tc>
          <w:tcPr>
            <w:tcW w:w="5023" w:type="dxa"/>
            <w:tcBorders>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When the audit team have assessed a practitioner against all four standards and flag the audit as being successfully completed</w:t>
            </w:r>
          </w:p>
        </w:tc>
        <w:tc>
          <w:tcPr>
            <w:tcW w:w="1843" w:type="dxa"/>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 xml:space="preserve">Days for audit completion: </w:t>
            </w:r>
          </w:p>
          <w:p w:rsidR="00642505" w:rsidRPr="00642505" w:rsidRDefault="00642505" w:rsidP="00642505">
            <w:pPr>
              <w:pStyle w:val="AHPRAComplextablerowheaders"/>
              <w:rPr>
                <w:color w:val="000000" w:themeColor="text1"/>
              </w:rPr>
            </w:pPr>
            <w:r w:rsidRPr="00642505">
              <w:rPr>
                <w:color w:val="000000" w:themeColor="text1"/>
              </w:rPr>
              <w:t>Average: 59</w:t>
            </w:r>
          </w:p>
          <w:p w:rsidR="00642505" w:rsidRPr="00642505" w:rsidRDefault="00642505" w:rsidP="00642505">
            <w:pPr>
              <w:pStyle w:val="AHPRAComplextablerowheaders"/>
              <w:rPr>
                <w:color w:val="000000" w:themeColor="text1"/>
              </w:rPr>
            </w:pPr>
            <w:r w:rsidRPr="00642505">
              <w:rPr>
                <w:color w:val="000000" w:themeColor="text1"/>
              </w:rPr>
              <w:t>Minimum: 12</w:t>
            </w:r>
          </w:p>
          <w:p w:rsidR="00642505" w:rsidRPr="00642505" w:rsidRDefault="00642505" w:rsidP="00642505">
            <w:pPr>
              <w:pStyle w:val="AHPRAComplextablerowheaders"/>
              <w:rPr>
                <w:color w:val="000000" w:themeColor="text1"/>
              </w:rPr>
            </w:pPr>
            <w:r w:rsidRPr="00642505">
              <w:rPr>
                <w:color w:val="000000" w:themeColor="text1"/>
              </w:rPr>
              <w:t xml:space="preserve">Maximum: 128 </w:t>
            </w:r>
          </w:p>
        </w:tc>
      </w:tr>
    </w:tbl>
    <w:p w:rsidR="005437FB" w:rsidRDefault="005437FB">
      <w:pPr>
        <w:spacing w:after="0"/>
        <w:rPr>
          <w:b/>
          <w:sz w:val="20"/>
        </w:rPr>
      </w:pPr>
    </w:p>
    <w:p w:rsidR="005255E3" w:rsidRDefault="005255E3" w:rsidP="005255E3">
      <w:pPr>
        <w:pStyle w:val="AHPRASubheadinglevel2"/>
      </w:pPr>
      <w:r>
        <w:lastRenderedPageBreak/>
        <w:t>Request for additional information</w:t>
      </w:r>
    </w:p>
    <w:p w:rsidR="005255E3" w:rsidRDefault="005255E3" w:rsidP="005255E3">
      <w:pPr>
        <w:pStyle w:val="AHPRAbody"/>
      </w:pPr>
      <w:r>
        <w:t xml:space="preserve">Additional information was requested from practitioners for a number of reasons. </w:t>
      </w:r>
    </w:p>
    <w:p w:rsidR="005255E3" w:rsidRDefault="005255E3" w:rsidP="005255E3">
      <w:pPr>
        <w:pStyle w:val="AHPRABulletlevel1"/>
      </w:pPr>
      <w:r>
        <w:t>No documentation provided with audit checklist</w:t>
      </w:r>
    </w:p>
    <w:p w:rsidR="005255E3" w:rsidRDefault="005255E3" w:rsidP="005255E3">
      <w:pPr>
        <w:pStyle w:val="AHPRABulletlevel1"/>
      </w:pPr>
      <w:r>
        <w:t>Certificate of currency and/or invitation to renew insurance not supplied</w:t>
      </w:r>
    </w:p>
    <w:p w:rsidR="005255E3" w:rsidRDefault="005255E3" w:rsidP="005255E3">
      <w:pPr>
        <w:pStyle w:val="AHPRABulletlevel1"/>
      </w:pPr>
      <w:r>
        <w:t xml:space="preserve">CPD log incomplete or further clarification of entries required </w:t>
      </w:r>
    </w:p>
    <w:p w:rsidR="005255E3" w:rsidRDefault="005255E3" w:rsidP="005255E3">
      <w:pPr>
        <w:pStyle w:val="AHPRABulletlevel1last"/>
      </w:pPr>
      <w:r>
        <w:t>Statement of service from employer (those employed) or Statutory Declaration (those self employed) not provided, filled out incorrectly, was illegible or supplied in the incorrect format.</w:t>
      </w:r>
    </w:p>
    <w:p w:rsidR="005255E3" w:rsidRDefault="005255E3" w:rsidP="005255E3">
      <w:pPr>
        <w:pStyle w:val="AHPRAbody"/>
      </w:pPr>
      <w:r>
        <w:t xml:space="preserve">The average number of </w:t>
      </w:r>
      <w:proofErr w:type="gramStart"/>
      <w:r>
        <w:t>days</w:t>
      </w:r>
      <w:proofErr w:type="gramEnd"/>
      <w:r>
        <w:t xml:space="preserve"> practitioners took to respond to provide further information (approximately 5–9 days).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763"/>
        <w:gridCol w:w="1843"/>
      </w:tblGrid>
      <w:tr w:rsidR="008A4A90" w:rsidRPr="00FC4483" w:rsidTr="008A4A90">
        <w:trPr>
          <w:cantSplit/>
          <w:tblHeader/>
        </w:trPr>
        <w:tc>
          <w:tcPr>
            <w:tcW w:w="7763" w:type="dxa"/>
            <w:tcBorders>
              <w:bottom w:val="single" w:sz="24" w:space="0" w:color="FFFFFF" w:themeColor="background1"/>
            </w:tcBorders>
            <w:shd w:val="clear" w:color="auto" w:fill="007DC3"/>
          </w:tcPr>
          <w:p w:rsidR="008A4A90" w:rsidRPr="00FC4483" w:rsidRDefault="008A4A90" w:rsidP="007F13A8">
            <w:pPr>
              <w:pStyle w:val="AHPRAComplextableheadings"/>
            </w:pPr>
          </w:p>
        </w:tc>
        <w:tc>
          <w:tcPr>
            <w:tcW w:w="1843" w:type="dxa"/>
            <w:tcBorders>
              <w:bottom w:val="single" w:sz="24" w:space="0" w:color="FFFFFF" w:themeColor="background1"/>
            </w:tcBorders>
            <w:shd w:val="clear" w:color="auto" w:fill="007DC3"/>
          </w:tcPr>
          <w:p w:rsidR="008A4A90" w:rsidRPr="00FC4483" w:rsidRDefault="008A4A90" w:rsidP="007F13A8">
            <w:pPr>
              <w:pStyle w:val="AHPRAComplextableheadings"/>
            </w:pPr>
            <w:r>
              <w:t>Results</w:t>
            </w:r>
          </w:p>
        </w:tc>
      </w:tr>
      <w:tr w:rsidR="00642505" w:rsidRPr="00DC2952" w:rsidTr="008A4A90">
        <w:trPr>
          <w:cantSplit/>
        </w:trPr>
        <w:tc>
          <w:tcPr>
            <w:tcW w:w="7763" w:type="dxa"/>
            <w:tcBorders>
              <w:top w:val="single" w:sz="24" w:space="0" w:color="FFFFFF" w:themeColor="background1"/>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Avg. no. of days to respond to request for further info.</w:t>
            </w:r>
          </w:p>
        </w:tc>
        <w:tc>
          <w:tcPr>
            <w:tcW w:w="1843" w:type="dxa"/>
            <w:tcBorders>
              <w:top w:val="single" w:sz="24" w:space="0" w:color="FFFFFF" w:themeColor="background1"/>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8.79</w:t>
            </w:r>
          </w:p>
        </w:tc>
      </w:tr>
      <w:tr w:rsidR="00642505" w:rsidRPr="00DC2952" w:rsidTr="008A4A90">
        <w:trPr>
          <w:cantSplit/>
        </w:trPr>
        <w:tc>
          <w:tcPr>
            <w:tcW w:w="7763" w:type="dxa"/>
            <w:tcBorders>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Percentage of audit group that required further info.</w:t>
            </w:r>
          </w:p>
        </w:tc>
        <w:tc>
          <w:tcPr>
            <w:tcW w:w="1843" w:type="dxa"/>
            <w:tcBorders>
              <w:left w:val="single" w:sz="24" w:space="0" w:color="FFFFFF" w:themeColor="background1"/>
            </w:tcBorders>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64.69%</w:t>
            </w:r>
          </w:p>
        </w:tc>
      </w:tr>
      <w:tr w:rsidR="00642505" w:rsidRPr="00DC2952" w:rsidTr="008A4A90">
        <w:trPr>
          <w:cantSplit/>
        </w:trPr>
        <w:tc>
          <w:tcPr>
            <w:tcW w:w="7763" w:type="dxa"/>
            <w:tcBorders>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Avg. no. of times further info. was requested</w:t>
            </w:r>
          </w:p>
        </w:tc>
        <w:tc>
          <w:tcPr>
            <w:tcW w:w="1843" w:type="dxa"/>
            <w:tcBorders>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1.17</w:t>
            </w:r>
          </w:p>
        </w:tc>
      </w:tr>
      <w:tr w:rsidR="00642505" w:rsidRPr="00DC2952" w:rsidTr="008A4A90">
        <w:trPr>
          <w:cantSplit/>
        </w:trPr>
        <w:tc>
          <w:tcPr>
            <w:tcW w:w="7763" w:type="dxa"/>
            <w:tcBorders>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 of practitioners where further info. was requested at least once</w:t>
            </w:r>
          </w:p>
        </w:tc>
        <w:tc>
          <w:tcPr>
            <w:tcW w:w="1843" w:type="dxa"/>
            <w:tcBorders>
              <w:left w:val="single" w:sz="24" w:space="0" w:color="FFFFFF" w:themeColor="background1"/>
            </w:tcBorders>
            <w:shd w:val="clear" w:color="auto" w:fill="D9D9D9" w:themeFill="background1" w:themeFillShade="D9"/>
            <w:vAlign w:val="center"/>
          </w:tcPr>
          <w:p w:rsidR="00642505" w:rsidRPr="00642505" w:rsidRDefault="00642505" w:rsidP="00642505">
            <w:pPr>
              <w:pStyle w:val="AHPRAComplextablerowheaders"/>
              <w:rPr>
                <w:color w:val="000000" w:themeColor="text1"/>
              </w:rPr>
            </w:pPr>
            <w:r w:rsidRPr="00642505">
              <w:rPr>
                <w:color w:val="000000" w:themeColor="text1"/>
              </w:rPr>
              <w:t xml:space="preserve">54.95% </w:t>
            </w:r>
          </w:p>
        </w:tc>
      </w:tr>
      <w:tr w:rsidR="00642505" w:rsidRPr="00DC2952" w:rsidTr="008A4A90">
        <w:trPr>
          <w:cantSplit/>
        </w:trPr>
        <w:tc>
          <w:tcPr>
            <w:tcW w:w="7763" w:type="dxa"/>
            <w:tcBorders>
              <w:right w:val="single" w:sz="24" w:space="0" w:color="FFFFFF" w:themeColor="background1"/>
            </w:tcBorders>
            <w:shd w:val="clear" w:color="auto" w:fill="007DC3"/>
            <w:vAlign w:val="center"/>
          </w:tcPr>
          <w:p w:rsidR="00642505" w:rsidRPr="00642505" w:rsidRDefault="00642505" w:rsidP="00642505">
            <w:pPr>
              <w:pStyle w:val="AHPRAComplextablerowheaders"/>
            </w:pPr>
            <w:r w:rsidRPr="00642505">
              <w:t>% of practitioners where further info. was requested at least twice</w:t>
            </w:r>
          </w:p>
        </w:tc>
        <w:tc>
          <w:tcPr>
            <w:tcW w:w="1843" w:type="dxa"/>
            <w:tcBorders>
              <w:left w:val="single" w:sz="24" w:space="0" w:color="FFFFFF" w:themeColor="background1"/>
            </w:tcBorders>
            <w:shd w:val="clear" w:color="auto" w:fill="A6A6A6" w:themeFill="background1" w:themeFillShade="A6"/>
            <w:vAlign w:val="center"/>
          </w:tcPr>
          <w:p w:rsidR="00642505" w:rsidRPr="00642505" w:rsidRDefault="00642505" w:rsidP="00642505">
            <w:pPr>
              <w:pStyle w:val="AHPRAComplextablerowheaders"/>
              <w:rPr>
                <w:color w:val="000000" w:themeColor="text1"/>
              </w:rPr>
            </w:pPr>
            <w:r w:rsidRPr="00642505">
              <w:rPr>
                <w:color w:val="000000" w:themeColor="text1"/>
              </w:rPr>
              <w:t xml:space="preserve">7.27% </w:t>
            </w:r>
          </w:p>
        </w:tc>
      </w:tr>
    </w:tbl>
    <w:p w:rsidR="008A4A90" w:rsidRDefault="008A4A90" w:rsidP="005255E3">
      <w:pPr>
        <w:pStyle w:val="AHPRAbody"/>
      </w:pPr>
    </w:p>
    <w:p w:rsidR="008A4A90" w:rsidRPr="005437FB" w:rsidRDefault="008A4A90" w:rsidP="005437FB">
      <w:pPr>
        <w:pStyle w:val="AHPRASubheadinglevel2"/>
      </w:pPr>
      <w:r>
        <w:t>Next steps:</w:t>
      </w:r>
    </w:p>
    <w:p w:rsidR="00642505" w:rsidRDefault="00642505" w:rsidP="00642505">
      <w:pPr>
        <w:pStyle w:val="AHPRAbody"/>
      </w:pPr>
      <w:r>
        <w:t>AHPRA, on behalf of and in conjunction with National Boards is working to:</w:t>
      </w:r>
    </w:p>
    <w:p w:rsidR="00642505" w:rsidRDefault="00642505" w:rsidP="00642505">
      <w:pPr>
        <w:pStyle w:val="AHPRABulletlevel1"/>
      </w:pPr>
      <w:proofErr w:type="gramStart"/>
      <w:r>
        <w:t>establish</w:t>
      </w:r>
      <w:proofErr w:type="gramEnd"/>
      <w:r>
        <w:t xml:space="preserve"> a permanent audit team in to introduce the auditing as a business as usual audit function supported by policies and procedures developed and maintained by AHPRA. </w:t>
      </w:r>
    </w:p>
    <w:p w:rsidR="00642505" w:rsidRDefault="00642505" w:rsidP="00642505">
      <w:pPr>
        <w:pStyle w:val="AHPRABulletlevel1"/>
      </w:pPr>
      <w:proofErr w:type="gramStart"/>
      <w:r>
        <w:t>develop</w:t>
      </w:r>
      <w:proofErr w:type="gramEnd"/>
      <w:r>
        <w:t xml:space="preserve"> an audit campaign detached from the renewal process to provide an efficient and effective service for the 14 National Boards that is nationally consistent wherever deemed appropriate. </w:t>
      </w:r>
    </w:p>
    <w:p w:rsidR="00642505" w:rsidRDefault="00642505" w:rsidP="00642505">
      <w:pPr>
        <w:pStyle w:val="AHPRABulletlevel1"/>
      </w:pPr>
      <w:proofErr w:type="gramStart"/>
      <w:r>
        <w:t>invest</w:t>
      </w:r>
      <w:proofErr w:type="gramEnd"/>
      <w:r>
        <w:t xml:space="preserve"> in the software systems to support the audit function and ensure integration with registration, notification and compliance software as appropriate. </w:t>
      </w:r>
    </w:p>
    <w:p w:rsidR="008A4A90" w:rsidRPr="000E7E28" w:rsidRDefault="00642505" w:rsidP="00642505">
      <w:pPr>
        <w:pStyle w:val="AHPRABulletlevel1"/>
      </w:pPr>
      <w:proofErr w:type="gramStart"/>
      <w:r>
        <w:t>enhance</w:t>
      </w:r>
      <w:proofErr w:type="gramEnd"/>
      <w:r>
        <w:t xml:space="preserve"> the practitioner experience through the refinement of information, documentation and systems to ensure requirements are clearly articulated, fair and transparent; and user friendly for the practitioner.</w:t>
      </w:r>
    </w:p>
    <w:sectPr w:rsidR="008A4A90" w:rsidRPr="000E7E28" w:rsidSect="00F355E8">
      <w:headerReference w:type="default" r:id="rId9"/>
      <w:footerReference w:type="even" r:id="rId10"/>
      <w:footerReference w:type="default" r:id="rId11"/>
      <w:headerReference w:type="first" r:id="rId12"/>
      <w:footerReference w:type="first" r:id="rId13"/>
      <w:pgSz w:w="11900" w:h="16840"/>
      <w:pgMar w:top="1383" w:right="1247" w:bottom="992" w:left="1247" w:header="284"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3A8" w:rsidRDefault="007F13A8" w:rsidP="00FC2881">
      <w:pPr>
        <w:spacing w:after="0"/>
      </w:pPr>
      <w:r>
        <w:separator/>
      </w:r>
    </w:p>
    <w:p w:rsidR="007F13A8" w:rsidRDefault="007F13A8"/>
  </w:endnote>
  <w:endnote w:type="continuationSeparator" w:id="0">
    <w:p w:rsidR="007F13A8" w:rsidRDefault="007F13A8" w:rsidP="00FC2881">
      <w:pPr>
        <w:spacing w:after="0"/>
      </w:pPr>
      <w:r>
        <w:continuationSeparator/>
      </w:r>
    </w:p>
    <w:p w:rsidR="007F13A8" w:rsidRDefault="007F13A8"/>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Regular">
    <w:altName w:val="Courier New"/>
    <w:panose1 w:val="00000000000000000000"/>
    <w:charset w:val="00"/>
    <w:family w:val="swiss"/>
    <w:notTrueType/>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A8" w:rsidRDefault="00070E99" w:rsidP="00FC2881">
    <w:pPr>
      <w:pStyle w:val="AHPRAfootnote"/>
      <w:framePr w:wrap="around" w:vAnchor="text" w:hAnchor="margin" w:xAlign="right" w:y="1"/>
    </w:pPr>
    <w:r>
      <w:fldChar w:fldCharType="begin"/>
    </w:r>
    <w:r w:rsidR="007F13A8">
      <w:instrText xml:space="preserve">PAGE  </w:instrText>
    </w:r>
    <w:r>
      <w:fldChar w:fldCharType="end"/>
    </w:r>
  </w:p>
  <w:p w:rsidR="007F13A8" w:rsidRDefault="007F13A8" w:rsidP="00FC2881">
    <w:pPr>
      <w:pStyle w:val="AHPRAfootnote"/>
      <w:ind w:right="360"/>
    </w:pPr>
  </w:p>
  <w:p w:rsidR="007F13A8" w:rsidRDefault="007F13A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A8" w:rsidRDefault="00642505" w:rsidP="001506FE">
    <w:pPr>
      <w:pStyle w:val="AHPRAfooter"/>
      <w:rPr>
        <w:szCs w:val="16"/>
      </w:rPr>
    </w:pPr>
    <w:r>
      <w:rPr>
        <w:szCs w:val="16"/>
      </w:rPr>
      <w:t>Pharmacy</w:t>
    </w:r>
    <w:r w:rsidR="007F13A8">
      <w:rPr>
        <w:szCs w:val="16"/>
      </w:rPr>
      <w:t xml:space="preserve"> Audit Report Pilot July 2013</w:t>
    </w:r>
  </w:p>
  <w:p w:rsidR="007F13A8" w:rsidRPr="000E7E28" w:rsidRDefault="00070E99" w:rsidP="000E7E28">
    <w:pPr>
      <w:pStyle w:val="AHPRApagenumber"/>
    </w:pPr>
    <w:sdt>
      <w:sdtPr>
        <w:id w:val="8374046"/>
        <w:docPartObj>
          <w:docPartGallery w:val="Page Numbers (Top of Page)"/>
          <w:docPartUnique/>
        </w:docPartObj>
      </w:sdtPr>
      <w:sdtContent>
        <w:r w:rsidR="007F13A8" w:rsidRPr="000E7E28">
          <w:t xml:space="preserve">Page </w:t>
        </w:r>
        <w:fldSimple w:instr=" PAGE ">
          <w:r w:rsidR="00FE2F6E">
            <w:rPr>
              <w:noProof/>
            </w:rPr>
            <w:t>5</w:t>
          </w:r>
        </w:fldSimple>
        <w:r w:rsidR="007F13A8" w:rsidRPr="000E7E28">
          <w:t xml:space="preserve"> of </w:t>
        </w:r>
        <w:fldSimple w:instr=" NUMPAGES  ">
          <w:r w:rsidR="00FE2F6E">
            <w:rPr>
              <w:noProof/>
            </w:rPr>
            <w:t>5</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A8" w:rsidRPr="00E77E23" w:rsidRDefault="007F13A8" w:rsidP="00E77E23">
    <w:pPr>
      <w:pStyle w:val="AHPRAfirstpagefooter"/>
    </w:pPr>
    <w:r w:rsidRPr="00E77E23">
      <w:t xml:space="preserve">Australian </w:t>
    </w:r>
    <w:r w:rsidRPr="00E77E23">
      <w:rPr>
        <w:color w:val="007DC3"/>
      </w:rPr>
      <w:t>Health Practitioner</w:t>
    </w:r>
    <w:r w:rsidRPr="00E77E23">
      <w:t xml:space="preserve"> Regulation Agency</w:t>
    </w:r>
  </w:p>
  <w:p w:rsidR="007F13A8" w:rsidRDefault="007F13A8"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3A8" w:rsidRDefault="007F13A8" w:rsidP="000E7E28">
      <w:pPr>
        <w:spacing w:after="0"/>
      </w:pPr>
      <w:r>
        <w:separator/>
      </w:r>
    </w:p>
  </w:footnote>
  <w:footnote w:type="continuationSeparator" w:id="0">
    <w:p w:rsidR="007F13A8" w:rsidRDefault="007F13A8" w:rsidP="00FC2881">
      <w:pPr>
        <w:spacing w:after="0"/>
      </w:pPr>
      <w:r>
        <w:continuationSeparator/>
      </w:r>
    </w:p>
    <w:p w:rsidR="007F13A8" w:rsidRDefault="007F13A8"/>
  </w:footnote>
  <w:footnote w:type="continuationNotice" w:id="1">
    <w:p w:rsidR="007F13A8" w:rsidRDefault="007F13A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A8" w:rsidRPr="00315933" w:rsidRDefault="007F13A8" w:rsidP="00D638E0">
    <w:pPr>
      <w:ind w:left="-1134" w:right="-567"/>
      <w:jc w:val="right"/>
    </w:pPr>
  </w:p>
  <w:p w:rsidR="007F13A8" w:rsidRDefault="007F13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A8" w:rsidRDefault="007F13A8" w:rsidP="00E844A0">
    <w:r w:rsidRPr="00C21C53">
      <w:rPr>
        <w:noProof/>
        <w:lang w:val="en-US"/>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7F13A8" w:rsidRDefault="007F13A8" w:rsidP="00E844A0"/>
  <w:p w:rsidR="007F13A8" w:rsidRDefault="007F13A8" w:rsidP="00E844A0"/>
  <w:p w:rsidR="007F13A8" w:rsidRDefault="007F13A8" w:rsidP="00E844A0"/>
  <w:p w:rsidR="007F13A8" w:rsidRDefault="007F13A8" w:rsidP="00E844A0"/>
  <w:p w:rsidR="007F13A8" w:rsidRDefault="007F13A8"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52D19FF"/>
    <w:multiLevelType w:val="multilevel"/>
    <w:tmpl w:val="BE20683A"/>
    <w:numStyleLink w:val="AHPRANumberedheadinglist"/>
  </w:abstractNum>
  <w:abstractNum w:abstractNumId="5">
    <w:nsid w:val="2822578D"/>
    <w:multiLevelType w:val="multilevel"/>
    <w:tmpl w:val="BE20683A"/>
    <w:numStyleLink w:val="AHPRANumberedheadinglist"/>
  </w:abstractNum>
  <w:abstractNum w:abstractNumId="6">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4433A"/>
    <w:multiLevelType w:val="multilevel"/>
    <w:tmpl w:val="C4183F12"/>
    <w:numStyleLink w:val="AHPRANumberedlist"/>
  </w:abstractNum>
  <w:abstractNum w:abstractNumId="9">
    <w:nsid w:val="55E91EE6"/>
    <w:multiLevelType w:val="hybridMultilevel"/>
    <w:tmpl w:val="47003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1">
    <w:nsid w:val="76E154B0"/>
    <w:multiLevelType w:val="multilevel"/>
    <w:tmpl w:val="C4183F12"/>
    <w:numStyleLink w:val="AHPRANumberedlist"/>
  </w:abstractNum>
  <w:abstractNum w:abstractNumId="12">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3">
    <w:nsid w:val="7C731660"/>
    <w:multiLevelType w:val="multilevel"/>
    <w:tmpl w:val="C4183F12"/>
    <w:numStyleLink w:val="AHPRANumberedlist"/>
  </w:abstractNum>
  <w:num w:numId="1">
    <w:abstractNumId w:val="10"/>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2"/>
  </w:num>
  <w:num w:numId="10">
    <w:abstractNumId w:val="8"/>
  </w:num>
  <w:num w:numId="11">
    <w:abstractNumId w:val="2"/>
  </w:num>
  <w:num w:numId="12">
    <w:abstractNumId w:val="11"/>
  </w:num>
  <w:num w:numId="13">
    <w:abstractNumId w:val="13"/>
  </w:num>
  <w:num w:numId="14">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rsids>
    <w:rsidRoot w:val="0016168A"/>
    <w:rsid w:val="00000033"/>
    <w:rsid w:val="00006922"/>
    <w:rsid w:val="000334D7"/>
    <w:rsid w:val="00062EC5"/>
    <w:rsid w:val="00070E99"/>
    <w:rsid w:val="00071439"/>
    <w:rsid w:val="000945FB"/>
    <w:rsid w:val="000A6BF7"/>
    <w:rsid w:val="000E7E28"/>
    <w:rsid w:val="000F5D90"/>
    <w:rsid w:val="0010139F"/>
    <w:rsid w:val="00144DEF"/>
    <w:rsid w:val="001506FE"/>
    <w:rsid w:val="0016168A"/>
    <w:rsid w:val="001C425C"/>
    <w:rsid w:val="001E1E31"/>
    <w:rsid w:val="001E2849"/>
    <w:rsid w:val="001E4A94"/>
    <w:rsid w:val="001E5621"/>
    <w:rsid w:val="00220A3B"/>
    <w:rsid w:val="00224708"/>
    <w:rsid w:val="0028013F"/>
    <w:rsid w:val="00295B44"/>
    <w:rsid w:val="002B2D48"/>
    <w:rsid w:val="002C08FB"/>
    <w:rsid w:val="002C34EA"/>
    <w:rsid w:val="00303BE1"/>
    <w:rsid w:val="00305AFC"/>
    <w:rsid w:val="003354E4"/>
    <w:rsid w:val="0037447E"/>
    <w:rsid w:val="00395DAC"/>
    <w:rsid w:val="003D6DBD"/>
    <w:rsid w:val="003E00B5"/>
    <w:rsid w:val="003E3268"/>
    <w:rsid w:val="003F2F06"/>
    <w:rsid w:val="00405C0A"/>
    <w:rsid w:val="00414F2C"/>
    <w:rsid w:val="00450B34"/>
    <w:rsid w:val="004606A7"/>
    <w:rsid w:val="004A5E5D"/>
    <w:rsid w:val="004B747B"/>
    <w:rsid w:val="004D7537"/>
    <w:rsid w:val="004E3F5E"/>
    <w:rsid w:val="004F5C05"/>
    <w:rsid w:val="005255E3"/>
    <w:rsid w:val="00527775"/>
    <w:rsid w:val="0053749F"/>
    <w:rsid w:val="00537C2F"/>
    <w:rsid w:val="005437FB"/>
    <w:rsid w:val="00553A4C"/>
    <w:rsid w:val="00554335"/>
    <w:rsid w:val="005565CE"/>
    <w:rsid w:val="005708AE"/>
    <w:rsid w:val="005A0FA9"/>
    <w:rsid w:val="005B2FA7"/>
    <w:rsid w:val="005C5932"/>
    <w:rsid w:val="005C6817"/>
    <w:rsid w:val="00616043"/>
    <w:rsid w:val="00640B2C"/>
    <w:rsid w:val="00642505"/>
    <w:rsid w:val="00667CAD"/>
    <w:rsid w:val="00681D5E"/>
    <w:rsid w:val="006C0257"/>
    <w:rsid w:val="006C0E29"/>
    <w:rsid w:val="006D30FE"/>
    <w:rsid w:val="006D3757"/>
    <w:rsid w:val="006D3DA3"/>
    <w:rsid w:val="006F7348"/>
    <w:rsid w:val="006F796D"/>
    <w:rsid w:val="0070155F"/>
    <w:rsid w:val="007372A4"/>
    <w:rsid w:val="00741B04"/>
    <w:rsid w:val="0076115C"/>
    <w:rsid w:val="007664F3"/>
    <w:rsid w:val="0079197C"/>
    <w:rsid w:val="007A35B9"/>
    <w:rsid w:val="007B77D6"/>
    <w:rsid w:val="007C0B6E"/>
    <w:rsid w:val="007D4836"/>
    <w:rsid w:val="007E2C84"/>
    <w:rsid w:val="007E3545"/>
    <w:rsid w:val="007F0095"/>
    <w:rsid w:val="007F13A8"/>
    <w:rsid w:val="008338F7"/>
    <w:rsid w:val="00836397"/>
    <w:rsid w:val="00845054"/>
    <w:rsid w:val="00852D1C"/>
    <w:rsid w:val="00856147"/>
    <w:rsid w:val="00860F40"/>
    <w:rsid w:val="008615C9"/>
    <w:rsid w:val="00864020"/>
    <w:rsid w:val="008979D5"/>
    <w:rsid w:val="008A4A90"/>
    <w:rsid w:val="008A4C3B"/>
    <w:rsid w:val="008B2AD7"/>
    <w:rsid w:val="008D6B7E"/>
    <w:rsid w:val="008D7845"/>
    <w:rsid w:val="00923B23"/>
    <w:rsid w:val="00937ED0"/>
    <w:rsid w:val="00952797"/>
    <w:rsid w:val="009777D3"/>
    <w:rsid w:val="009859E6"/>
    <w:rsid w:val="009973BC"/>
    <w:rsid w:val="009A0A5D"/>
    <w:rsid w:val="009C6933"/>
    <w:rsid w:val="00A04C7A"/>
    <w:rsid w:val="00A058E5"/>
    <w:rsid w:val="00A10C1A"/>
    <w:rsid w:val="00A2072E"/>
    <w:rsid w:val="00A237BB"/>
    <w:rsid w:val="00A509AB"/>
    <w:rsid w:val="00A82078"/>
    <w:rsid w:val="00A838C8"/>
    <w:rsid w:val="00A91C42"/>
    <w:rsid w:val="00A9516B"/>
    <w:rsid w:val="00A9780A"/>
    <w:rsid w:val="00AA00AF"/>
    <w:rsid w:val="00AA2FC9"/>
    <w:rsid w:val="00AB283D"/>
    <w:rsid w:val="00AD312E"/>
    <w:rsid w:val="00AE3EAF"/>
    <w:rsid w:val="00B024B0"/>
    <w:rsid w:val="00B34EDA"/>
    <w:rsid w:val="00B51748"/>
    <w:rsid w:val="00B53426"/>
    <w:rsid w:val="00B57198"/>
    <w:rsid w:val="00B754F6"/>
    <w:rsid w:val="00B85023"/>
    <w:rsid w:val="00BA2456"/>
    <w:rsid w:val="00BA469B"/>
    <w:rsid w:val="00BB4A5B"/>
    <w:rsid w:val="00BF2534"/>
    <w:rsid w:val="00BF79DC"/>
    <w:rsid w:val="00C21C53"/>
    <w:rsid w:val="00C35DE1"/>
    <w:rsid w:val="00C3795C"/>
    <w:rsid w:val="00C524AA"/>
    <w:rsid w:val="00C54689"/>
    <w:rsid w:val="00C81B3A"/>
    <w:rsid w:val="00CA4EE0"/>
    <w:rsid w:val="00CB6C08"/>
    <w:rsid w:val="00CD0DCA"/>
    <w:rsid w:val="00D12F61"/>
    <w:rsid w:val="00D201C6"/>
    <w:rsid w:val="00D317A4"/>
    <w:rsid w:val="00D638E0"/>
    <w:rsid w:val="00D716BA"/>
    <w:rsid w:val="00D8404D"/>
    <w:rsid w:val="00D92E26"/>
    <w:rsid w:val="00DA269D"/>
    <w:rsid w:val="00DC2952"/>
    <w:rsid w:val="00DF1AB7"/>
    <w:rsid w:val="00E07C02"/>
    <w:rsid w:val="00E12B06"/>
    <w:rsid w:val="00E15BF6"/>
    <w:rsid w:val="00E71CB9"/>
    <w:rsid w:val="00E73698"/>
    <w:rsid w:val="00E77E23"/>
    <w:rsid w:val="00E8251C"/>
    <w:rsid w:val="00E844A0"/>
    <w:rsid w:val="00EC2D0F"/>
    <w:rsid w:val="00F13ED2"/>
    <w:rsid w:val="00F27ACB"/>
    <w:rsid w:val="00F355E8"/>
    <w:rsid w:val="00F3616F"/>
    <w:rsid w:val="00F6618F"/>
    <w:rsid w:val="00F70DD5"/>
    <w:rsid w:val="00F73165"/>
    <w:rsid w:val="00F75A7B"/>
    <w:rsid w:val="00F90BCE"/>
    <w:rsid w:val="00FC2881"/>
    <w:rsid w:val="00FD7DC1"/>
    <w:rsid w:val="00FE2F6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8A4A90"/>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graphhead">
    <w:name w:val="graph head"/>
    <w:basedOn w:val="Normal"/>
    <w:uiPriority w:val="99"/>
    <w:rsid w:val="00537C2F"/>
    <w:pPr>
      <w:suppressAutoHyphens/>
      <w:autoSpaceDE w:val="0"/>
      <w:autoSpaceDN w:val="0"/>
      <w:adjustRightInd w:val="0"/>
      <w:spacing w:after="0" w:line="288" w:lineRule="auto"/>
      <w:textAlignment w:val="center"/>
    </w:pPr>
    <w:rPr>
      <w:rFonts w:ascii="Arial Narrow" w:hAnsi="Arial Narrow" w:cs="Arial Narrow"/>
      <w:color w:val="1C91FF"/>
      <w:sz w:val="17"/>
      <w:szCs w:val="17"/>
      <w:lang w:val="en-US"/>
    </w:rPr>
  </w:style>
  <w:style w:type="paragraph" w:customStyle="1" w:styleId="graphbody">
    <w:name w:val="graph body"/>
    <w:basedOn w:val="Normal"/>
    <w:uiPriority w:val="99"/>
    <w:rsid w:val="00537C2F"/>
    <w:pPr>
      <w:suppressAutoHyphens/>
      <w:autoSpaceDE w:val="0"/>
      <w:autoSpaceDN w:val="0"/>
      <w:adjustRightInd w:val="0"/>
      <w:spacing w:after="0" w:line="288" w:lineRule="auto"/>
      <w:textAlignment w:val="center"/>
    </w:pPr>
    <w:rPr>
      <w:rFonts w:ascii="Arial Narrow" w:hAnsi="Arial Narrow" w:cs="Arial Narrow"/>
      <w:color w:val="000000"/>
      <w:sz w:val="17"/>
      <w:szCs w:val="17"/>
      <w:lang w:val="en-US"/>
    </w:rPr>
  </w:style>
  <w:style w:type="paragraph" w:customStyle="1" w:styleId="body">
    <w:name w:val="body"/>
    <w:basedOn w:val="Normal"/>
    <w:uiPriority w:val="99"/>
    <w:rsid w:val="00642505"/>
    <w:pPr>
      <w:suppressAutoHyphens/>
      <w:autoSpaceDE w:val="0"/>
      <w:autoSpaceDN w:val="0"/>
      <w:adjustRightInd w:val="0"/>
      <w:spacing w:after="142" w:line="240" w:lineRule="atLeast"/>
      <w:textAlignment w:val="center"/>
    </w:pPr>
    <w:rPr>
      <w:rFonts w:ascii="DIN-Regular" w:hAnsi="DIN-Regular" w:cs="DIN-Regular"/>
      <w:color w:val="000000"/>
      <w:sz w:val="18"/>
      <w:szCs w:val="18"/>
      <w:lang w:val="en-US"/>
    </w:rPr>
  </w:style>
  <w:style w:type="paragraph" w:customStyle="1" w:styleId="bullet">
    <w:name w:val="bullet"/>
    <w:basedOn w:val="body"/>
    <w:uiPriority w:val="99"/>
    <w:rsid w:val="00642505"/>
    <w:pPr>
      <w:ind w:left="360" w:hanging="360"/>
    </w:p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armacyboard.gov.au/Registration-Standard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8197-3F2C-4456-8A69-6B063C85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9672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 Audit Pilot Report Phase Two: Pharmacy - July 2013</dc:title>
  <dc:subject>Report</dc:subject>
  <dc:creator>AHPRA</dc:creator>
  <cp:lastModifiedBy>glyons</cp:lastModifiedBy>
  <cp:revision>2</cp:revision>
  <cp:lastPrinted>2012-02-10T00:45:00Z</cp:lastPrinted>
  <dcterms:created xsi:type="dcterms:W3CDTF">2013-09-30T00:26:00Z</dcterms:created>
  <dcterms:modified xsi:type="dcterms:W3CDTF">2013-09-30T00:26:00Z</dcterms:modified>
</cp:coreProperties>
</file>