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CF885" w14:textId="77777777" w:rsidR="00924DCE" w:rsidRDefault="00924DCE" w:rsidP="00924DCE">
      <w:pPr>
        <w:pStyle w:val="AHPRADocumenttitle"/>
      </w:pPr>
    </w:p>
    <w:p w14:paraId="25113773" w14:textId="77777777" w:rsidR="00924DCE" w:rsidRDefault="00924DCE" w:rsidP="00924DCE">
      <w:pPr>
        <w:pStyle w:val="AHPRADocumenttitle"/>
      </w:pPr>
    </w:p>
    <w:p w14:paraId="3EE29498" w14:textId="2066DBF6" w:rsidR="00805264" w:rsidRDefault="00BD2D49" w:rsidP="00924DCE">
      <w:pPr>
        <w:pStyle w:val="AHPRADocumenttitle"/>
      </w:pPr>
      <w:r>
        <w:rPr>
          <w:noProof/>
        </w:rPr>
        <mc:AlternateContent>
          <mc:Choice Requires="wps">
            <w:drawing>
              <wp:anchor distT="0" distB="0" distL="114300" distR="114300" simplePos="0" relativeHeight="251658240" behindDoc="0" locked="0" layoutInCell="1" allowOverlap="1" wp14:anchorId="3EE295BA" wp14:editId="02FB7F8E">
                <wp:simplePos x="0" y="0"/>
                <wp:positionH relativeFrom="page">
                  <wp:posOffset>0</wp:posOffset>
                </wp:positionH>
                <wp:positionV relativeFrom="paragraph">
                  <wp:posOffset>439420</wp:posOffset>
                </wp:positionV>
                <wp:extent cx="2304000" cy="0"/>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C3050" id="Line 1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34.6pt" to="181.4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H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">
                <w10:wrap anchorx="page"/>
              </v:line>
            </w:pict>
          </mc:Fallback>
        </mc:AlternateContent>
      </w:r>
      <w:bookmarkStart w:id="0" w:name="AHPRA_Investment_Policy"/>
      <w:bookmarkEnd w:id="0"/>
      <w:r w:rsidR="00396704">
        <w:t xml:space="preserve">Investment </w:t>
      </w:r>
      <w:r w:rsidR="00924DCE">
        <w:t>p</w:t>
      </w:r>
      <w:r w:rsidR="00396704">
        <w:t>olicy</w:t>
      </w:r>
    </w:p>
    <w:p w14:paraId="3EE29499" w14:textId="77777777" w:rsidR="00805264" w:rsidRDefault="00805264" w:rsidP="004724D2">
      <w:pPr>
        <w:pStyle w:val="BodyText"/>
        <w:spacing w:before="1"/>
        <w:rPr>
          <w:sz w:val="31"/>
        </w:rPr>
      </w:pPr>
    </w:p>
    <w:p w14:paraId="001E404B" w14:textId="0559154D" w:rsidR="00117824" w:rsidRDefault="00117824" w:rsidP="00726D9B">
      <w:pPr>
        <w:pStyle w:val="AHPRADocumentsubheading"/>
      </w:pPr>
      <w:bookmarkStart w:id="1" w:name="Introduction"/>
      <w:bookmarkEnd w:id="1"/>
      <w:r w:rsidRPr="00924DCE">
        <w:t>Purpose</w:t>
      </w:r>
    </w:p>
    <w:p w14:paraId="3C7E4420" w14:textId="3664EB3F" w:rsidR="00117824" w:rsidRDefault="00117824" w:rsidP="00726D9B">
      <w:pPr>
        <w:pStyle w:val="AHPRAbody"/>
        <w:spacing w:beforeLines="40" w:before="96" w:after="60"/>
      </w:pPr>
      <w:r w:rsidRPr="00571D40">
        <w:t xml:space="preserve">The purpose of </w:t>
      </w:r>
      <w:r w:rsidR="00FC7457">
        <w:t>the</w:t>
      </w:r>
      <w:r>
        <w:t xml:space="preserve"> I</w:t>
      </w:r>
      <w:r w:rsidRPr="00571D40">
        <w:t xml:space="preserve">nvestment </w:t>
      </w:r>
      <w:r w:rsidR="00924DCE">
        <w:t>p</w:t>
      </w:r>
      <w:r w:rsidRPr="00571D40">
        <w:t xml:space="preserve">olicy is to provide </w:t>
      </w:r>
      <w:r w:rsidR="005360C8">
        <w:t>instruction</w:t>
      </w:r>
      <w:r w:rsidR="005360C8" w:rsidRPr="00571D40">
        <w:t xml:space="preserve"> </w:t>
      </w:r>
      <w:r w:rsidRPr="00571D40">
        <w:t xml:space="preserve">for </w:t>
      </w:r>
      <w:r>
        <w:t xml:space="preserve">the </w:t>
      </w:r>
      <w:r w:rsidRPr="00571D40">
        <w:t xml:space="preserve">investment </w:t>
      </w:r>
      <w:r>
        <w:t xml:space="preserve">management function </w:t>
      </w:r>
      <w:r w:rsidRPr="00571D40">
        <w:t xml:space="preserve">of </w:t>
      </w:r>
      <w:r>
        <w:t>Ahpra</w:t>
      </w:r>
      <w:r w:rsidRPr="00571D40">
        <w:t>.</w:t>
      </w:r>
    </w:p>
    <w:p w14:paraId="27C7AEE9" w14:textId="06617DA4" w:rsidR="00052C4B" w:rsidRDefault="00052C4B" w:rsidP="00726D9B">
      <w:pPr>
        <w:pStyle w:val="AHPRADocumentsubheading"/>
      </w:pPr>
      <w:r w:rsidRPr="00D33E8F">
        <w:t>Scope</w:t>
      </w:r>
    </w:p>
    <w:p w14:paraId="3BB309B4" w14:textId="70D5F53C" w:rsidR="00117824" w:rsidRDefault="00117824" w:rsidP="00726D9B">
      <w:pPr>
        <w:pStyle w:val="AHPRAbody"/>
        <w:spacing w:beforeLines="40" w:before="96" w:after="60"/>
      </w:pPr>
      <w:r>
        <w:t xml:space="preserve">This policy </w:t>
      </w:r>
      <w:r w:rsidR="00F659D7">
        <w:t xml:space="preserve">set out Ahpra’s </w:t>
      </w:r>
      <w:r w:rsidR="00DD3591">
        <w:t xml:space="preserve">objectives, </w:t>
      </w:r>
      <w:r w:rsidR="00541D43">
        <w:t xml:space="preserve">strategy and risk </w:t>
      </w:r>
      <w:r w:rsidR="00B560BC">
        <w:t>assessment</w:t>
      </w:r>
      <w:r w:rsidR="00541D43">
        <w:t xml:space="preserve"> approac</w:t>
      </w:r>
      <w:r w:rsidR="00B560BC">
        <w:t>h</w:t>
      </w:r>
      <w:r w:rsidR="00451F73">
        <w:t xml:space="preserve"> for management of </w:t>
      </w:r>
      <w:r w:rsidR="00EE46E3">
        <w:t>National Scheme inves</w:t>
      </w:r>
      <w:r w:rsidR="00B02194">
        <w:t>t</w:t>
      </w:r>
      <w:r w:rsidR="00EE46E3">
        <w:t>ments</w:t>
      </w:r>
      <w:r>
        <w:t xml:space="preserve">. </w:t>
      </w:r>
    </w:p>
    <w:p w14:paraId="66591121" w14:textId="187B3E8A" w:rsidR="00CD70E5" w:rsidRDefault="00117824" w:rsidP="00726D9B">
      <w:pPr>
        <w:pStyle w:val="AHPRAbody"/>
        <w:spacing w:beforeLines="40" w:before="96" w:after="60"/>
      </w:pPr>
      <w:r>
        <w:t xml:space="preserve">This policy applies to all Ahpra staff (including contractors and consultants) discharging responsibilities under the </w:t>
      </w:r>
      <w:r w:rsidRPr="00726D9B">
        <w:rPr>
          <w:i/>
          <w:iCs/>
        </w:rPr>
        <w:t>Australian Health Practitioner Regulation National Law</w:t>
      </w:r>
      <w:r>
        <w:t xml:space="preserve"> (2009) (‘the National Law’).</w:t>
      </w:r>
      <w:r w:rsidR="00052C4B">
        <w:t xml:space="preserve"> </w:t>
      </w:r>
    </w:p>
    <w:p w14:paraId="1CB22EFD" w14:textId="77777777" w:rsidR="00FB0A9D" w:rsidRPr="00726D9B" w:rsidRDefault="00FB0A9D" w:rsidP="00726D9B">
      <w:pPr>
        <w:pStyle w:val="AHPRADocumentsubheading"/>
      </w:pPr>
      <w:r w:rsidRPr="00726D9B">
        <w:t>Policy</w:t>
      </w:r>
    </w:p>
    <w:p w14:paraId="7AC16A3D" w14:textId="77777777" w:rsidR="00FB0A9D" w:rsidRPr="003A100C" w:rsidRDefault="00FB0A9D" w:rsidP="00041CB3">
      <w:pPr>
        <w:pStyle w:val="AHPRANumberedsubheadinglevel1"/>
      </w:pPr>
      <w:r w:rsidRPr="00924DCE">
        <w:t>Principles</w:t>
      </w:r>
    </w:p>
    <w:p w14:paraId="3EE294A0" w14:textId="498AD7C3" w:rsidR="00805264" w:rsidRDefault="00FB0A9D" w:rsidP="00041CB3">
      <w:pPr>
        <w:pStyle w:val="AHPRANumberedsubheadinglevel2"/>
      </w:pPr>
      <w:r w:rsidRPr="008678D6">
        <w:t xml:space="preserve">Investment of practitioner funds by Ahpra is to be conducted with consideration given to the following </w:t>
      </w:r>
      <w:r w:rsidR="00396704">
        <w:t>interests</w:t>
      </w:r>
      <w:r w:rsidR="00396704" w:rsidRPr="003A100C">
        <w:t xml:space="preserve"> </w:t>
      </w:r>
      <w:r w:rsidR="00396704">
        <w:t>of</w:t>
      </w:r>
      <w:r w:rsidR="00396704" w:rsidRPr="003A100C">
        <w:t xml:space="preserve"> </w:t>
      </w:r>
      <w:r w:rsidR="00396704">
        <w:t>the</w:t>
      </w:r>
      <w:r w:rsidR="00396704" w:rsidRPr="003A100C">
        <w:t xml:space="preserve"> </w:t>
      </w:r>
      <w:r w:rsidR="00396704">
        <w:t>National</w:t>
      </w:r>
      <w:r w:rsidR="00396704" w:rsidRPr="003A100C">
        <w:t xml:space="preserve"> </w:t>
      </w:r>
      <w:r w:rsidR="0003525F" w:rsidRPr="003A100C">
        <w:t>Scheme as administered by Ahpra</w:t>
      </w:r>
      <w:r w:rsidR="00924DCE">
        <w:t>:</w:t>
      </w:r>
    </w:p>
    <w:p w14:paraId="025486FC" w14:textId="51F371F9" w:rsidR="006F28DC" w:rsidRPr="00041CB3" w:rsidRDefault="006F28DC" w:rsidP="00041CB3">
      <w:pPr>
        <w:pStyle w:val="AHPRABulletlevel1"/>
        <w:ind w:left="936" w:hanging="369"/>
      </w:pPr>
      <w:r w:rsidRPr="00041CB3">
        <w:t>All applicable legislation, regulatory requirements and accounting standards</w:t>
      </w:r>
      <w:r w:rsidR="00924DCE" w:rsidRPr="00041CB3">
        <w:t>.</w:t>
      </w:r>
    </w:p>
    <w:p w14:paraId="7FCB326E" w14:textId="036838E0" w:rsidR="006F28DC" w:rsidRPr="00041CB3" w:rsidRDefault="006F28DC" w:rsidP="00041CB3">
      <w:pPr>
        <w:pStyle w:val="AHPRABulletlevel1"/>
        <w:ind w:left="936" w:hanging="369"/>
      </w:pPr>
      <w:r w:rsidRPr="00041CB3">
        <w:t>Principles of best value, economy and efficiency</w:t>
      </w:r>
      <w:r w:rsidR="00924DCE" w:rsidRPr="00041CB3">
        <w:t>.</w:t>
      </w:r>
    </w:p>
    <w:p w14:paraId="315AB1B5" w14:textId="115AB27F" w:rsidR="006F28DC" w:rsidRPr="00041CB3" w:rsidRDefault="006F28DC" w:rsidP="00041CB3">
      <w:pPr>
        <w:pStyle w:val="AHPRABulletlevel1"/>
        <w:ind w:left="936" w:hanging="369"/>
      </w:pPr>
      <w:r w:rsidRPr="00041CB3">
        <w:t xml:space="preserve">Principles of </w:t>
      </w:r>
      <w:r w:rsidR="00924DCE" w:rsidRPr="00041CB3">
        <w:t>e</w:t>
      </w:r>
      <w:r w:rsidRPr="00041CB3">
        <w:t>quity</w:t>
      </w:r>
      <w:r w:rsidR="00924DCE" w:rsidRPr="00041CB3">
        <w:t>.</w:t>
      </w:r>
    </w:p>
    <w:p w14:paraId="7F602E03" w14:textId="5F7E7366" w:rsidR="006F28DC" w:rsidRPr="00041CB3" w:rsidRDefault="006F28DC" w:rsidP="00041CB3">
      <w:pPr>
        <w:pStyle w:val="AHPRABulletlevel1"/>
        <w:ind w:left="936" w:hanging="369"/>
      </w:pPr>
      <w:r w:rsidRPr="00041CB3">
        <w:t>Lawful decisions that will stand up to public scrutiny</w:t>
      </w:r>
      <w:r w:rsidR="00924DCE" w:rsidRPr="00041CB3">
        <w:t>.</w:t>
      </w:r>
    </w:p>
    <w:p w14:paraId="27D23150" w14:textId="111DF1EA" w:rsidR="006F28DC" w:rsidRPr="00041CB3" w:rsidRDefault="006F28DC" w:rsidP="00041CB3">
      <w:pPr>
        <w:pStyle w:val="AHPRABulletlevel1"/>
        <w:ind w:left="936" w:hanging="369"/>
      </w:pPr>
      <w:r w:rsidRPr="00041CB3">
        <w:t>Corporate and strategic objectives of the National Scheme</w:t>
      </w:r>
      <w:r w:rsidR="00924DCE" w:rsidRPr="00041CB3">
        <w:t>.</w:t>
      </w:r>
    </w:p>
    <w:p w14:paraId="3EE294A2" w14:textId="44D65A07" w:rsidR="00805264" w:rsidRPr="00041CB3" w:rsidRDefault="00396704" w:rsidP="00041CB3">
      <w:pPr>
        <w:pStyle w:val="AHPRABulletlevel1"/>
        <w:ind w:left="936" w:hanging="369"/>
      </w:pPr>
      <w:r w:rsidRPr="00041CB3">
        <w:t>the financial profile and liquidity requirements of Ahpra’s operations</w:t>
      </w:r>
      <w:r w:rsidR="00924DCE" w:rsidRPr="00041CB3">
        <w:t>.</w:t>
      </w:r>
    </w:p>
    <w:p w14:paraId="4C6C1A80" w14:textId="05B789E7" w:rsidR="001A63DE" w:rsidRPr="00041CB3" w:rsidRDefault="001A63DE" w:rsidP="00041CB3">
      <w:pPr>
        <w:pStyle w:val="AHPRABulletlevel1"/>
        <w:ind w:left="936" w:hanging="369"/>
      </w:pPr>
      <w:r w:rsidRPr="00041CB3">
        <w:t xml:space="preserve">Scheme </w:t>
      </w:r>
      <w:r w:rsidR="252A00B4" w:rsidRPr="00041CB3">
        <w:t>p</w:t>
      </w:r>
      <w:r w:rsidRPr="00041CB3">
        <w:t xml:space="preserve">olicies and </w:t>
      </w:r>
      <w:r w:rsidR="06B71A0D" w:rsidRPr="00041CB3">
        <w:t>p</w:t>
      </w:r>
      <w:r w:rsidRPr="00041CB3">
        <w:t xml:space="preserve">rocedures for Code of </w:t>
      </w:r>
      <w:r w:rsidR="0D727B9A" w:rsidRPr="00041CB3">
        <w:t>c</w:t>
      </w:r>
      <w:r w:rsidRPr="00041CB3">
        <w:t xml:space="preserve">onduct and Conflicts of </w:t>
      </w:r>
      <w:r w:rsidR="6CF1720D" w:rsidRPr="00041CB3">
        <w:t>i</w:t>
      </w:r>
      <w:r w:rsidRPr="00041CB3">
        <w:t>nterest</w:t>
      </w:r>
      <w:r w:rsidR="00924DCE" w:rsidRPr="00041CB3">
        <w:t>.</w:t>
      </w:r>
    </w:p>
    <w:p w14:paraId="6A41826E" w14:textId="0F356A37" w:rsidR="001A63DE" w:rsidRPr="00041CB3" w:rsidRDefault="001A63DE" w:rsidP="00041CB3">
      <w:pPr>
        <w:pStyle w:val="AHPRABulletlevel1"/>
        <w:ind w:left="936" w:hanging="369"/>
      </w:pPr>
      <w:r w:rsidRPr="00041CB3">
        <w:t>Reasonable expectations (express and implied) of key stakeholders</w:t>
      </w:r>
      <w:r w:rsidR="00924DCE" w:rsidRPr="00041CB3">
        <w:t>.</w:t>
      </w:r>
    </w:p>
    <w:p w14:paraId="6E359F4F" w14:textId="6D32090E" w:rsidR="001A63DE" w:rsidRPr="00041CB3" w:rsidRDefault="001A63DE" w:rsidP="00041CB3">
      <w:pPr>
        <w:pStyle w:val="AHPRABulletlevel1"/>
        <w:ind w:left="936" w:hanging="369"/>
      </w:pPr>
      <w:r w:rsidRPr="00041CB3">
        <w:t>Specified limits and requirements associated with relevant sub-delegations</w:t>
      </w:r>
      <w:r w:rsidR="00924DCE" w:rsidRPr="00041CB3">
        <w:t>.</w:t>
      </w:r>
    </w:p>
    <w:p w14:paraId="3A8FBB4F" w14:textId="0E1612A4" w:rsidR="006524D7" w:rsidRDefault="00BF0DF9" w:rsidP="00041CB3">
      <w:pPr>
        <w:pStyle w:val="AHPRABulletlevel1"/>
        <w:ind w:left="936" w:hanging="369"/>
      </w:pPr>
      <w:r w:rsidRPr="00041CB3">
        <w:t>Responsible</w:t>
      </w:r>
      <w:r>
        <w:t xml:space="preserve"> inves</w:t>
      </w:r>
      <w:r w:rsidR="00083EBA">
        <w:t>t</w:t>
      </w:r>
      <w:r>
        <w:t>ment</w:t>
      </w:r>
      <w:r w:rsidR="65090619" w:rsidRPr="53C5253C">
        <w:t xml:space="preserve"> </w:t>
      </w:r>
      <w:r w:rsidR="00B141BC">
        <w:t>to</w:t>
      </w:r>
      <w:r w:rsidR="00083EBA">
        <w:t xml:space="preserve"> mitigate </w:t>
      </w:r>
      <w:r w:rsidR="00B141BC">
        <w:t>e</w:t>
      </w:r>
      <w:r w:rsidR="00B141BC" w:rsidRPr="00B141BC">
        <w:t xml:space="preserve">nvironmental, </w:t>
      </w:r>
      <w:r w:rsidR="00B141BC">
        <w:t>s</w:t>
      </w:r>
      <w:r w:rsidR="00B141BC" w:rsidRPr="00B141BC">
        <w:t xml:space="preserve">ocial and </w:t>
      </w:r>
      <w:r w:rsidR="00B141BC">
        <w:t>g</w:t>
      </w:r>
      <w:r w:rsidR="00B141BC" w:rsidRPr="00B141BC">
        <w:t>overnance</w:t>
      </w:r>
      <w:r w:rsidR="00B141BC">
        <w:t xml:space="preserve"> (</w:t>
      </w:r>
      <w:r w:rsidR="00083EBA">
        <w:t>ESG</w:t>
      </w:r>
      <w:r w:rsidR="00B141BC">
        <w:t>)</w:t>
      </w:r>
      <w:r w:rsidR="00083EBA">
        <w:t xml:space="preserve"> risk</w:t>
      </w:r>
      <w:r w:rsidR="00292404">
        <w:t>s</w:t>
      </w:r>
      <w:r w:rsidR="00924DCE">
        <w:t>.</w:t>
      </w:r>
    </w:p>
    <w:p w14:paraId="3EE294A8" w14:textId="0C6D8404" w:rsidR="00805264" w:rsidRDefault="00924DCE" w:rsidP="00041CB3">
      <w:pPr>
        <w:pStyle w:val="AHPRABulletlevel1last"/>
        <w:ind w:left="936"/>
      </w:pPr>
      <w:r>
        <w:t>T</w:t>
      </w:r>
      <w:r w:rsidR="00396704" w:rsidRPr="72484041">
        <w:t xml:space="preserve">he </w:t>
      </w:r>
      <w:r w:rsidR="6EB3E1F4" w:rsidRPr="72484041">
        <w:t xml:space="preserve">National </w:t>
      </w:r>
      <w:r w:rsidR="00AC738A" w:rsidRPr="72484041">
        <w:t>S</w:t>
      </w:r>
      <w:r w:rsidR="00993046" w:rsidRPr="72484041">
        <w:t>c</w:t>
      </w:r>
      <w:r w:rsidR="00AC738A" w:rsidRPr="72484041">
        <w:t xml:space="preserve">heme </w:t>
      </w:r>
      <w:r w:rsidR="00396704" w:rsidRPr="72484041">
        <w:t>risk appetite</w:t>
      </w:r>
      <w:r w:rsidR="00AC738A" w:rsidRPr="72484041">
        <w:t xml:space="preserve"> </w:t>
      </w:r>
      <w:r w:rsidR="0C4C49F2" w:rsidRPr="72484041">
        <w:t>s</w:t>
      </w:r>
      <w:r w:rsidR="00AC738A" w:rsidRPr="72484041">
        <w:t>tatement</w:t>
      </w:r>
      <w:r w:rsidR="00396704" w:rsidRPr="72484041">
        <w:t xml:space="preserve"> </w:t>
      </w:r>
    </w:p>
    <w:p w14:paraId="3EE294B5" w14:textId="6814407B" w:rsidR="00805264" w:rsidRPr="003A100C" w:rsidRDefault="00396704" w:rsidP="00041CB3">
      <w:pPr>
        <w:pStyle w:val="AHPRANumberedsubheadinglevel1"/>
        <w:ind w:left="567" w:hanging="567"/>
      </w:pPr>
      <w:bookmarkStart w:id="2" w:name="2._Policy_Statement"/>
      <w:bookmarkEnd w:id="2"/>
      <w:r w:rsidRPr="00320C3E">
        <w:t>Governance</w:t>
      </w:r>
    </w:p>
    <w:p w14:paraId="4090400D" w14:textId="038467A8" w:rsidR="0005682E" w:rsidRPr="00041CB3" w:rsidRDefault="00691571" w:rsidP="00041CB3">
      <w:pPr>
        <w:pStyle w:val="AHPRANumberedsubheadinglevel2"/>
      </w:pPr>
      <w:r w:rsidRPr="00041CB3">
        <w:t>AManC</w:t>
      </w:r>
      <w:r w:rsidR="002A359C" w:rsidRPr="00041CB3">
        <w:t xml:space="preserve"> is responsible for the investment Policy and for deciding </w:t>
      </w:r>
      <w:r w:rsidR="00A05F16" w:rsidRPr="00041CB3">
        <w:t>what types of investments it considers</w:t>
      </w:r>
      <w:r w:rsidR="002A359C" w:rsidRPr="00041CB3">
        <w:t xml:space="preserve"> </w:t>
      </w:r>
      <w:r w:rsidR="00A05F16" w:rsidRPr="00041CB3">
        <w:t>appropriate to invest in.</w:t>
      </w:r>
    </w:p>
    <w:p w14:paraId="0DD7F5C7" w14:textId="5BB77282" w:rsidR="0000336B" w:rsidRPr="00041CB3" w:rsidRDefault="0000336B" w:rsidP="00041CB3">
      <w:pPr>
        <w:pStyle w:val="AHPRANumberedsubheadinglevel2"/>
      </w:pPr>
      <w:r w:rsidRPr="00041CB3">
        <w:t xml:space="preserve">The Finance Audit and Risk Management Committee (FARMC) is responsible for reviewing and recommending changes to the Investment Policy, objectives and strategy for AManC for approval. </w:t>
      </w:r>
    </w:p>
    <w:p w14:paraId="27B0CC54" w14:textId="62958861" w:rsidR="00B845D2" w:rsidRPr="00041CB3" w:rsidRDefault="00F518CB" w:rsidP="00041CB3">
      <w:pPr>
        <w:pStyle w:val="AHPRANumberedsubheadinglevel2"/>
      </w:pPr>
      <w:r w:rsidRPr="00041CB3">
        <w:t>Ahpra is to</w:t>
      </w:r>
      <w:r w:rsidR="00E37DE2" w:rsidRPr="00041CB3">
        <w:t xml:space="preserve"> consult</w:t>
      </w:r>
      <w:r w:rsidRPr="00041CB3">
        <w:t xml:space="preserve"> </w:t>
      </w:r>
      <w:r w:rsidR="006E6405" w:rsidRPr="00041CB3">
        <w:t xml:space="preserve">with </w:t>
      </w:r>
      <w:r w:rsidRPr="00041CB3">
        <w:t xml:space="preserve">National Boards </w:t>
      </w:r>
      <w:r w:rsidR="006E6405" w:rsidRPr="00041CB3">
        <w:t>on the</w:t>
      </w:r>
      <w:r w:rsidR="00E37DE2" w:rsidRPr="00041CB3">
        <w:t xml:space="preserve"> investment</w:t>
      </w:r>
      <w:r w:rsidR="006E6405" w:rsidRPr="00041CB3">
        <w:t xml:space="preserve"> strategy</w:t>
      </w:r>
      <w:r w:rsidR="00E37DE2" w:rsidRPr="00041CB3">
        <w:t>.</w:t>
      </w:r>
    </w:p>
    <w:p w14:paraId="28F1104D" w14:textId="1D734E2B" w:rsidR="00726D9B" w:rsidRPr="00041CB3" w:rsidRDefault="004145DC" w:rsidP="00041CB3">
      <w:pPr>
        <w:pStyle w:val="AHPRANumberedsubheadinglevel2"/>
      </w:pPr>
      <w:r w:rsidRPr="00041CB3">
        <w:t>Ahpra holds equity on behalf of each Board in accordance with Health Professions Agreements. Equity targets are reviewed annually and reported quarterly.</w:t>
      </w:r>
    </w:p>
    <w:p w14:paraId="3EE294D1" w14:textId="282BD1C2" w:rsidR="00805264" w:rsidRPr="003A100C" w:rsidRDefault="00396704" w:rsidP="00041CB3">
      <w:pPr>
        <w:pStyle w:val="AHPRANumberedsubheadinglevel1"/>
        <w:ind w:left="567" w:hanging="567"/>
      </w:pPr>
      <w:bookmarkStart w:id="3" w:name="The_CEO_has_delegated_responsibility_for"/>
      <w:bookmarkEnd w:id="3"/>
      <w:r>
        <w:t>Investment</w:t>
      </w:r>
      <w:r w:rsidRPr="003A100C">
        <w:t xml:space="preserve"> </w:t>
      </w:r>
      <w:r>
        <w:t>objective</w:t>
      </w:r>
      <w:r w:rsidR="00EA0079">
        <w:t>s</w:t>
      </w:r>
    </w:p>
    <w:p w14:paraId="6F3C51C1" w14:textId="63ABFD99" w:rsidR="00FA2D1B" w:rsidRPr="00041CB3" w:rsidRDefault="00D730C9" w:rsidP="00041CB3">
      <w:pPr>
        <w:pStyle w:val="AHPRANumberedsubheadinglevel2"/>
      </w:pPr>
      <w:r w:rsidRPr="00041CB3">
        <w:t xml:space="preserve">Ahpra will </w:t>
      </w:r>
      <w:r w:rsidR="00FA2D1B" w:rsidRPr="00041CB3">
        <w:t>i</w:t>
      </w:r>
      <w:r w:rsidR="0043438F" w:rsidRPr="00041CB3">
        <w:t xml:space="preserve">nvest money in a way </w:t>
      </w:r>
      <w:r w:rsidR="00DC31D2" w:rsidRPr="00041CB3">
        <w:t xml:space="preserve">considered </w:t>
      </w:r>
      <w:r w:rsidR="0043438F" w:rsidRPr="00041CB3">
        <w:t xml:space="preserve">most </w:t>
      </w:r>
      <w:r w:rsidR="00C92DAB" w:rsidRPr="00041CB3">
        <w:t>a</w:t>
      </w:r>
      <w:r w:rsidR="0043438F" w:rsidRPr="00041CB3">
        <w:t>ppropriate</w:t>
      </w:r>
      <w:r w:rsidR="00C92DAB" w:rsidRPr="00041CB3">
        <w:t xml:space="preserve"> </w:t>
      </w:r>
      <w:r w:rsidR="0043438F" w:rsidRPr="00041CB3">
        <w:t>in all the circumstances</w:t>
      </w:r>
      <w:r w:rsidR="00041CB3">
        <w:t>.</w:t>
      </w:r>
    </w:p>
    <w:p w14:paraId="01CB4402" w14:textId="1D15E242" w:rsidR="006E3BCF" w:rsidRPr="00FA2D1B" w:rsidRDefault="00D730C9" w:rsidP="00041CB3">
      <w:pPr>
        <w:pStyle w:val="AHPRANumberedsubheadinglevel2"/>
      </w:pPr>
      <w:r w:rsidRPr="00EE32EA">
        <w:t>The investment objective</w:t>
      </w:r>
      <w:r>
        <w:t xml:space="preserve">s are </w:t>
      </w:r>
      <w:r w:rsidRPr="007D6193">
        <w:t>to</w:t>
      </w:r>
      <w:r w:rsidR="00041CB3">
        <w:t>:</w:t>
      </w:r>
    </w:p>
    <w:p w14:paraId="6DFC9FD2" w14:textId="56B51D34" w:rsidR="006E3BCF" w:rsidRPr="00924DCE" w:rsidRDefault="003A631E" w:rsidP="00041CB3">
      <w:pPr>
        <w:pStyle w:val="AHPRABulletlevel1"/>
        <w:ind w:left="936" w:hanging="369"/>
      </w:pPr>
      <w:r>
        <w:t>e</w:t>
      </w:r>
      <w:r w:rsidR="006E3BCF" w:rsidRPr="00924DCE">
        <w:t>nsure the Scheme’s target equity holdings are preserved</w:t>
      </w:r>
    </w:p>
    <w:p w14:paraId="0F8C23BF" w14:textId="6F5273F7" w:rsidR="006E3BCF" w:rsidRPr="00924DCE" w:rsidRDefault="003A631E" w:rsidP="00041CB3">
      <w:pPr>
        <w:pStyle w:val="AHPRABulletlevel1"/>
        <w:ind w:left="936" w:hanging="369"/>
      </w:pPr>
      <w:r>
        <w:t>e</w:t>
      </w:r>
      <w:r w:rsidR="006E3BCF" w:rsidRPr="00924DCE">
        <w:t>nsure that cashflow and liquidity requirements are met</w:t>
      </w:r>
    </w:p>
    <w:p w14:paraId="0E440286" w14:textId="0589116C" w:rsidR="006E3BCF" w:rsidRPr="00924DCE" w:rsidRDefault="003A631E" w:rsidP="00041CB3">
      <w:pPr>
        <w:pStyle w:val="AHPRABulletlevel1"/>
        <w:ind w:left="936" w:hanging="369"/>
      </w:pPr>
      <w:r>
        <w:t>m</w:t>
      </w:r>
      <w:r w:rsidR="006E3BCF" w:rsidRPr="00924DCE">
        <w:t>anage investment risks in accordance with risk appetite</w:t>
      </w:r>
      <w:r>
        <w:t xml:space="preserve">, and </w:t>
      </w:r>
    </w:p>
    <w:p w14:paraId="72EDF682" w14:textId="35E964BC" w:rsidR="005634AE" w:rsidRPr="0062435B" w:rsidRDefault="003A631E" w:rsidP="00041CB3">
      <w:pPr>
        <w:pStyle w:val="AHPRABulletlevel1"/>
        <w:ind w:left="936" w:hanging="369"/>
        <w:rPr>
          <w:szCs w:val="20"/>
        </w:rPr>
      </w:pPr>
      <w:r w:rsidRPr="0062435B">
        <w:rPr>
          <w:szCs w:val="20"/>
        </w:rPr>
        <w:t>a</w:t>
      </w:r>
      <w:r w:rsidR="006E3BCF" w:rsidRPr="0062435B">
        <w:rPr>
          <w:szCs w:val="20"/>
        </w:rPr>
        <w:t xml:space="preserve">chieve </w:t>
      </w:r>
      <w:r w:rsidR="006E3BCF" w:rsidRPr="00041CB3">
        <w:t>benchmark</w:t>
      </w:r>
      <w:r w:rsidR="006E3BCF" w:rsidRPr="0062435B">
        <w:rPr>
          <w:szCs w:val="20"/>
        </w:rPr>
        <w:t xml:space="preserve"> returns on pools of funds invested</w:t>
      </w:r>
      <w:r w:rsidR="005634AE" w:rsidRPr="0062435B">
        <w:rPr>
          <w:szCs w:val="20"/>
        </w:rPr>
        <w:br w:type="page"/>
      </w:r>
    </w:p>
    <w:p w14:paraId="31D3602A" w14:textId="54FF89E7" w:rsidR="00805264" w:rsidRPr="00320C3E" w:rsidRDefault="00396704" w:rsidP="00041CB3">
      <w:pPr>
        <w:pStyle w:val="AHPRANumberedsubheadinglevel1"/>
        <w:ind w:left="567" w:hanging="567"/>
      </w:pPr>
      <w:r w:rsidRPr="00041CB3">
        <w:lastRenderedPageBreak/>
        <w:t>Investment</w:t>
      </w:r>
      <w:r w:rsidRPr="003A100C">
        <w:t xml:space="preserve"> </w:t>
      </w:r>
      <w:r>
        <w:t>strategy</w:t>
      </w:r>
    </w:p>
    <w:p w14:paraId="07C0DFB6" w14:textId="6AFF10C7" w:rsidR="00885708" w:rsidRDefault="00885708" w:rsidP="00041CB3">
      <w:pPr>
        <w:pStyle w:val="AHPRANumberedsubheadinglevel2"/>
      </w:pPr>
      <w:r>
        <w:t xml:space="preserve">To achieve </w:t>
      </w:r>
      <w:r w:rsidRPr="00AF061B">
        <w:t>the</w:t>
      </w:r>
      <w:r>
        <w:t xml:space="preserve"> investment objective, the </w:t>
      </w:r>
      <w:r w:rsidRPr="00DB6FCF">
        <w:t xml:space="preserve">investment strategy </w:t>
      </w:r>
      <w:r w:rsidR="00CA3244">
        <w:t xml:space="preserve">is divided into </w:t>
      </w:r>
      <w:r w:rsidR="00355AA5">
        <w:t xml:space="preserve">two </w:t>
      </w:r>
      <w:r w:rsidR="003C0950">
        <w:t>portfolio</w:t>
      </w:r>
      <w:r w:rsidR="00E72510">
        <w:t>s</w:t>
      </w:r>
      <w:r>
        <w:t>:</w:t>
      </w:r>
    </w:p>
    <w:p w14:paraId="35F6EB72" w14:textId="0283990A" w:rsidR="00A74A16" w:rsidRDefault="00A74A16" w:rsidP="00892C7E">
      <w:pPr>
        <w:pStyle w:val="AHPRABulletlevel1"/>
        <w:numPr>
          <w:ilvl w:val="0"/>
          <w:numId w:val="18"/>
        </w:numPr>
        <w:ind w:left="936" w:hanging="369"/>
      </w:pPr>
      <w:r>
        <w:t>Working capital</w:t>
      </w:r>
      <w:r w:rsidR="008C6BC3">
        <w:t xml:space="preserve"> </w:t>
      </w:r>
      <w:r w:rsidR="00BE7F20">
        <w:t>–</w:t>
      </w:r>
      <w:r w:rsidR="008C6BC3">
        <w:t xml:space="preserve"> </w:t>
      </w:r>
      <w:r w:rsidR="00BE7F20">
        <w:t>(s</w:t>
      </w:r>
      <w:r w:rsidR="008C6BC3" w:rsidRPr="008C6BC3">
        <w:t>hort to medium term</w:t>
      </w:r>
      <w:r w:rsidR="00794C03">
        <w:t>)</w:t>
      </w:r>
      <w:r w:rsidR="008C6BC3" w:rsidRPr="008C6BC3">
        <w:t xml:space="preserve"> to support working capital and cashflow forecast requirements over </w:t>
      </w:r>
      <w:r w:rsidR="00AF061B">
        <w:t>three-</w:t>
      </w:r>
      <w:r w:rsidR="008C6BC3" w:rsidRPr="008C6BC3">
        <w:t>year horizon, and investing capital in excess of market cap to preserve Ahpra’s target equity</w:t>
      </w:r>
      <w:r w:rsidR="00EA55B9">
        <w:t>,</w:t>
      </w:r>
      <w:r>
        <w:t xml:space="preserve"> </w:t>
      </w:r>
      <w:r w:rsidR="00762758">
        <w:t xml:space="preserve">and </w:t>
      </w:r>
    </w:p>
    <w:p w14:paraId="51E09563" w14:textId="54839B4B" w:rsidR="00BE7F20" w:rsidRDefault="00A74A16" w:rsidP="00892C7E">
      <w:pPr>
        <w:pStyle w:val="AHPRABulletlevel1last"/>
        <w:numPr>
          <w:ilvl w:val="0"/>
          <w:numId w:val="18"/>
        </w:numPr>
        <w:ind w:left="936" w:hanging="369"/>
      </w:pPr>
      <w:r>
        <w:t xml:space="preserve">Investing </w:t>
      </w:r>
      <w:r w:rsidR="00AF061B">
        <w:t>c</w:t>
      </w:r>
      <w:r>
        <w:t>apital</w:t>
      </w:r>
      <w:r w:rsidR="00BE7F20">
        <w:t xml:space="preserve"> - (long term) to support financial sustainability of </w:t>
      </w:r>
      <w:r w:rsidR="00DA40BD">
        <w:t>the S</w:t>
      </w:r>
      <w:r w:rsidR="00BE7F20">
        <w:t>cheme, comprising investment in a managed investment schemes capped to ensure Ahpra’s target equity is preserved.</w:t>
      </w:r>
    </w:p>
    <w:p w14:paraId="2EFC4F8E" w14:textId="0763EF26" w:rsidR="00A74A16" w:rsidRDefault="00BE7F20" w:rsidP="00041CB3">
      <w:pPr>
        <w:pStyle w:val="AHPRANumberedsubheadinglevel2"/>
      </w:pPr>
      <w:r>
        <w:t xml:space="preserve">The value of the market cap on exposure to loss in negative years is set each year at not more than </w:t>
      </w:r>
      <w:r w:rsidR="00630A64">
        <w:t xml:space="preserve">  </w:t>
      </w:r>
      <w:r>
        <w:t>50% of surplus equity.</w:t>
      </w:r>
    </w:p>
    <w:p w14:paraId="5E46A931" w14:textId="40478B71" w:rsidR="00762758" w:rsidRDefault="00762758" w:rsidP="00041CB3">
      <w:pPr>
        <w:pStyle w:val="AHPRANumberedsubheadinglevel2"/>
      </w:pPr>
      <w:r>
        <w:t xml:space="preserve">The overall allocation of financial assets will be undertaken in accordance with the strategic asset </w:t>
      </w:r>
      <w:r w:rsidRPr="00AF061B">
        <w:t>allocation</w:t>
      </w:r>
      <w:r>
        <w:t>.</w:t>
      </w:r>
    </w:p>
    <w:p w14:paraId="5F1F194A" w14:textId="2F0F9666" w:rsidR="009459C6" w:rsidRPr="00924DCE" w:rsidRDefault="009459C6" w:rsidP="00041CB3">
      <w:pPr>
        <w:pStyle w:val="AHPRASubheadinglevel2"/>
      </w:pPr>
      <w:r w:rsidRPr="00924DCE">
        <w:t xml:space="preserve">Working </w:t>
      </w:r>
      <w:r w:rsidR="00AF061B">
        <w:t>c</w:t>
      </w:r>
      <w:r w:rsidRPr="00924DCE">
        <w:t>apital</w:t>
      </w:r>
    </w:p>
    <w:p w14:paraId="0F1569C9" w14:textId="0CF8D3FF" w:rsidR="00C70DD8" w:rsidRPr="00BD2D49" w:rsidRDefault="00591D4B" w:rsidP="00041CB3">
      <w:pPr>
        <w:pStyle w:val="AHPRANumberedsubheadinglevel2"/>
      </w:pPr>
      <w:r>
        <w:t xml:space="preserve">Working capital requirements </w:t>
      </w:r>
      <w:r w:rsidR="007A5EE0">
        <w:t>will be managed with:</w:t>
      </w:r>
      <w:r>
        <w:t xml:space="preserve"> </w:t>
      </w:r>
    </w:p>
    <w:p w14:paraId="624A5290" w14:textId="599C4C49" w:rsidR="004A7A0C" w:rsidRPr="00924DCE" w:rsidRDefault="00041CB3" w:rsidP="00041CB3">
      <w:pPr>
        <w:pStyle w:val="AHPRABulletlevel1"/>
        <w:ind w:left="936" w:hanging="369"/>
        <w:rPr>
          <w:rFonts w:asciiTheme="minorHAnsi" w:eastAsiaTheme="minorEastAsia" w:hAnsiTheme="minorHAnsi" w:cstheme="minorBidi"/>
        </w:rPr>
      </w:pPr>
      <w:r>
        <w:t>c</w:t>
      </w:r>
      <w:r w:rsidR="375EF6DD" w:rsidRPr="005634AE">
        <w:t>ash</w:t>
      </w:r>
      <w:r w:rsidR="375EF6DD" w:rsidRPr="72484041">
        <w:t xml:space="preserve"> deposits with appropriately rated Australian-owned deposit taking institutions for banking operations</w:t>
      </w:r>
      <w:r w:rsidR="00DD007E">
        <w:t xml:space="preserve"> </w:t>
      </w:r>
      <w:r w:rsidR="0046679C">
        <w:t>with</w:t>
      </w:r>
      <w:r w:rsidR="00DD007E">
        <w:t xml:space="preserve"> </w:t>
      </w:r>
      <w:r w:rsidR="0046679C">
        <w:t>immediate</w:t>
      </w:r>
      <w:r w:rsidR="00DD007E">
        <w:t xml:space="preserve"> liquidity </w:t>
      </w:r>
      <w:r w:rsidR="0046679C">
        <w:t>requirements.</w:t>
      </w:r>
      <w:r w:rsidR="00DD007E">
        <w:t xml:space="preserve"> </w:t>
      </w:r>
    </w:p>
    <w:p w14:paraId="7AB9584A" w14:textId="716BA81D" w:rsidR="00934E71" w:rsidRDefault="00041CB3" w:rsidP="00041CB3">
      <w:pPr>
        <w:pStyle w:val="AHPRABulletlevel1"/>
        <w:spacing w:after="200"/>
        <w:ind w:left="936" w:hanging="369"/>
      </w:pPr>
      <w:r>
        <w:t>f</w:t>
      </w:r>
      <w:r w:rsidR="00DB7602" w:rsidRPr="00AF061B">
        <w:t>ixed</w:t>
      </w:r>
      <w:r w:rsidR="00DB7602" w:rsidRPr="00924DCE">
        <w:t xml:space="preserve"> term deposits </w:t>
      </w:r>
      <w:r w:rsidR="004A7A0C" w:rsidRPr="005F516F">
        <w:t xml:space="preserve">with appropriately rated Australian-owned deposit taking institutions </w:t>
      </w:r>
      <w:r w:rsidR="00321281">
        <w:t>or Government pooling agency</w:t>
      </w:r>
      <w:r w:rsidR="00511B01">
        <w:t xml:space="preserve"> (</w:t>
      </w:r>
      <w:proofErr w:type="spellStart"/>
      <w:r w:rsidR="00511B01">
        <w:t>eg</w:t>
      </w:r>
      <w:proofErr w:type="spellEnd"/>
      <w:r w:rsidR="00511B01">
        <w:t xml:space="preserve"> TCV) </w:t>
      </w:r>
      <w:r w:rsidR="00E01136">
        <w:t>invested between 1</w:t>
      </w:r>
      <w:r w:rsidR="003D2F6A">
        <w:t xml:space="preserve"> </w:t>
      </w:r>
      <w:r w:rsidR="00E01136">
        <w:t xml:space="preserve">month and </w:t>
      </w:r>
      <w:r w:rsidR="00B84AFE">
        <w:t>3</w:t>
      </w:r>
      <w:r w:rsidR="00B212F8">
        <w:t xml:space="preserve"> </w:t>
      </w:r>
      <w:r w:rsidR="001050C5">
        <w:t xml:space="preserve">years to </w:t>
      </w:r>
      <w:r w:rsidR="007F4ED1">
        <w:t>earn a fixed rate of interest</w:t>
      </w:r>
      <w:r w:rsidR="00381954">
        <w:t>. The maturity of Term deposits will be timed</w:t>
      </w:r>
      <w:r w:rsidR="00DB56CC">
        <w:t xml:space="preserve"> to meet </w:t>
      </w:r>
      <w:r w:rsidR="00693D2B">
        <w:t xml:space="preserve">seasonal </w:t>
      </w:r>
      <w:r w:rsidR="00DB56CC">
        <w:t>cashflow requirements</w:t>
      </w:r>
      <w:r w:rsidR="00292507">
        <w:t xml:space="preserve">. </w:t>
      </w:r>
    </w:p>
    <w:p w14:paraId="4ED7FA8E" w14:textId="3F497931" w:rsidR="00BE1A02" w:rsidRPr="00AF061B" w:rsidRDefault="00083676" w:rsidP="00B4707E">
      <w:pPr>
        <w:pStyle w:val="AHPRASubheadinglevel2"/>
        <w:ind w:left="567"/>
        <w:rPr>
          <w:rStyle w:val="SubtleEmphasis"/>
          <w:bCs/>
          <w:i w:val="0"/>
          <w:iCs w:val="0"/>
        </w:rPr>
      </w:pPr>
      <w:r w:rsidRPr="00AF061B">
        <w:rPr>
          <w:rStyle w:val="SubtleEmphasis"/>
          <w:bCs/>
          <w:i w:val="0"/>
          <w:iCs w:val="0"/>
        </w:rPr>
        <w:t>S</w:t>
      </w:r>
      <w:r w:rsidR="00CD2C61" w:rsidRPr="00AF061B">
        <w:rPr>
          <w:rStyle w:val="SubtleEmphasis"/>
          <w:bCs/>
          <w:i w:val="0"/>
          <w:iCs w:val="0"/>
        </w:rPr>
        <w:t>trategic asset allocation</w:t>
      </w:r>
    </w:p>
    <w:tbl>
      <w:tblPr>
        <w:tblStyle w:val="GridTable4-Accent12"/>
        <w:tblW w:w="4708" w:type="pct"/>
        <w:tblInd w:w="562" w:type="dxa"/>
        <w:tblLook w:val="04A0" w:firstRow="1" w:lastRow="0" w:firstColumn="1" w:lastColumn="0" w:noHBand="0" w:noVBand="1"/>
      </w:tblPr>
      <w:tblGrid>
        <w:gridCol w:w="2586"/>
        <w:gridCol w:w="3938"/>
        <w:gridCol w:w="2525"/>
      </w:tblGrid>
      <w:tr w:rsidR="00BE1A02" w:rsidRPr="0004520A" w14:paraId="0E369987" w14:textId="77777777" w:rsidTr="00B470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pct"/>
          </w:tcPr>
          <w:p w14:paraId="4EB406E8" w14:textId="77777777" w:rsidR="00BE1A02" w:rsidRPr="00924DCE" w:rsidRDefault="00BE1A02" w:rsidP="008819E5">
            <w:pPr>
              <w:tabs>
                <w:tab w:val="left" w:pos="1607"/>
                <w:tab w:val="left" w:pos="1608"/>
              </w:tabs>
              <w:spacing w:beforeLines="40" w:before="96" w:line="244" w:lineRule="exact"/>
              <w:mirrorIndents/>
              <w:rPr>
                <w:sz w:val="18"/>
                <w:szCs w:val="18"/>
              </w:rPr>
            </w:pPr>
            <w:r w:rsidRPr="00924DCE">
              <w:rPr>
                <w:sz w:val="18"/>
                <w:szCs w:val="18"/>
              </w:rPr>
              <w:t>Asset class</w:t>
            </w:r>
          </w:p>
        </w:tc>
        <w:tc>
          <w:tcPr>
            <w:tcW w:w="2176" w:type="pct"/>
          </w:tcPr>
          <w:p w14:paraId="6B79CCA4" w14:textId="116FFF35" w:rsidR="00BE1A02" w:rsidRPr="00924DCE" w:rsidRDefault="00BE1A02" w:rsidP="008819E5">
            <w:pPr>
              <w:tabs>
                <w:tab w:val="left" w:pos="1607"/>
                <w:tab w:val="left" w:pos="1608"/>
              </w:tabs>
              <w:spacing w:beforeLines="40" w:before="96" w:line="244" w:lineRule="exact"/>
              <w:mirrorIndents/>
              <w:jc w:val="center"/>
              <w:cnfStyle w:val="100000000000" w:firstRow="1" w:lastRow="0" w:firstColumn="0" w:lastColumn="0" w:oddVBand="0" w:evenVBand="0" w:oddHBand="0" w:evenHBand="0" w:firstRowFirstColumn="0" w:firstRowLastColumn="0" w:lastRowFirstColumn="0" w:lastRowLastColumn="0"/>
              <w:rPr>
                <w:sz w:val="18"/>
                <w:szCs w:val="18"/>
              </w:rPr>
            </w:pPr>
            <w:r w:rsidRPr="00924DCE">
              <w:rPr>
                <w:sz w:val="18"/>
                <w:szCs w:val="18"/>
              </w:rPr>
              <w:t xml:space="preserve">Strategic </w:t>
            </w:r>
            <w:r w:rsidR="00AF061B">
              <w:rPr>
                <w:sz w:val="18"/>
                <w:szCs w:val="18"/>
              </w:rPr>
              <w:t>b</w:t>
            </w:r>
            <w:r w:rsidRPr="00924DCE">
              <w:rPr>
                <w:sz w:val="18"/>
                <w:szCs w:val="18"/>
              </w:rPr>
              <w:t>enchmark (%)</w:t>
            </w:r>
          </w:p>
        </w:tc>
        <w:tc>
          <w:tcPr>
            <w:tcW w:w="1395" w:type="pct"/>
          </w:tcPr>
          <w:p w14:paraId="3AACB207" w14:textId="77777777" w:rsidR="00BE1A02" w:rsidRPr="00924DCE" w:rsidRDefault="00BE1A02" w:rsidP="008819E5">
            <w:pPr>
              <w:tabs>
                <w:tab w:val="left" w:pos="1607"/>
                <w:tab w:val="left" w:pos="1608"/>
              </w:tabs>
              <w:spacing w:beforeLines="40" w:before="96" w:line="244" w:lineRule="exact"/>
              <w:mirrorIndents/>
              <w:jc w:val="center"/>
              <w:cnfStyle w:val="100000000000" w:firstRow="1" w:lastRow="0" w:firstColumn="0" w:lastColumn="0" w:oddVBand="0" w:evenVBand="0" w:oddHBand="0" w:evenHBand="0" w:firstRowFirstColumn="0" w:firstRowLastColumn="0" w:lastRowFirstColumn="0" w:lastRowLastColumn="0"/>
              <w:rPr>
                <w:sz w:val="18"/>
                <w:szCs w:val="18"/>
              </w:rPr>
            </w:pPr>
            <w:r w:rsidRPr="00924DCE">
              <w:rPr>
                <w:sz w:val="18"/>
                <w:szCs w:val="18"/>
              </w:rPr>
              <w:t>Range (%)</w:t>
            </w:r>
          </w:p>
        </w:tc>
      </w:tr>
      <w:tr w:rsidR="00BE1A02" w:rsidRPr="0004520A" w14:paraId="44DE3FDF" w14:textId="77777777" w:rsidTr="00B47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pct"/>
          </w:tcPr>
          <w:p w14:paraId="5FAC817E" w14:textId="77777777" w:rsidR="00BE1A02" w:rsidRPr="00924DCE" w:rsidRDefault="00BE1A02" w:rsidP="008819E5">
            <w:pPr>
              <w:tabs>
                <w:tab w:val="left" w:pos="1607"/>
                <w:tab w:val="left" w:pos="1608"/>
              </w:tabs>
              <w:spacing w:beforeLines="40" w:before="96" w:line="244" w:lineRule="exact"/>
              <w:mirrorIndents/>
              <w:rPr>
                <w:sz w:val="18"/>
                <w:szCs w:val="18"/>
              </w:rPr>
            </w:pPr>
            <w:r w:rsidRPr="00924DCE">
              <w:rPr>
                <w:sz w:val="18"/>
                <w:szCs w:val="18"/>
              </w:rPr>
              <w:t>Cash at call deposits</w:t>
            </w:r>
          </w:p>
        </w:tc>
        <w:tc>
          <w:tcPr>
            <w:tcW w:w="2176" w:type="pct"/>
          </w:tcPr>
          <w:p w14:paraId="77F0BA7A" w14:textId="77777777" w:rsidR="00BE1A02" w:rsidRPr="00924DCE" w:rsidRDefault="00BE1A02" w:rsidP="008819E5">
            <w:pPr>
              <w:tabs>
                <w:tab w:val="left" w:pos="1607"/>
                <w:tab w:val="left" w:pos="1608"/>
              </w:tabs>
              <w:spacing w:beforeLines="40" w:before="96" w:line="244" w:lineRule="exact"/>
              <w:mirrorIndents/>
              <w:jc w:val="center"/>
              <w:cnfStyle w:val="000000100000" w:firstRow="0" w:lastRow="0" w:firstColumn="0" w:lastColumn="0" w:oddVBand="0" w:evenVBand="0" w:oddHBand="1" w:evenHBand="0" w:firstRowFirstColumn="0" w:firstRowLastColumn="0" w:lastRowFirstColumn="0" w:lastRowLastColumn="0"/>
              <w:rPr>
                <w:sz w:val="18"/>
                <w:szCs w:val="18"/>
              </w:rPr>
            </w:pPr>
            <w:r w:rsidRPr="00924DCE">
              <w:rPr>
                <w:sz w:val="18"/>
                <w:szCs w:val="18"/>
              </w:rPr>
              <w:t>10</w:t>
            </w:r>
          </w:p>
        </w:tc>
        <w:tc>
          <w:tcPr>
            <w:tcW w:w="1395" w:type="pct"/>
          </w:tcPr>
          <w:p w14:paraId="692ED640" w14:textId="77777777" w:rsidR="00BE1A02" w:rsidRPr="00924DCE" w:rsidRDefault="00BE1A02" w:rsidP="008819E5">
            <w:pPr>
              <w:tabs>
                <w:tab w:val="left" w:pos="1607"/>
                <w:tab w:val="left" w:pos="1608"/>
              </w:tabs>
              <w:spacing w:beforeLines="40" w:before="96" w:line="244" w:lineRule="exact"/>
              <w:mirrorIndents/>
              <w:jc w:val="center"/>
              <w:cnfStyle w:val="000000100000" w:firstRow="0" w:lastRow="0" w:firstColumn="0" w:lastColumn="0" w:oddVBand="0" w:evenVBand="0" w:oddHBand="1" w:evenHBand="0" w:firstRowFirstColumn="0" w:firstRowLastColumn="0" w:lastRowFirstColumn="0" w:lastRowLastColumn="0"/>
              <w:rPr>
                <w:sz w:val="18"/>
                <w:szCs w:val="18"/>
              </w:rPr>
            </w:pPr>
            <w:r w:rsidRPr="00924DCE">
              <w:rPr>
                <w:sz w:val="18"/>
                <w:szCs w:val="18"/>
              </w:rPr>
              <w:t>5 - 25</w:t>
            </w:r>
          </w:p>
        </w:tc>
      </w:tr>
      <w:tr w:rsidR="00BE1A02" w:rsidRPr="0004520A" w14:paraId="21C77422" w14:textId="77777777" w:rsidTr="00B4707E">
        <w:tc>
          <w:tcPr>
            <w:cnfStyle w:val="001000000000" w:firstRow="0" w:lastRow="0" w:firstColumn="1" w:lastColumn="0" w:oddVBand="0" w:evenVBand="0" w:oddHBand="0" w:evenHBand="0" w:firstRowFirstColumn="0" w:firstRowLastColumn="0" w:lastRowFirstColumn="0" w:lastRowLastColumn="0"/>
            <w:tcW w:w="1429" w:type="pct"/>
          </w:tcPr>
          <w:p w14:paraId="1D453A10" w14:textId="77777777" w:rsidR="00BE1A02" w:rsidRPr="00924DCE" w:rsidRDefault="00BE1A02" w:rsidP="008819E5">
            <w:pPr>
              <w:tabs>
                <w:tab w:val="left" w:pos="1607"/>
                <w:tab w:val="left" w:pos="1608"/>
              </w:tabs>
              <w:spacing w:beforeLines="40" w:before="96" w:line="244" w:lineRule="exact"/>
              <w:mirrorIndents/>
              <w:rPr>
                <w:sz w:val="18"/>
                <w:szCs w:val="18"/>
              </w:rPr>
            </w:pPr>
            <w:r w:rsidRPr="00924DCE">
              <w:rPr>
                <w:sz w:val="18"/>
                <w:szCs w:val="18"/>
              </w:rPr>
              <w:t>Term deposits</w:t>
            </w:r>
          </w:p>
        </w:tc>
        <w:tc>
          <w:tcPr>
            <w:tcW w:w="2176" w:type="pct"/>
          </w:tcPr>
          <w:p w14:paraId="03D12872" w14:textId="77777777" w:rsidR="00BE1A02" w:rsidRPr="00924DCE" w:rsidRDefault="00BE1A02" w:rsidP="008819E5">
            <w:pPr>
              <w:tabs>
                <w:tab w:val="left" w:pos="1607"/>
                <w:tab w:val="left" w:pos="1608"/>
              </w:tabs>
              <w:spacing w:beforeLines="40" w:before="96" w:line="244" w:lineRule="exact"/>
              <w:mirrorIndents/>
              <w:jc w:val="center"/>
              <w:cnfStyle w:val="000000000000" w:firstRow="0" w:lastRow="0" w:firstColumn="0" w:lastColumn="0" w:oddVBand="0" w:evenVBand="0" w:oddHBand="0" w:evenHBand="0" w:firstRowFirstColumn="0" w:firstRowLastColumn="0" w:lastRowFirstColumn="0" w:lastRowLastColumn="0"/>
              <w:rPr>
                <w:sz w:val="18"/>
                <w:szCs w:val="18"/>
              </w:rPr>
            </w:pPr>
            <w:r w:rsidRPr="00924DCE">
              <w:rPr>
                <w:sz w:val="18"/>
                <w:szCs w:val="18"/>
              </w:rPr>
              <w:t>90</w:t>
            </w:r>
          </w:p>
        </w:tc>
        <w:tc>
          <w:tcPr>
            <w:tcW w:w="1395" w:type="pct"/>
          </w:tcPr>
          <w:p w14:paraId="0A094C79" w14:textId="77777777" w:rsidR="00BE1A02" w:rsidRPr="00924DCE" w:rsidRDefault="00BE1A02" w:rsidP="008819E5">
            <w:pPr>
              <w:tabs>
                <w:tab w:val="left" w:pos="1607"/>
                <w:tab w:val="left" w:pos="1608"/>
              </w:tabs>
              <w:spacing w:beforeLines="40" w:before="96" w:line="244" w:lineRule="exact"/>
              <w:mirrorIndents/>
              <w:jc w:val="center"/>
              <w:cnfStyle w:val="000000000000" w:firstRow="0" w:lastRow="0" w:firstColumn="0" w:lastColumn="0" w:oddVBand="0" w:evenVBand="0" w:oddHBand="0" w:evenHBand="0" w:firstRowFirstColumn="0" w:firstRowLastColumn="0" w:lastRowFirstColumn="0" w:lastRowLastColumn="0"/>
              <w:rPr>
                <w:sz w:val="18"/>
                <w:szCs w:val="18"/>
              </w:rPr>
            </w:pPr>
            <w:r w:rsidRPr="00924DCE">
              <w:rPr>
                <w:sz w:val="18"/>
                <w:szCs w:val="18"/>
              </w:rPr>
              <w:t>75 - 95</w:t>
            </w:r>
          </w:p>
        </w:tc>
      </w:tr>
      <w:tr w:rsidR="00BE1A02" w:rsidRPr="0004520A" w14:paraId="2ECCBC7A" w14:textId="77777777" w:rsidTr="00B47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pct"/>
          </w:tcPr>
          <w:p w14:paraId="7BBEFC56" w14:textId="77777777" w:rsidR="00BE1A02" w:rsidRPr="00924DCE" w:rsidRDefault="00BE1A02" w:rsidP="008819E5">
            <w:pPr>
              <w:tabs>
                <w:tab w:val="left" w:pos="1607"/>
                <w:tab w:val="left" w:pos="1608"/>
              </w:tabs>
              <w:spacing w:beforeLines="40" w:before="96" w:line="244" w:lineRule="exact"/>
              <w:mirrorIndents/>
              <w:rPr>
                <w:sz w:val="18"/>
                <w:szCs w:val="18"/>
              </w:rPr>
            </w:pPr>
            <w:r w:rsidRPr="00924DCE">
              <w:rPr>
                <w:sz w:val="18"/>
                <w:szCs w:val="18"/>
              </w:rPr>
              <w:t>TOTAL</w:t>
            </w:r>
          </w:p>
        </w:tc>
        <w:tc>
          <w:tcPr>
            <w:tcW w:w="2176" w:type="pct"/>
          </w:tcPr>
          <w:p w14:paraId="68E37416" w14:textId="77777777" w:rsidR="00BE1A02" w:rsidRPr="00924DCE" w:rsidRDefault="00BE1A02" w:rsidP="008819E5">
            <w:pPr>
              <w:tabs>
                <w:tab w:val="left" w:pos="1607"/>
                <w:tab w:val="left" w:pos="1608"/>
              </w:tabs>
              <w:spacing w:beforeLines="40" w:before="96" w:line="244" w:lineRule="exact"/>
              <w:mirrorIndents/>
              <w:jc w:val="center"/>
              <w:cnfStyle w:val="000000100000" w:firstRow="0" w:lastRow="0" w:firstColumn="0" w:lastColumn="0" w:oddVBand="0" w:evenVBand="0" w:oddHBand="1" w:evenHBand="0" w:firstRowFirstColumn="0" w:firstRowLastColumn="0" w:lastRowFirstColumn="0" w:lastRowLastColumn="0"/>
              <w:rPr>
                <w:sz w:val="18"/>
                <w:szCs w:val="18"/>
              </w:rPr>
            </w:pPr>
            <w:r w:rsidRPr="00924DCE">
              <w:rPr>
                <w:sz w:val="18"/>
                <w:szCs w:val="18"/>
              </w:rPr>
              <w:t>100</w:t>
            </w:r>
          </w:p>
        </w:tc>
        <w:tc>
          <w:tcPr>
            <w:tcW w:w="1395" w:type="pct"/>
          </w:tcPr>
          <w:p w14:paraId="78E97224" w14:textId="77777777" w:rsidR="00BE1A02" w:rsidRPr="00924DCE" w:rsidRDefault="00BE1A02" w:rsidP="008819E5">
            <w:pPr>
              <w:tabs>
                <w:tab w:val="left" w:pos="1607"/>
                <w:tab w:val="left" w:pos="1608"/>
              </w:tabs>
              <w:spacing w:beforeLines="40" w:before="96" w:line="244" w:lineRule="exact"/>
              <w:mirrorIndents/>
              <w:cnfStyle w:val="000000100000" w:firstRow="0" w:lastRow="0" w:firstColumn="0" w:lastColumn="0" w:oddVBand="0" w:evenVBand="0" w:oddHBand="1" w:evenHBand="0" w:firstRowFirstColumn="0" w:firstRowLastColumn="0" w:lastRowFirstColumn="0" w:lastRowLastColumn="0"/>
              <w:rPr>
                <w:sz w:val="18"/>
                <w:szCs w:val="18"/>
              </w:rPr>
            </w:pPr>
          </w:p>
        </w:tc>
      </w:tr>
    </w:tbl>
    <w:p w14:paraId="75E184A6" w14:textId="31710A42" w:rsidR="00083676" w:rsidRPr="00AF061B" w:rsidRDefault="00083676" w:rsidP="007E15D7">
      <w:pPr>
        <w:pStyle w:val="AHPRASubheadinglevel2"/>
        <w:ind w:left="567"/>
        <w:rPr>
          <w:rStyle w:val="SubtleEmphasis"/>
          <w:i w:val="0"/>
          <w:iCs w:val="0"/>
          <w:color w:val="auto"/>
        </w:rPr>
      </w:pPr>
      <w:r w:rsidRPr="00AF061B">
        <w:rPr>
          <w:rStyle w:val="SubtleEmphasis"/>
          <w:i w:val="0"/>
          <w:iCs w:val="0"/>
          <w:color w:val="auto"/>
        </w:rPr>
        <w:t>B</w:t>
      </w:r>
      <w:r w:rsidR="00203FD9" w:rsidRPr="00AF061B">
        <w:rPr>
          <w:rStyle w:val="SubtleEmphasis"/>
          <w:i w:val="0"/>
          <w:iCs w:val="0"/>
          <w:color w:val="auto"/>
        </w:rPr>
        <w:t xml:space="preserve">enchmark </w:t>
      </w:r>
      <w:r w:rsidR="0033052F" w:rsidRPr="00AF061B">
        <w:rPr>
          <w:rStyle w:val="SubtleEmphasis"/>
          <w:i w:val="0"/>
          <w:iCs w:val="0"/>
          <w:color w:val="auto"/>
        </w:rPr>
        <w:t xml:space="preserve">returns </w:t>
      </w:r>
      <w:r w:rsidR="00203FD9" w:rsidRPr="00AF061B">
        <w:rPr>
          <w:rStyle w:val="SubtleEmphasis"/>
          <w:i w:val="0"/>
          <w:iCs w:val="0"/>
          <w:color w:val="auto"/>
        </w:rPr>
        <w:t>compris</w:t>
      </w:r>
      <w:r w:rsidRPr="00AF061B">
        <w:rPr>
          <w:rStyle w:val="SubtleEmphasis"/>
          <w:i w:val="0"/>
          <w:iCs w:val="0"/>
          <w:color w:val="auto"/>
        </w:rPr>
        <w:t>e</w:t>
      </w:r>
      <w:r w:rsidR="00041CB3">
        <w:rPr>
          <w:rStyle w:val="SubtleEmphasis"/>
          <w:i w:val="0"/>
          <w:iCs w:val="0"/>
          <w:color w:val="auto"/>
        </w:rPr>
        <w:t>:</w:t>
      </w:r>
    </w:p>
    <w:p w14:paraId="1ECB6AE8" w14:textId="079AB12F" w:rsidR="00083676" w:rsidRPr="00E079E1" w:rsidRDefault="00203FD9" w:rsidP="007E15D7">
      <w:pPr>
        <w:pStyle w:val="AHPRABulletlevel1"/>
        <w:ind w:left="936" w:hanging="369"/>
      </w:pPr>
      <w:r w:rsidRPr="00E079E1">
        <w:t>the R</w:t>
      </w:r>
      <w:r w:rsidR="005F2220" w:rsidRPr="00E079E1">
        <w:t xml:space="preserve">eserve </w:t>
      </w:r>
      <w:r w:rsidRPr="00E079E1">
        <w:t>B</w:t>
      </w:r>
      <w:r w:rsidR="005F2220" w:rsidRPr="00E079E1">
        <w:t xml:space="preserve">ank </w:t>
      </w:r>
      <w:r w:rsidRPr="00E079E1">
        <w:t>A</w:t>
      </w:r>
      <w:r w:rsidR="005F2220" w:rsidRPr="00E079E1">
        <w:t>ustralia (RBA)</w:t>
      </w:r>
      <w:r w:rsidRPr="00E079E1">
        <w:t xml:space="preserve"> </w:t>
      </w:r>
      <w:r w:rsidR="00AF061B" w:rsidRPr="00E079E1">
        <w:t>cash r</w:t>
      </w:r>
      <w:r w:rsidRPr="00E079E1">
        <w:t>ate for the cash component</w:t>
      </w:r>
      <w:r w:rsidR="002C0042" w:rsidRPr="00E079E1">
        <w:t xml:space="preserve"> -</w:t>
      </w:r>
      <w:r w:rsidR="00447FF2" w:rsidRPr="00E079E1">
        <w:t xml:space="preserve"> </w:t>
      </w:r>
      <w:r w:rsidR="003D0256" w:rsidRPr="00E079E1">
        <w:t>being the weighted average interest rate on unsecured overnight loans between banks</w:t>
      </w:r>
      <w:r w:rsidR="005F2220" w:rsidRPr="00E079E1">
        <w:t>,</w:t>
      </w:r>
      <w:r w:rsidRPr="00E079E1">
        <w:t xml:space="preserve"> and </w:t>
      </w:r>
    </w:p>
    <w:p w14:paraId="58D3ADD0" w14:textId="6D70A60E" w:rsidR="00934E71" w:rsidRDefault="00096AB3" w:rsidP="007E15D7">
      <w:pPr>
        <w:pStyle w:val="AHPRABulletlevel1"/>
        <w:spacing w:after="200"/>
        <w:ind w:left="936" w:hanging="369"/>
        <w:rPr>
          <w:szCs w:val="20"/>
        </w:rPr>
      </w:pPr>
      <w:r w:rsidRPr="00E079E1">
        <w:t xml:space="preserve">Bank </w:t>
      </w:r>
      <w:r w:rsidR="00AF061B" w:rsidRPr="00E079E1">
        <w:t xml:space="preserve">bill swap rates </w:t>
      </w:r>
      <w:r w:rsidRPr="00E079E1">
        <w:t xml:space="preserve">(BBSW) </w:t>
      </w:r>
      <w:r w:rsidR="00203FD9" w:rsidRPr="00E079E1">
        <w:t>for the fixed interest component</w:t>
      </w:r>
      <w:r w:rsidR="002C0042" w:rsidRPr="00E079E1">
        <w:t xml:space="preserve"> -</w:t>
      </w:r>
      <w:r w:rsidR="006B431E" w:rsidRPr="00E079E1">
        <w:t xml:space="preserve"> </w:t>
      </w:r>
      <w:r w:rsidR="00BB23FF" w:rsidRPr="00E079E1">
        <w:t xml:space="preserve">being the floating rate </w:t>
      </w:r>
      <w:r w:rsidR="002C0042" w:rsidRPr="00E079E1">
        <w:t>for</w:t>
      </w:r>
      <w:r w:rsidR="002C0042" w:rsidRPr="00FC74F8">
        <w:rPr>
          <w:szCs w:val="20"/>
        </w:rPr>
        <w:t xml:space="preserve"> </w:t>
      </w:r>
      <w:r w:rsidR="00BB23FF" w:rsidRPr="00FC74F8">
        <w:rPr>
          <w:szCs w:val="20"/>
        </w:rPr>
        <w:t>bonds and other securities.</w:t>
      </w:r>
    </w:p>
    <w:p w14:paraId="2E1C2558" w14:textId="77777777" w:rsidR="00F8335D" w:rsidRPr="00E079E1" w:rsidRDefault="00F8335D" w:rsidP="007E15D7">
      <w:pPr>
        <w:pStyle w:val="AHPRASubheadinglevel2"/>
        <w:ind w:left="567"/>
        <w:rPr>
          <w:rStyle w:val="SubtleEmphasis"/>
          <w:i w:val="0"/>
          <w:iCs w:val="0"/>
          <w:color w:val="auto"/>
        </w:rPr>
      </w:pPr>
      <w:r w:rsidRPr="00E079E1">
        <w:rPr>
          <w:rStyle w:val="SubtleEmphasis"/>
          <w:i w:val="0"/>
          <w:iCs w:val="0"/>
          <w:color w:val="auto"/>
        </w:rPr>
        <w:t>Maximum investment exposure for cash deposits</w:t>
      </w:r>
    </w:p>
    <w:p w14:paraId="213619C9" w14:textId="338809F7" w:rsidR="00934E71" w:rsidRDefault="00934E71" w:rsidP="007E15D7">
      <w:pPr>
        <w:pStyle w:val="AHPRABulletlevel1"/>
        <w:ind w:left="936" w:hanging="369"/>
      </w:pPr>
      <w:r>
        <w:t xml:space="preserve">To mitigate concentration risk, fixed term deposits are to be a diverse portfolio across providers.  One provider can be </w:t>
      </w:r>
      <w:r w:rsidRPr="005634AE">
        <w:t>allocated</w:t>
      </w:r>
      <w:r>
        <w:t xml:space="preserve"> no more than 40% of investment funds.</w:t>
      </w:r>
    </w:p>
    <w:p w14:paraId="329771E4" w14:textId="0737B2B5" w:rsidR="000F42B3" w:rsidRDefault="00F8335D" w:rsidP="007E15D7">
      <w:pPr>
        <w:pStyle w:val="AHPRABulletlevel1"/>
        <w:spacing w:after="200"/>
        <w:ind w:left="936" w:hanging="369"/>
      </w:pPr>
      <w:r w:rsidRPr="007E15D7">
        <w:rPr>
          <w:szCs w:val="20"/>
        </w:rPr>
        <w:t>Australian</w:t>
      </w:r>
      <w:r w:rsidRPr="003A100C">
        <w:t>-owned deposit taking institutions must be rated by S&amp;P Global (Standard &amp; Poor’s) or Moody’s. with a minimum long-term rating A</w:t>
      </w:r>
      <w:r w:rsidRPr="003A100C" w:rsidDel="004B1769">
        <w:t>A-</w:t>
      </w:r>
      <w:r w:rsidRPr="003A100C">
        <w:t xml:space="preserve"> (S&amp;P) or Aa3 (Moody’s)</w:t>
      </w:r>
      <w:r w:rsidR="00E2224E">
        <w:t>.</w:t>
      </w:r>
    </w:p>
    <w:p w14:paraId="5A60051E" w14:textId="3AC0B135" w:rsidR="000F42B3" w:rsidRPr="00E079E1" w:rsidRDefault="00683D1F" w:rsidP="00B4707E">
      <w:pPr>
        <w:pStyle w:val="AHPRASubheadinglevel2"/>
      </w:pPr>
      <w:r w:rsidRPr="005634AE">
        <w:t>Investing</w:t>
      </w:r>
      <w:r w:rsidRPr="00E079E1">
        <w:t xml:space="preserve"> </w:t>
      </w:r>
      <w:r w:rsidR="005634AE" w:rsidRPr="00E079E1">
        <w:t>c</w:t>
      </w:r>
      <w:r w:rsidRPr="00E079E1">
        <w:t>apital</w:t>
      </w:r>
    </w:p>
    <w:p w14:paraId="4E607E26" w14:textId="38C3618F" w:rsidR="00E54B51" w:rsidRPr="00E079E1" w:rsidRDefault="00610034" w:rsidP="00041CB3">
      <w:pPr>
        <w:pStyle w:val="AHPRANumberedsubheadinglevel2"/>
        <w:rPr>
          <w:rFonts w:asciiTheme="minorHAnsi" w:eastAsiaTheme="minorEastAsia" w:hAnsiTheme="minorHAnsi" w:cstheme="minorBidi"/>
          <w:szCs w:val="20"/>
        </w:rPr>
      </w:pPr>
      <w:r>
        <w:t>Investing</w:t>
      </w:r>
      <w:r w:rsidR="000279E1">
        <w:t xml:space="preserve"> </w:t>
      </w:r>
      <w:r>
        <w:t>capital</w:t>
      </w:r>
      <w:r w:rsidR="000279E1">
        <w:t xml:space="preserve"> will </w:t>
      </w:r>
      <w:r w:rsidR="00E54B51">
        <w:t>be managed</w:t>
      </w:r>
      <w:r w:rsidR="00B4707E">
        <w:t>:</w:t>
      </w:r>
    </w:p>
    <w:p w14:paraId="0F9EA593" w14:textId="321590E9" w:rsidR="004F2432" w:rsidRPr="00E079E1" w:rsidRDefault="00B4707E" w:rsidP="00B4707E">
      <w:pPr>
        <w:pStyle w:val="AHPRABulletlevel1"/>
        <w:ind w:left="936" w:hanging="369"/>
        <w:rPr>
          <w:rFonts w:asciiTheme="minorHAnsi" w:eastAsiaTheme="minorEastAsia" w:hAnsiTheme="minorHAnsi" w:cstheme="minorBidi"/>
          <w:szCs w:val="20"/>
        </w:rPr>
      </w:pPr>
      <w:r>
        <w:t>T</w:t>
      </w:r>
      <w:r w:rsidR="00E54B51">
        <w:t xml:space="preserve">o </w:t>
      </w:r>
      <w:r w:rsidR="00610034">
        <w:t>u</w:t>
      </w:r>
      <w:r w:rsidR="00322B78" w:rsidRPr="00924DCE">
        <w:t>tilise the</w:t>
      </w:r>
      <w:r w:rsidR="003B2D85" w:rsidRPr="00924DCE">
        <w:t xml:space="preserve"> portfolio of </w:t>
      </w:r>
      <w:r w:rsidR="00A019A5" w:rsidRPr="00924DCE">
        <w:t>surplus</w:t>
      </w:r>
      <w:r w:rsidR="003B2D85" w:rsidRPr="00924DCE">
        <w:t xml:space="preserve"> funds</w:t>
      </w:r>
      <w:r w:rsidR="005307BD" w:rsidRPr="00924DCE">
        <w:t xml:space="preserve"> </w:t>
      </w:r>
      <w:r w:rsidR="006D48B6" w:rsidRPr="00924DCE">
        <w:t xml:space="preserve">that is not required to meet the </w:t>
      </w:r>
      <w:r w:rsidR="00AA6A1B" w:rsidRPr="00924DCE">
        <w:t xml:space="preserve">short or medium term </w:t>
      </w:r>
      <w:r w:rsidR="006D48B6" w:rsidRPr="00924DCE">
        <w:t xml:space="preserve">cashflow needs of the </w:t>
      </w:r>
      <w:r w:rsidR="00A019A5" w:rsidRPr="00924DCE">
        <w:t xml:space="preserve">National Scheme. </w:t>
      </w:r>
    </w:p>
    <w:p w14:paraId="4B2EF9FB" w14:textId="39B7429E" w:rsidR="00B828D3" w:rsidRPr="00AB3F69" w:rsidRDefault="003D0647" w:rsidP="00B4707E">
      <w:pPr>
        <w:pStyle w:val="AHPRABulletlevel1"/>
        <w:ind w:left="936" w:hanging="369"/>
      </w:pPr>
      <w:r>
        <w:t xml:space="preserve">Investing capital requirements </w:t>
      </w:r>
      <w:r w:rsidRPr="00AB3F69">
        <w:t>will be managed with</w:t>
      </w:r>
      <w:r w:rsidR="004F2432">
        <w:t xml:space="preserve"> m</w:t>
      </w:r>
      <w:r w:rsidR="00281BEE" w:rsidRPr="00AB3F69">
        <w:t>anaged investment schemes with Fund management agencies</w:t>
      </w:r>
    </w:p>
    <w:p w14:paraId="3CA99BD9" w14:textId="7F9C9089" w:rsidR="00E1657D" w:rsidRPr="007D6193" w:rsidRDefault="00E1657D" w:rsidP="00B4707E">
      <w:pPr>
        <w:pStyle w:val="AHPRABulletlevel1"/>
        <w:ind w:left="936" w:hanging="369"/>
      </w:pPr>
      <w:r w:rsidRPr="007D6193">
        <w:t xml:space="preserve">The value of investing funds allocated to this pool is subject to a market cap to limit exposure to loss, with balance of funds above the cap retained in the </w:t>
      </w:r>
      <w:r w:rsidR="009902F1" w:rsidRPr="007D6193">
        <w:t>short- and medium-term</w:t>
      </w:r>
      <w:r w:rsidRPr="007D6193">
        <w:t xml:space="preserve"> investment pool and invested in fixed term deposits. The value of the market cap on exposure to loss in negative years is set each year at not more than 50% of surplus equity.</w:t>
      </w:r>
    </w:p>
    <w:p w14:paraId="6993BDA8" w14:textId="77777777" w:rsidR="005634AE" w:rsidRDefault="005634AE" w:rsidP="008819E5">
      <w:pPr>
        <w:spacing w:beforeLines="40" w:before="96"/>
        <w:rPr>
          <w:rStyle w:val="SubtleEmphasis"/>
          <w:rFonts w:eastAsia="Cambria"/>
          <w:b/>
          <w:bCs/>
          <w:sz w:val="20"/>
          <w:szCs w:val="24"/>
          <w:lang w:val="en-AU"/>
        </w:rPr>
      </w:pPr>
      <w:r>
        <w:rPr>
          <w:rStyle w:val="SubtleEmphasis"/>
          <w:b/>
          <w:bCs/>
        </w:rPr>
        <w:br w:type="page"/>
      </w:r>
    </w:p>
    <w:p w14:paraId="51CCABDF" w14:textId="16D0F6AB" w:rsidR="00E1657D" w:rsidRPr="005634AE" w:rsidRDefault="00D01863" w:rsidP="002F378A">
      <w:pPr>
        <w:pStyle w:val="AHPRASubheadinglevel2"/>
        <w:spacing w:beforeLines="40" w:before="96"/>
        <w:ind w:left="567"/>
        <w:rPr>
          <w:rStyle w:val="SubtleEmphasis"/>
          <w:bCs/>
          <w:i w:val="0"/>
          <w:iCs w:val="0"/>
        </w:rPr>
      </w:pPr>
      <w:r w:rsidRPr="005634AE">
        <w:rPr>
          <w:rStyle w:val="SubtleEmphasis"/>
          <w:bCs/>
          <w:i w:val="0"/>
          <w:iCs w:val="0"/>
        </w:rPr>
        <w:lastRenderedPageBreak/>
        <w:t>S</w:t>
      </w:r>
      <w:r w:rsidR="00E1657D" w:rsidRPr="005634AE">
        <w:rPr>
          <w:rStyle w:val="SubtleEmphasis"/>
          <w:bCs/>
          <w:i w:val="0"/>
          <w:iCs w:val="0"/>
        </w:rPr>
        <w:t xml:space="preserve">trategic asset </w:t>
      </w:r>
      <w:r w:rsidR="00E1657D" w:rsidRPr="005634AE">
        <w:rPr>
          <w:rStyle w:val="SubtleEmphasis"/>
          <w:i w:val="0"/>
          <w:iCs w:val="0"/>
          <w:color w:val="auto"/>
        </w:rPr>
        <w:t>allocation</w:t>
      </w:r>
      <w:r w:rsidR="00E1657D" w:rsidRPr="005634AE">
        <w:rPr>
          <w:rStyle w:val="SubtleEmphasis"/>
          <w:bCs/>
          <w:i w:val="0"/>
          <w:iCs w:val="0"/>
        </w:rPr>
        <w:t xml:space="preserve"> </w:t>
      </w:r>
    </w:p>
    <w:tbl>
      <w:tblPr>
        <w:tblStyle w:val="GridTable4-Accent12"/>
        <w:tblW w:w="4708" w:type="pct"/>
        <w:tblInd w:w="562" w:type="dxa"/>
        <w:tblLook w:val="04A0" w:firstRow="1" w:lastRow="0" w:firstColumn="1" w:lastColumn="0" w:noHBand="0" w:noVBand="1"/>
      </w:tblPr>
      <w:tblGrid>
        <w:gridCol w:w="2646"/>
        <w:gridCol w:w="3207"/>
        <w:gridCol w:w="3196"/>
      </w:tblGrid>
      <w:tr w:rsidR="00E1657D" w:rsidRPr="0004520A" w14:paraId="4EBA1B43" w14:textId="77777777" w:rsidTr="002F37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14:paraId="33EA7443" w14:textId="41244E04" w:rsidR="00E1657D" w:rsidRPr="0004520A" w:rsidRDefault="00E1657D" w:rsidP="008819E5">
            <w:pPr>
              <w:tabs>
                <w:tab w:val="left" w:pos="1607"/>
                <w:tab w:val="left" w:pos="1608"/>
              </w:tabs>
              <w:spacing w:beforeLines="40" w:before="96" w:line="244" w:lineRule="exact"/>
              <w:mirrorIndents/>
              <w:rPr>
                <w:sz w:val="18"/>
                <w:szCs w:val="18"/>
              </w:rPr>
            </w:pPr>
            <w:r w:rsidRPr="0004520A">
              <w:rPr>
                <w:sz w:val="18"/>
                <w:szCs w:val="18"/>
              </w:rPr>
              <w:t xml:space="preserve">Asset </w:t>
            </w:r>
            <w:r w:rsidR="005634AE">
              <w:rPr>
                <w:sz w:val="18"/>
                <w:szCs w:val="18"/>
              </w:rPr>
              <w:t>c</w:t>
            </w:r>
            <w:r w:rsidRPr="0004520A">
              <w:rPr>
                <w:sz w:val="18"/>
                <w:szCs w:val="18"/>
              </w:rPr>
              <w:t>lass</w:t>
            </w:r>
          </w:p>
        </w:tc>
        <w:tc>
          <w:tcPr>
            <w:tcW w:w="1772" w:type="pct"/>
          </w:tcPr>
          <w:p w14:paraId="447AF78B" w14:textId="77777777" w:rsidR="00E1657D" w:rsidRPr="0004520A" w:rsidRDefault="00E1657D" w:rsidP="008819E5">
            <w:pPr>
              <w:tabs>
                <w:tab w:val="left" w:pos="1607"/>
                <w:tab w:val="left" w:pos="1608"/>
              </w:tabs>
              <w:spacing w:beforeLines="40" w:before="96" w:line="244" w:lineRule="exact"/>
              <w:mirrorIndents/>
              <w:jc w:val="center"/>
              <w:cnfStyle w:val="100000000000" w:firstRow="1" w:lastRow="0" w:firstColumn="0" w:lastColumn="0" w:oddVBand="0" w:evenVBand="0" w:oddHBand="0" w:evenHBand="0" w:firstRowFirstColumn="0" w:firstRowLastColumn="0" w:lastRowFirstColumn="0" w:lastRowLastColumn="0"/>
              <w:rPr>
                <w:sz w:val="18"/>
                <w:szCs w:val="18"/>
              </w:rPr>
            </w:pPr>
            <w:r w:rsidRPr="0004520A">
              <w:rPr>
                <w:sz w:val="18"/>
                <w:szCs w:val="18"/>
              </w:rPr>
              <w:t>Strategic benchmark (%)</w:t>
            </w:r>
          </w:p>
        </w:tc>
        <w:tc>
          <w:tcPr>
            <w:tcW w:w="1766" w:type="pct"/>
          </w:tcPr>
          <w:p w14:paraId="3C777B18" w14:textId="77777777" w:rsidR="00E1657D" w:rsidRPr="0004520A" w:rsidRDefault="00E1657D" w:rsidP="008819E5">
            <w:pPr>
              <w:tabs>
                <w:tab w:val="left" w:pos="1607"/>
                <w:tab w:val="left" w:pos="1608"/>
              </w:tabs>
              <w:spacing w:beforeLines="40" w:before="96" w:line="244" w:lineRule="exact"/>
              <w:mirrorIndents/>
              <w:jc w:val="center"/>
              <w:cnfStyle w:val="100000000000" w:firstRow="1" w:lastRow="0" w:firstColumn="0" w:lastColumn="0" w:oddVBand="0" w:evenVBand="0" w:oddHBand="0" w:evenHBand="0" w:firstRowFirstColumn="0" w:firstRowLastColumn="0" w:lastRowFirstColumn="0" w:lastRowLastColumn="0"/>
              <w:rPr>
                <w:sz w:val="18"/>
                <w:szCs w:val="18"/>
              </w:rPr>
            </w:pPr>
            <w:r w:rsidRPr="0004520A">
              <w:rPr>
                <w:sz w:val="18"/>
                <w:szCs w:val="18"/>
              </w:rPr>
              <w:t>Range %</w:t>
            </w:r>
          </w:p>
        </w:tc>
      </w:tr>
      <w:tr w:rsidR="00E1657D" w:rsidRPr="0004520A" w14:paraId="7E639272" w14:textId="77777777" w:rsidTr="002F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14:paraId="54B4C77C" w14:textId="77777777" w:rsidR="00E1657D" w:rsidRPr="0004520A" w:rsidRDefault="00E1657D" w:rsidP="008819E5">
            <w:pPr>
              <w:tabs>
                <w:tab w:val="left" w:pos="1607"/>
                <w:tab w:val="left" w:pos="1608"/>
              </w:tabs>
              <w:spacing w:beforeLines="40" w:before="96" w:line="244" w:lineRule="exact"/>
              <w:mirrorIndents/>
              <w:rPr>
                <w:sz w:val="18"/>
                <w:szCs w:val="18"/>
              </w:rPr>
            </w:pPr>
            <w:r w:rsidRPr="0004520A">
              <w:rPr>
                <w:sz w:val="18"/>
                <w:szCs w:val="18"/>
              </w:rPr>
              <w:t>Cash</w:t>
            </w:r>
          </w:p>
        </w:tc>
        <w:tc>
          <w:tcPr>
            <w:tcW w:w="1772" w:type="pct"/>
          </w:tcPr>
          <w:p w14:paraId="3655BA56" w14:textId="77777777" w:rsidR="00E1657D" w:rsidRPr="0004520A" w:rsidRDefault="00E1657D" w:rsidP="008819E5">
            <w:pPr>
              <w:tabs>
                <w:tab w:val="left" w:pos="1607"/>
                <w:tab w:val="left" w:pos="1608"/>
              </w:tabs>
              <w:spacing w:beforeLines="40" w:before="96" w:line="244" w:lineRule="exact"/>
              <w:mirrorIndents/>
              <w:jc w:val="center"/>
              <w:cnfStyle w:val="000000100000" w:firstRow="0" w:lastRow="0" w:firstColumn="0" w:lastColumn="0" w:oddVBand="0" w:evenVBand="0" w:oddHBand="1" w:evenHBand="0" w:firstRowFirstColumn="0" w:firstRowLastColumn="0" w:lastRowFirstColumn="0" w:lastRowLastColumn="0"/>
              <w:rPr>
                <w:sz w:val="18"/>
                <w:szCs w:val="18"/>
              </w:rPr>
            </w:pPr>
            <w:r w:rsidRPr="0004520A">
              <w:rPr>
                <w:sz w:val="18"/>
                <w:szCs w:val="18"/>
              </w:rPr>
              <w:t>40</w:t>
            </w:r>
          </w:p>
        </w:tc>
        <w:tc>
          <w:tcPr>
            <w:tcW w:w="1766" w:type="pct"/>
          </w:tcPr>
          <w:p w14:paraId="11DA4A5D" w14:textId="77777777" w:rsidR="00E1657D" w:rsidRPr="0004520A" w:rsidRDefault="00E1657D" w:rsidP="008819E5">
            <w:pPr>
              <w:tabs>
                <w:tab w:val="left" w:pos="1607"/>
                <w:tab w:val="left" w:pos="1608"/>
              </w:tabs>
              <w:spacing w:beforeLines="40" w:before="96" w:line="244" w:lineRule="exact"/>
              <w:mirrorIndents/>
              <w:jc w:val="center"/>
              <w:cnfStyle w:val="000000100000" w:firstRow="0" w:lastRow="0" w:firstColumn="0" w:lastColumn="0" w:oddVBand="0" w:evenVBand="0" w:oddHBand="1" w:evenHBand="0" w:firstRowFirstColumn="0" w:firstRowLastColumn="0" w:lastRowFirstColumn="0" w:lastRowLastColumn="0"/>
              <w:rPr>
                <w:sz w:val="18"/>
                <w:szCs w:val="18"/>
              </w:rPr>
            </w:pPr>
            <w:r w:rsidRPr="0004520A">
              <w:rPr>
                <w:sz w:val="18"/>
                <w:szCs w:val="18"/>
              </w:rPr>
              <w:t>20-70</w:t>
            </w:r>
          </w:p>
        </w:tc>
      </w:tr>
      <w:tr w:rsidR="0004520A" w:rsidRPr="0004520A" w14:paraId="5732F41F" w14:textId="77777777" w:rsidTr="002F378A">
        <w:tc>
          <w:tcPr>
            <w:cnfStyle w:val="001000000000" w:firstRow="0" w:lastRow="0" w:firstColumn="1" w:lastColumn="0" w:oddVBand="0" w:evenVBand="0" w:oddHBand="0" w:evenHBand="0" w:firstRowFirstColumn="0" w:firstRowLastColumn="0" w:lastRowFirstColumn="0" w:lastRowLastColumn="0"/>
            <w:tcW w:w="1462" w:type="pct"/>
          </w:tcPr>
          <w:p w14:paraId="4CF61640" w14:textId="77777777" w:rsidR="00E1657D" w:rsidRPr="0004520A" w:rsidRDefault="00E1657D" w:rsidP="008819E5">
            <w:pPr>
              <w:tabs>
                <w:tab w:val="left" w:pos="1607"/>
                <w:tab w:val="left" w:pos="1608"/>
              </w:tabs>
              <w:spacing w:beforeLines="40" w:before="96" w:line="244" w:lineRule="exact"/>
              <w:mirrorIndents/>
              <w:rPr>
                <w:sz w:val="18"/>
                <w:szCs w:val="18"/>
              </w:rPr>
            </w:pPr>
            <w:r w:rsidRPr="0004520A">
              <w:rPr>
                <w:sz w:val="18"/>
                <w:szCs w:val="18"/>
              </w:rPr>
              <w:t>Australian bonds</w:t>
            </w:r>
          </w:p>
        </w:tc>
        <w:tc>
          <w:tcPr>
            <w:tcW w:w="1772" w:type="pct"/>
          </w:tcPr>
          <w:p w14:paraId="17C07263" w14:textId="77777777" w:rsidR="00E1657D" w:rsidRPr="0004520A" w:rsidRDefault="00E1657D" w:rsidP="008819E5">
            <w:pPr>
              <w:tabs>
                <w:tab w:val="left" w:pos="1607"/>
                <w:tab w:val="left" w:pos="1608"/>
              </w:tabs>
              <w:spacing w:beforeLines="40" w:before="96" w:line="244" w:lineRule="exact"/>
              <w:mirrorIndents/>
              <w:jc w:val="center"/>
              <w:cnfStyle w:val="000000000000" w:firstRow="0" w:lastRow="0" w:firstColumn="0" w:lastColumn="0" w:oddVBand="0" w:evenVBand="0" w:oddHBand="0" w:evenHBand="0" w:firstRowFirstColumn="0" w:firstRowLastColumn="0" w:lastRowFirstColumn="0" w:lastRowLastColumn="0"/>
              <w:rPr>
                <w:sz w:val="18"/>
                <w:szCs w:val="18"/>
              </w:rPr>
            </w:pPr>
            <w:r w:rsidRPr="0004520A">
              <w:rPr>
                <w:sz w:val="18"/>
                <w:szCs w:val="18"/>
              </w:rPr>
              <w:t>18</w:t>
            </w:r>
          </w:p>
        </w:tc>
        <w:tc>
          <w:tcPr>
            <w:tcW w:w="1766" w:type="pct"/>
          </w:tcPr>
          <w:p w14:paraId="4CF11156" w14:textId="77777777" w:rsidR="00E1657D" w:rsidRPr="0004520A" w:rsidRDefault="00E1657D" w:rsidP="008819E5">
            <w:pPr>
              <w:tabs>
                <w:tab w:val="left" w:pos="1607"/>
                <w:tab w:val="left" w:pos="1608"/>
              </w:tabs>
              <w:spacing w:beforeLines="40" w:before="96" w:line="244" w:lineRule="exact"/>
              <w:mirrorIndents/>
              <w:jc w:val="center"/>
              <w:cnfStyle w:val="000000000000" w:firstRow="0" w:lastRow="0" w:firstColumn="0" w:lastColumn="0" w:oddVBand="0" w:evenVBand="0" w:oddHBand="0" w:evenHBand="0" w:firstRowFirstColumn="0" w:firstRowLastColumn="0" w:lastRowFirstColumn="0" w:lastRowLastColumn="0"/>
              <w:rPr>
                <w:sz w:val="18"/>
                <w:szCs w:val="18"/>
              </w:rPr>
            </w:pPr>
            <w:r w:rsidRPr="0004520A">
              <w:rPr>
                <w:sz w:val="18"/>
                <w:szCs w:val="18"/>
              </w:rPr>
              <w:t>10-40</w:t>
            </w:r>
          </w:p>
        </w:tc>
      </w:tr>
      <w:tr w:rsidR="00E1657D" w:rsidRPr="0004520A" w14:paraId="0A64984B" w14:textId="77777777" w:rsidTr="002F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14:paraId="58CC27F8" w14:textId="58442F02" w:rsidR="00E1657D" w:rsidRPr="0004520A" w:rsidRDefault="00E1657D" w:rsidP="008819E5">
            <w:pPr>
              <w:tabs>
                <w:tab w:val="left" w:pos="1607"/>
                <w:tab w:val="left" w:pos="1608"/>
              </w:tabs>
              <w:spacing w:beforeLines="40" w:before="96" w:line="244" w:lineRule="exact"/>
              <w:mirrorIndents/>
              <w:rPr>
                <w:sz w:val="18"/>
                <w:szCs w:val="18"/>
              </w:rPr>
            </w:pPr>
            <w:r w:rsidRPr="0004520A">
              <w:rPr>
                <w:sz w:val="18"/>
                <w:szCs w:val="18"/>
              </w:rPr>
              <w:t xml:space="preserve">Australian </w:t>
            </w:r>
            <w:r w:rsidR="005634AE">
              <w:rPr>
                <w:sz w:val="18"/>
                <w:szCs w:val="18"/>
              </w:rPr>
              <w:t>c</w:t>
            </w:r>
            <w:r w:rsidRPr="0004520A">
              <w:rPr>
                <w:sz w:val="18"/>
                <w:szCs w:val="18"/>
              </w:rPr>
              <w:t>redit</w:t>
            </w:r>
          </w:p>
        </w:tc>
        <w:tc>
          <w:tcPr>
            <w:tcW w:w="1772" w:type="pct"/>
          </w:tcPr>
          <w:p w14:paraId="2B2645B6" w14:textId="77777777" w:rsidR="00E1657D" w:rsidRPr="0004520A" w:rsidRDefault="00E1657D" w:rsidP="008819E5">
            <w:pPr>
              <w:tabs>
                <w:tab w:val="left" w:pos="1607"/>
                <w:tab w:val="left" w:pos="1608"/>
              </w:tabs>
              <w:spacing w:beforeLines="40" w:before="96" w:line="244" w:lineRule="exact"/>
              <w:mirrorIndents/>
              <w:jc w:val="center"/>
              <w:cnfStyle w:val="000000100000" w:firstRow="0" w:lastRow="0" w:firstColumn="0" w:lastColumn="0" w:oddVBand="0" w:evenVBand="0" w:oddHBand="1" w:evenHBand="0" w:firstRowFirstColumn="0" w:firstRowLastColumn="0" w:lastRowFirstColumn="0" w:lastRowLastColumn="0"/>
              <w:rPr>
                <w:sz w:val="18"/>
                <w:szCs w:val="18"/>
              </w:rPr>
            </w:pPr>
            <w:r w:rsidRPr="0004520A">
              <w:rPr>
                <w:sz w:val="18"/>
                <w:szCs w:val="18"/>
              </w:rPr>
              <w:t>10</w:t>
            </w:r>
          </w:p>
        </w:tc>
        <w:tc>
          <w:tcPr>
            <w:tcW w:w="1766" w:type="pct"/>
          </w:tcPr>
          <w:p w14:paraId="764D312E" w14:textId="77777777" w:rsidR="00E1657D" w:rsidRPr="0004520A" w:rsidRDefault="00E1657D" w:rsidP="008819E5">
            <w:pPr>
              <w:tabs>
                <w:tab w:val="left" w:pos="1607"/>
                <w:tab w:val="left" w:pos="1608"/>
              </w:tabs>
              <w:spacing w:beforeLines="40" w:before="96" w:line="244" w:lineRule="exact"/>
              <w:mirrorIndents/>
              <w:jc w:val="center"/>
              <w:cnfStyle w:val="000000100000" w:firstRow="0" w:lastRow="0" w:firstColumn="0" w:lastColumn="0" w:oddVBand="0" w:evenVBand="0" w:oddHBand="1" w:evenHBand="0" w:firstRowFirstColumn="0" w:firstRowLastColumn="0" w:lastRowFirstColumn="0" w:lastRowLastColumn="0"/>
              <w:rPr>
                <w:sz w:val="18"/>
                <w:szCs w:val="18"/>
              </w:rPr>
            </w:pPr>
            <w:r w:rsidRPr="0004520A">
              <w:rPr>
                <w:sz w:val="18"/>
                <w:szCs w:val="18"/>
              </w:rPr>
              <w:t>0-20</w:t>
            </w:r>
          </w:p>
        </w:tc>
      </w:tr>
      <w:tr w:rsidR="0004520A" w:rsidRPr="0004520A" w14:paraId="6ACB4CBE" w14:textId="77777777" w:rsidTr="002F378A">
        <w:tc>
          <w:tcPr>
            <w:cnfStyle w:val="001000000000" w:firstRow="0" w:lastRow="0" w:firstColumn="1" w:lastColumn="0" w:oddVBand="0" w:evenVBand="0" w:oddHBand="0" w:evenHBand="0" w:firstRowFirstColumn="0" w:firstRowLastColumn="0" w:lastRowFirstColumn="0" w:lastRowLastColumn="0"/>
            <w:tcW w:w="1462" w:type="pct"/>
          </w:tcPr>
          <w:p w14:paraId="50331BFC" w14:textId="77777777" w:rsidR="00E1657D" w:rsidRPr="0004520A" w:rsidRDefault="00E1657D" w:rsidP="008819E5">
            <w:pPr>
              <w:tabs>
                <w:tab w:val="left" w:pos="1607"/>
                <w:tab w:val="left" w:pos="1608"/>
              </w:tabs>
              <w:spacing w:beforeLines="40" w:before="96" w:line="244" w:lineRule="exact"/>
              <w:mirrorIndents/>
              <w:rPr>
                <w:sz w:val="18"/>
                <w:szCs w:val="18"/>
              </w:rPr>
            </w:pPr>
            <w:r w:rsidRPr="0004520A">
              <w:rPr>
                <w:sz w:val="18"/>
                <w:szCs w:val="18"/>
              </w:rPr>
              <w:t>Australian equities</w:t>
            </w:r>
          </w:p>
        </w:tc>
        <w:tc>
          <w:tcPr>
            <w:tcW w:w="1772" w:type="pct"/>
          </w:tcPr>
          <w:p w14:paraId="53C568DD" w14:textId="77777777" w:rsidR="00E1657D" w:rsidRPr="0004520A" w:rsidRDefault="00E1657D" w:rsidP="008819E5">
            <w:pPr>
              <w:tabs>
                <w:tab w:val="left" w:pos="1607"/>
                <w:tab w:val="left" w:pos="1608"/>
              </w:tabs>
              <w:spacing w:beforeLines="40" w:before="96" w:line="244" w:lineRule="exact"/>
              <w:mirrorIndents/>
              <w:jc w:val="center"/>
              <w:cnfStyle w:val="000000000000" w:firstRow="0" w:lastRow="0" w:firstColumn="0" w:lastColumn="0" w:oddVBand="0" w:evenVBand="0" w:oddHBand="0" w:evenHBand="0" w:firstRowFirstColumn="0" w:firstRowLastColumn="0" w:lastRowFirstColumn="0" w:lastRowLastColumn="0"/>
              <w:rPr>
                <w:sz w:val="18"/>
                <w:szCs w:val="18"/>
              </w:rPr>
            </w:pPr>
            <w:r w:rsidRPr="0004520A">
              <w:rPr>
                <w:sz w:val="18"/>
                <w:szCs w:val="18"/>
              </w:rPr>
              <w:t>10</w:t>
            </w:r>
          </w:p>
        </w:tc>
        <w:tc>
          <w:tcPr>
            <w:tcW w:w="1766" w:type="pct"/>
          </w:tcPr>
          <w:p w14:paraId="5754C9B7" w14:textId="77777777" w:rsidR="00E1657D" w:rsidRPr="0004520A" w:rsidRDefault="00E1657D" w:rsidP="008819E5">
            <w:pPr>
              <w:tabs>
                <w:tab w:val="left" w:pos="1607"/>
                <w:tab w:val="left" w:pos="1608"/>
              </w:tabs>
              <w:spacing w:beforeLines="40" w:before="96" w:line="244" w:lineRule="exact"/>
              <w:mirrorIndents/>
              <w:jc w:val="center"/>
              <w:cnfStyle w:val="000000000000" w:firstRow="0" w:lastRow="0" w:firstColumn="0" w:lastColumn="0" w:oddVBand="0" w:evenVBand="0" w:oddHBand="0" w:evenHBand="0" w:firstRowFirstColumn="0" w:firstRowLastColumn="0" w:lastRowFirstColumn="0" w:lastRowLastColumn="0"/>
              <w:rPr>
                <w:sz w:val="18"/>
                <w:szCs w:val="18"/>
              </w:rPr>
            </w:pPr>
            <w:r w:rsidRPr="0004520A">
              <w:rPr>
                <w:sz w:val="18"/>
                <w:szCs w:val="18"/>
              </w:rPr>
              <w:t>0-20</w:t>
            </w:r>
          </w:p>
        </w:tc>
      </w:tr>
      <w:tr w:rsidR="00E1657D" w:rsidRPr="0004520A" w14:paraId="4B11308B" w14:textId="77777777" w:rsidTr="002F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14:paraId="144BF802" w14:textId="77777777" w:rsidR="00E1657D" w:rsidRPr="0004520A" w:rsidRDefault="00E1657D" w:rsidP="008819E5">
            <w:pPr>
              <w:tabs>
                <w:tab w:val="left" w:pos="1607"/>
                <w:tab w:val="left" w:pos="1608"/>
              </w:tabs>
              <w:spacing w:beforeLines="40" w:before="96" w:line="244" w:lineRule="exact"/>
              <w:mirrorIndents/>
              <w:rPr>
                <w:sz w:val="18"/>
                <w:szCs w:val="18"/>
              </w:rPr>
            </w:pPr>
            <w:r w:rsidRPr="0004520A">
              <w:rPr>
                <w:sz w:val="18"/>
                <w:szCs w:val="18"/>
              </w:rPr>
              <w:t>International equities</w:t>
            </w:r>
          </w:p>
        </w:tc>
        <w:tc>
          <w:tcPr>
            <w:tcW w:w="1772" w:type="pct"/>
          </w:tcPr>
          <w:p w14:paraId="41761641" w14:textId="77777777" w:rsidR="00E1657D" w:rsidRPr="0004520A" w:rsidRDefault="00E1657D" w:rsidP="008819E5">
            <w:pPr>
              <w:tabs>
                <w:tab w:val="left" w:pos="1607"/>
                <w:tab w:val="left" w:pos="1608"/>
              </w:tabs>
              <w:spacing w:beforeLines="40" w:before="96" w:line="244" w:lineRule="exact"/>
              <w:mirrorIndents/>
              <w:jc w:val="center"/>
              <w:cnfStyle w:val="000000100000" w:firstRow="0" w:lastRow="0" w:firstColumn="0" w:lastColumn="0" w:oddVBand="0" w:evenVBand="0" w:oddHBand="1" w:evenHBand="0" w:firstRowFirstColumn="0" w:firstRowLastColumn="0" w:lastRowFirstColumn="0" w:lastRowLastColumn="0"/>
              <w:rPr>
                <w:sz w:val="18"/>
                <w:szCs w:val="18"/>
              </w:rPr>
            </w:pPr>
            <w:r w:rsidRPr="0004520A">
              <w:rPr>
                <w:sz w:val="18"/>
                <w:szCs w:val="18"/>
              </w:rPr>
              <w:t>10</w:t>
            </w:r>
          </w:p>
        </w:tc>
        <w:tc>
          <w:tcPr>
            <w:tcW w:w="1766" w:type="pct"/>
          </w:tcPr>
          <w:p w14:paraId="6A4097EC" w14:textId="77777777" w:rsidR="00E1657D" w:rsidRPr="0004520A" w:rsidRDefault="00E1657D" w:rsidP="008819E5">
            <w:pPr>
              <w:tabs>
                <w:tab w:val="left" w:pos="1607"/>
                <w:tab w:val="left" w:pos="1608"/>
              </w:tabs>
              <w:spacing w:beforeLines="40" w:before="96" w:line="244" w:lineRule="exact"/>
              <w:mirrorIndents/>
              <w:jc w:val="center"/>
              <w:cnfStyle w:val="000000100000" w:firstRow="0" w:lastRow="0" w:firstColumn="0" w:lastColumn="0" w:oddVBand="0" w:evenVBand="0" w:oddHBand="1" w:evenHBand="0" w:firstRowFirstColumn="0" w:firstRowLastColumn="0" w:lastRowFirstColumn="0" w:lastRowLastColumn="0"/>
              <w:rPr>
                <w:sz w:val="18"/>
                <w:szCs w:val="18"/>
              </w:rPr>
            </w:pPr>
            <w:r w:rsidRPr="0004520A">
              <w:rPr>
                <w:sz w:val="18"/>
                <w:szCs w:val="18"/>
              </w:rPr>
              <w:t>0-20</w:t>
            </w:r>
          </w:p>
        </w:tc>
      </w:tr>
      <w:tr w:rsidR="0004520A" w:rsidRPr="0004520A" w14:paraId="06F1012F" w14:textId="77777777" w:rsidTr="002F378A">
        <w:tc>
          <w:tcPr>
            <w:cnfStyle w:val="001000000000" w:firstRow="0" w:lastRow="0" w:firstColumn="1" w:lastColumn="0" w:oddVBand="0" w:evenVBand="0" w:oddHBand="0" w:evenHBand="0" w:firstRowFirstColumn="0" w:firstRowLastColumn="0" w:lastRowFirstColumn="0" w:lastRowLastColumn="0"/>
            <w:tcW w:w="1462" w:type="pct"/>
          </w:tcPr>
          <w:p w14:paraId="6D802F57" w14:textId="77777777" w:rsidR="00E1657D" w:rsidRPr="0004520A" w:rsidRDefault="00E1657D" w:rsidP="008819E5">
            <w:pPr>
              <w:tabs>
                <w:tab w:val="left" w:pos="1607"/>
                <w:tab w:val="left" w:pos="1608"/>
              </w:tabs>
              <w:spacing w:beforeLines="40" w:before="96" w:line="244" w:lineRule="exact"/>
              <w:mirrorIndents/>
              <w:rPr>
                <w:sz w:val="18"/>
                <w:szCs w:val="18"/>
              </w:rPr>
            </w:pPr>
            <w:r w:rsidRPr="0004520A">
              <w:rPr>
                <w:sz w:val="18"/>
                <w:szCs w:val="18"/>
              </w:rPr>
              <w:t>US bonds</w:t>
            </w:r>
          </w:p>
        </w:tc>
        <w:tc>
          <w:tcPr>
            <w:tcW w:w="1772" w:type="pct"/>
          </w:tcPr>
          <w:p w14:paraId="69A51D8E" w14:textId="77777777" w:rsidR="00E1657D" w:rsidRPr="0004520A" w:rsidRDefault="00E1657D" w:rsidP="008819E5">
            <w:pPr>
              <w:tabs>
                <w:tab w:val="left" w:pos="1607"/>
                <w:tab w:val="left" w:pos="1608"/>
              </w:tabs>
              <w:spacing w:beforeLines="40" w:before="96" w:line="244" w:lineRule="exact"/>
              <w:mirrorIndents/>
              <w:jc w:val="center"/>
              <w:cnfStyle w:val="000000000000" w:firstRow="0" w:lastRow="0" w:firstColumn="0" w:lastColumn="0" w:oddVBand="0" w:evenVBand="0" w:oddHBand="0" w:evenHBand="0" w:firstRowFirstColumn="0" w:firstRowLastColumn="0" w:lastRowFirstColumn="0" w:lastRowLastColumn="0"/>
              <w:rPr>
                <w:sz w:val="18"/>
                <w:szCs w:val="18"/>
              </w:rPr>
            </w:pPr>
            <w:r w:rsidRPr="0004520A">
              <w:rPr>
                <w:sz w:val="18"/>
                <w:szCs w:val="18"/>
              </w:rPr>
              <w:t>8</w:t>
            </w:r>
          </w:p>
        </w:tc>
        <w:tc>
          <w:tcPr>
            <w:tcW w:w="1766" w:type="pct"/>
          </w:tcPr>
          <w:p w14:paraId="7E6BC1A6" w14:textId="77777777" w:rsidR="00E1657D" w:rsidRPr="0004520A" w:rsidRDefault="00E1657D" w:rsidP="008819E5">
            <w:pPr>
              <w:tabs>
                <w:tab w:val="left" w:pos="1607"/>
                <w:tab w:val="left" w:pos="1608"/>
              </w:tabs>
              <w:spacing w:beforeLines="40" w:before="96" w:line="244" w:lineRule="exact"/>
              <w:mirrorIndents/>
              <w:jc w:val="center"/>
              <w:cnfStyle w:val="000000000000" w:firstRow="0" w:lastRow="0" w:firstColumn="0" w:lastColumn="0" w:oddVBand="0" w:evenVBand="0" w:oddHBand="0" w:evenHBand="0" w:firstRowFirstColumn="0" w:firstRowLastColumn="0" w:lastRowFirstColumn="0" w:lastRowLastColumn="0"/>
              <w:rPr>
                <w:sz w:val="18"/>
                <w:szCs w:val="18"/>
              </w:rPr>
            </w:pPr>
            <w:r w:rsidRPr="0004520A">
              <w:rPr>
                <w:sz w:val="18"/>
                <w:szCs w:val="18"/>
              </w:rPr>
              <w:t>0-20</w:t>
            </w:r>
          </w:p>
        </w:tc>
      </w:tr>
      <w:tr w:rsidR="00E1657D" w:rsidRPr="0004520A" w14:paraId="271BCCFD" w14:textId="77777777" w:rsidTr="002F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14:paraId="66C70F8F" w14:textId="77777777" w:rsidR="00E1657D" w:rsidRPr="0004520A" w:rsidRDefault="00E1657D" w:rsidP="008819E5">
            <w:pPr>
              <w:tabs>
                <w:tab w:val="left" w:pos="1607"/>
                <w:tab w:val="left" w:pos="1608"/>
              </w:tabs>
              <w:spacing w:beforeLines="40" w:before="96" w:line="244" w:lineRule="exact"/>
              <w:mirrorIndents/>
              <w:rPr>
                <w:sz w:val="18"/>
                <w:szCs w:val="18"/>
              </w:rPr>
            </w:pPr>
            <w:r w:rsidRPr="0004520A">
              <w:rPr>
                <w:sz w:val="18"/>
                <w:szCs w:val="18"/>
              </w:rPr>
              <w:t>Emerging market debt</w:t>
            </w:r>
          </w:p>
        </w:tc>
        <w:tc>
          <w:tcPr>
            <w:tcW w:w="1772" w:type="pct"/>
          </w:tcPr>
          <w:p w14:paraId="7DACD695" w14:textId="77777777" w:rsidR="00E1657D" w:rsidRPr="0004520A" w:rsidRDefault="00E1657D" w:rsidP="008819E5">
            <w:pPr>
              <w:tabs>
                <w:tab w:val="left" w:pos="1607"/>
                <w:tab w:val="left" w:pos="1608"/>
              </w:tabs>
              <w:spacing w:beforeLines="40" w:before="96" w:line="244" w:lineRule="exact"/>
              <w:mirrorIndents/>
              <w:jc w:val="center"/>
              <w:cnfStyle w:val="000000100000" w:firstRow="0" w:lastRow="0" w:firstColumn="0" w:lastColumn="0" w:oddVBand="0" w:evenVBand="0" w:oddHBand="1" w:evenHBand="0" w:firstRowFirstColumn="0" w:firstRowLastColumn="0" w:lastRowFirstColumn="0" w:lastRowLastColumn="0"/>
              <w:rPr>
                <w:sz w:val="18"/>
                <w:szCs w:val="18"/>
              </w:rPr>
            </w:pPr>
            <w:r w:rsidRPr="0004520A">
              <w:rPr>
                <w:sz w:val="18"/>
                <w:szCs w:val="18"/>
              </w:rPr>
              <w:t>4</w:t>
            </w:r>
          </w:p>
        </w:tc>
        <w:tc>
          <w:tcPr>
            <w:tcW w:w="1766" w:type="pct"/>
          </w:tcPr>
          <w:p w14:paraId="6AB11913" w14:textId="77777777" w:rsidR="00E1657D" w:rsidRPr="0004520A" w:rsidRDefault="00E1657D" w:rsidP="008819E5">
            <w:pPr>
              <w:tabs>
                <w:tab w:val="left" w:pos="1607"/>
                <w:tab w:val="left" w:pos="1608"/>
              </w:tabs>
              <w:spacing w:beforeLines="40" w:before="96" w:line="244" w:lineRule="exact"/>
              <w:mirrorIndents/>
              <w:jc w:val="center"/>
              <w:cnfStyle w:val="000000100000" w:firstRow="0" w:lastRow="0" w:firstColumn="0" w:lastColumn="0" w:oddVBand="0" w:evenVBand="0" w:oddHBand="1" w:evenHBand="0" w:firstRowFirstColumn="0" w:firstRowLastColumn="0" w:lastRowFirstColumn="0" w:lastRowLastColumn="0"/>
              <w:rPr>
                <w:sz w:val="18"/>
                <w:szCs w:val="18"/>
              </w:rPr>
            </w:pPr>
            <w:r w:rsidRPr="0004520A">
              <w:rPr>
                <w:sz w:val="18"/>
                <w:szCs w:val="18"/>
              </w:rPr>
              <w:t>0-10</w:t>
            </w:r>
          </w:p>
        </w:tc>
      </w:tr>
      <w:tr w:rsidR="0004520A" w:rsidRPr="0004520A" w14:paraId="321D9697" w14:textId="77777777" w:rsidTr="002F378A">
        <w:tc>
          <w:tcPr>
            <w:cnfStyle w:val="001000000000" w:firstRow="0" w:lastRow="0" w:firstColumn="1" w:lastColumn="0" w:oddVBand="0" w:evenVBand="0" w:oddHBand="0" w:evenHBand="0" w:firstRowFirstColumn="0" w:firstRowLastColumn="0" w:lastRowFirstColumn="0" w:lastRowLastColumn="0"/>
            <w:tcW w:w="1462" w:type="pct"/>
          </w:tcPr>
          <w:p w14:paraId="7093CCA4" w14:textId="77777777" w:rsidR="00E1657D" w:rsidRPr="0004520A" w:rsidRDefault="00E1657D" w:rsidP="008819E5">
            <w:pPr>
              <w:tabs>
                <w:tab w:val="left" w:pos="1607"/>
                <w:tab w:val="left" w:pos="1608"/>
              </w:tabs>
              <w:spacing w:beforeLines="40" w:before="96" w:line="244" w:lineRule="exact"/>
              <w:mirrorIndents/>
              <w:rPr>
                <w:sz w:val="18"/>
                <w:szCs w:val="18"/>
              </w:rPr>
            </w:pPr>
            <w:r w:rsidRPr="0004520A">
              <w:rPr>
                <w:sz w:val="18"/>
                <w:szCs w:val="18"/>
              </w:rPr>
              <w:t>TOTAL</w:t>
            </w:r>
          </w:p>
        </w:tc>
        <w:tc>
          <w:tcPr>
            <w:tcW w:w="1772" w:type="pct"/>
          </w:tcPr>
          <w:p w14:paraId="711E9B66" w14:textId="77777777" w:rsidR="00E1657D" w:rsidRPr="0004520A" w:rsidRDefault="00E1657D" w:rsidP="008819E5">
            <w:pPr>
              <w:tabs>
                <w:tab w:val="left" w:pos="1607"/>
                <w:tab w:val="left" w:pos="1608"/>
              </w:tabs>
              <w:spacing w:beforeLines="40" w:before="96" w:line="244" w:lineRule="exact"/>
              <w:mirrorIndents/>
              <w:jc w:val="center"/>
              <w:cnfStyle w:val="000000000000" w:firstRow="0" w:lastRow="0" w:firstColumn="0" w:lastColumn="0" w:oddVBand="0" w:evenVBand="0" w:oddHBand="0" w:evenHBand="0" w:firstRowFirstColumn="0" w:firstRowLastColumn="0" w:lastRowFirstColumn="0" w:lastRowLastColumn="0"/>
              <w:rPr>
                <w:sz w:val="18"/>
                <w:szCs w:val="18"/>
              </w:rPr>
            </w:pPr>
            <w:r w:rsidRPr="0004520A">
              <w:rPr>
                <w:sz w:val="18"/>
                <w:szCs w:val="18"/>
              </w:rPr>
              <w:t>100</w:t>
            </w:r>
          </w:p>
        </w:tc>
        <w:tc>
          <w:tcPr>
            <w:tcW w:w="1766" w:type="pct"/>
          </w:tcPr>
          <w:p w14:paraId="3E3C8095" w14:textId="77777777" w:rsidR="00E1657D" w:rsidRPr="0004520A" w:rsidRDefault="00E1657D" w:rsidP="008819E5">
            <w:pPr>
              <w:tabs>
                <w:tab w:val="left" w:pos="1607"/>
                <w:tab w:val="left" w:pos="1608"/>
              </w:tabs>
              <w:spacing w:beforeLines="40" w:before="96" w:line="244" w:lineRule="exact"/>
              <w:mirrorIndents/>
              <w:cnfStyle w:val="000000000000" w:firstRow="0" w:lastRow="0" w:firstColumn="0" w:lastColumn="0" w:oddVBand="0" w:evenVBand="0" w:oddHBand="0" w:evenHBand="0" w:firstRowFirstColumn="0" w:firstRowLastColumn="0" w:lastRowFirstColumn="0" w:lastRowLastColumn="0"/>
              <w:rPr>
                <w:sz w:val="18"/>
                <w:szCs w:val="18"/>
              </w:rPr>
            </w:pPr>
          </w:p>
        </w:tc>
      </w:tr>
    </w:tbl>
    <w:p w14:paraId="35051218" w14:textId="77777777" w:rsidR="00D65765" w:rsidRPr="00E079E1" w:rsidRDefault="00D01863" w:rsidP="002F378A">
      <w:pPr>
        <w:pStyle w:val="AHPRASubheadinglevel2"/>
        <w:spacing w:beforeLines="40" w:before="96" w:after="0"/>
        <w:ind w:left="567"/>
        <w:rPr>
          <w:rStyle w:val="SubtleEmphasis"/>
          <w:i w:val="0"/>
          <w:iCs w:val="0"/>
          <w:color w:val="auto"/>
        </w:rPr>
      </w:pPr>
      <w:r w:rsidRPr="00E079E1">
        <w:rPr>
          <w:rStyle w:val="SubtleEmphasis"/>
          <w:i w:val="0"/>
          <w:iCs w:val="0"/>
          <w:color w:val="auto"/>
        </w:rPr>
        <w:t>Benchmark</w:t>
      </w:r>
      <w:r w:rsidR="00B33CC9" w:rsidRPr="00E079E1">
        <w:rPr>
          <w:rStyle w:val="SubtleEmphasis"/>
          <w:i w:val="0"/>
          <w:iCs w:val="0"/>
          <w:color w:val="auto"/>
        </w:rPr>
        <w:t xml:space="preserve"> returns</w:t>
      </w:r>
    </w:p>
    <w:p w14:paraId="48D9E3A3" w14:textId="1FB7C386" w:rsidR="00162E11" w:rsidRPr="00B2128D" w:rsidRDefault="008D36DA" w:rsidP="00892C7E">
      <w:pPr>
        <w:pStyle w:val="AHPRAbody"/>
        <w:numPr>
          <w:ilvl w:val="0"/>
          <w:numId w:val="19"/>
        </w:numPr>
        <w:spacing w:beforeLines="40" w:before="96" w:after="0"/>
        <w:ind w:left="936" w:hanging="369"/>
        <w:rPr>
          <w:rStyle w:val="SubtleEmphasis"/>
          <w:i w:val="0"/>
          <w:iCs w:val="0"/>
          <w:color w:val="auto"/>
        </w:rPr>
      </w:pPr>
      <w:r w:rsidRPr="000E3C92">
        <w:rPr>
          <w:color w:val="000000" w:themeColor="text1"/>
        </w:rPr>
        <w:t>Investments are to maintain a return objective of better than CPI over a rolling three-year period and limit the likelihood of a negative return to no more than one in every four years, with an average loss in negative years not exceeding 5%.</w:t>
      </w:r>
    </w:p>
    <w:p w14:paraId="4B2DFEB6" w14:textId="3D432C2C" w:rsidR="004A7396" w:rsidRDefault="00C57E4E" w:rsidP="002F378A">
      <w:pPr>
        <w:pStyle w:val="AHPRANumberedsubheadinglevel1"/>
        <w:ind w:left="567" w:hanging="567"/>
      </w:pPr>
      <w:r w:rsidRPr="002F378A">
        <w:t>Roles</w:t>
      </w:r>
      <w:r w:rsidRPr="004A7396">
        <w:t xml:space="preserve"> and responsibilities</w:t>
      </w:r>
    </w:p>
    <w:p w14:paraId="5A0B4131" w14:textId="40376B9A" w:rsidR="00C57E4E" w:rsidRPr="00924DCE" w:rsidRDefault="00C57E4E" w:rsidP="00041CB3">
      <w:pPr>
        <w:pStyle w:val="AHPRANumberedsubheadinglevel2"/>
        <w:rPr>
          <w:rFonts w:eastAsia="Arial"/>
          <w:szCs w:val="20"/>
          <w:lang w:val="en-US"/>
        </w:rPr>
      </w:pPr>
      <w:r w:rsidRPr="00FC74F8">
        <w:t>Chief Executive Officer</w:t>
      </w:r>
    </w:p>
    <w:p w14:paraId="7CD0D48E" w14:textId="600C49C8" w:rsidR="00C57E4E" w:rsidRPr="00B527C2" w:rsidRDefault="00C57E4E" w:rsidP="00892C7E">
      <w:pPr>
        <w:pStyle w:val="AHPRAbody"/>
      </w:pPr>
      <w:r w:rsidRPr="00892C7E">
        <w:t>Responsibility</w:t>
      </w:r>
      <w:r w:rsidRPr="00B527C2">
        <w:t xml:space="preserve"> for the management and control of investment</w:t>
      </w:r>
      <w:r w:rsidR="007B2130">
        <w:t>s</w:t>
      </w:r>
      <w:r w:rsidRPr="00B527C2">
        <w:t xml:space="preserve"> managed by Ahpra res</w:t>
      </w:r>
      <w:r w:rsidRPr="00BC29D1">
        <w:t>ides</w:t>
      </w:r>
      <w:r w:rsidRPr="00B527C2">
        <w:t xml:space="preserve"> with the Chief Executive Officer (CEO) and involves </w:t>
      </w:r>
      <w:r w:rsidRPr="008D36DA">
        <w:t>recommendation</w:t>
      </w:r>
      <w:r w:rsidRPr="00BC29D1">
        <w:t xml:space="preserve"> and advice from </w:t>
      </w:r>
      <w:r w:rsidRPr="00B527C2">
        <w:t>the following parties:</w:t>
      </w:r>
    </w:p>
    <w:p w14:paraId="72775108" w14:textId="1AA0CEFF" w:rsidR="00C57E4E" w:rsidRPr="00892C7E" w:rsidRDefault="00C57E4E" w:rsidP="00892C7E">
      <w:pPr>
        <w:pStyle w:val="AHPRABulletlevel1"/>
        <w:ind w:left="369" w:hanging="369"/>
      </w:pPr>
      <w:r w:rsidRPr="00892C7E">
        <w:t>AManC (with recommendation of FARMC)</w:t>
      </w:r>
    </w:p>
    <w:p w14:paraId="666C8D13" w14:textId="5FDD1099" w:rsidR="00C57E4E" w:rsidRPr="00BD2D49" w:rsidRDefault="008D36DA" w:rsidP="00892C7E">
      <w:pPr>
        <w:pStyle w:val="AHPRABulletlevel1"/>
        <w:ind w:left="369" w:hanging="369"/>
      </w:pPr>
      <w:r w:rsidRPr="00892C7E">
        <w:t>C</w:t>
      </w:r>
      <w:r w:rsidR="00C57E4E" w:rsidRPr="00892C7E">
        <w:t>h</w:t>
      </w:r>
      <w:r w:rsidR="00C57E4E" w:rsidRPr="003A100C">
        <w:t>ief Financial Officer (CFO) - on behalf of the CEO</w:t>
      </w:r>
      <w:r w:rsidR="00892C7E">
        <w:t>,</w:t>
      </w:r>
      <w:r w:rsidR="00C57E4E" w:rsidRPr="003A100C">
        <w:t xml:space="preserve"> and</w:t>
      </w:r>
    </w:p>
    <w:p w14:paraId="6D6D04C4" w14:textId="3FDCDA23" w:rsidR="00C57E4E" w:rsidRDefault="00C57E4E" w:rsidP="00892C7E">
      <w:pPr>
        <w:pStyle w:val="AHPRABulletlevel1"/>
        <w:spacing w:after="200"/>
        <w:ind w:left="369" w:hanging="369"/>
      </w:pPr>
      <w:r w:rsidRPr="003A100C">
        <w:t>Manager Financial Accounting (for recommendation by Deputy CFO).</w:t>
      </w:r>
    </w:p>
    <w:p w14:paraId="23051289" w14:textId="77777777" w:rsidR="00C57E4E" w:rsidRPr="00924DCE" w:rsidRDefault="00C57E4E" w:rsidP="00041CB3">
      <w:pPr>
        <w:pStyle w:val="AHPRANumberedsubheadinglevel2"/>
        <w:rPr>
          <w:rFonts w:eastAsia="Arial" w:cs="Arial"/>
          <w:szCs w:val="20"/>
          <w:lang w:val="en-US"/>
        </w:rPr>
      </w:pPr>
      <w:r w:rsidRPr="00BC29D1">
        <w:t>A</w:t>
      </w:r>
      <w:r>
        <w:t>gency Management Committee</w:t>
      </w:r>
    </w:p>
    <w:p w14:paraId="15B33410" w14:textId="77777777" w:rsidR="00C57E4E" w:rsidRPr="00164D44" w:rsidRDefault="00C57E4E" w:rsidP="008819E5">
      <w:pPr>
        <w:pStyle w:val="AHPRAbody"/>
        <w:spacing w:beforeLines="40" w:before="96" w:after="0"/>
      </w:pPr>
      <w:r>
        <w:t xml:space="preserve">AManC (with recommendation of FARMC) is </w:t>
      </w:r>
      <w:r w:rsidRPr="00164D44">
        <w:t xml:space="preserve">responsible for overseeing the management of the investments. The specific roles and responsibilities of </w:t>
      </w:r>
      <w:r>
        <w:t>AManC</w:t>
      </w:r>
      <w:r w:rsidRPr="00164D44">
        <w:t xml:space="preserve"> with respect to investment management are to:</w:t>
      </w:r>
    </w:p>
    <w:p w14:paraId="16E106A8" w14:textId="082F1599" w:rsidR="00C57E4E" w:rsidRPr="00892C7E" w:rsidRDefault="008D36DA" w:rsidP="00892C7E">
      <w:pPr>
        <w:pStyle w:val="AHPRABulletlevel1"/>
        <w:ind w:left="369" w:hanging="369"/>
      </w:pPr>
      <w:r w:rsidRPr="00892C7E">
        <w:t>en</w:t>
      </w:r>
      <w:r w:rsidR="00C57E4E" w:rsidRPr="00892C7E">
        <w:t>sure that Ahpra has an Investment Policy which is being complied with</w:t>
      </w:r>
    </w:p>
    <w:p w14:paraId="51C92163" w14:textId="19FA9B29" w:rsidR="00C57E4E" w:rsidRPr="00892C7E" w:rsidRDefault="008D36DA" w:rsidP="00892C7E">
      <w:pPr>
        <w:pStyle w:val="AHPRABulletlevel1"/>
        <w:ind w:left="369" w:hanging="369"/>
      </w:pPr>
      <w:r w:rsidRPr="00892C7E">
        <w:t>s</w:t>
      </w:r>
      <w:r w:rsidR="00C57E4E" w:rsidRPr="00892C7E">
        <w:t>et the investment objectives for Ahpra</w:t>
      </w:r>
    </w:p>
    <w:p w14:paraId="2C12C24F" w14:textId="4DFC64C0" w:rsidR="00C57E4E" w:rsidRPr="00892C7E" w:rsidRDefault="008D36DA" w:rsidP="00892C7E">
      <w:pPr>
        <w:pStyle w:val="AHPRABulletlevel1"/>
        <w:ind w:left="369" w:hanging="369"/>
      </w:pPr>
      <w:r w:rsidRPr="00892C7E">
        <w:t>a</w:t>
      </w:r>
      <w:r w:rsidR="00C57E4E" w:rsidRPr="00892C7E">
        <w:t>pprove the investment strategy</w:t>
      </w:r>
    </w:p>
    <w:p w14:paraId="66B52764" w14:textId="53F1B87E" w:rsidR="00C57E4E" w:rsidRPr="00892C7E" w:rsidRDefault="008D36DA" w:rsidP="00892C7E">
      <w:pPr>
        <w:pStyle w:val="AHPRABulletlevel1"/>
        <w:ind w:left="369" w:hanging="369"/>
      </w:pPr>
      <w:r w:rsidRPr="00892C7E">
        <w:t>a</w:t>
      </w:r>
      <w:r w:rsidR="00C57E4E" w:rsidRPr="00892C7E">
        <w:t>pprove the use of any financial arrangements to manage investment related financial risks</w:t>
      </w:r>
    </w:p>
    <w:p w14:paraId="4EB5073C" w14:textId="51CC772C" w:rsidR="00C57E4E" w:rsidRPr="00BD2D49" w:rsidRDefault="008D36DA" w:rsidP="00892C7E">
      <w:pPr>
        <w:pStyle w:val="AHPRABulletlevel1"/>
        <w:ind w:left="369" w:hanging="369"/>
      </w:pPr>
      <w:r w:rsidRPr="00892C7E">
        <w:t>a</w:t>
      </w:r>
      <w:r w:rsidR="00C57E4E" w:rsidRPr="00892C7E">
        <w:t>pprove</w:t>
      </w:r>
      <w:r w:rsidR="00C57E4E" w:rsidRPr="003A100C">
        <w:t xml:space="preserve"> any delegations of responsibility within the investment management function</w:t>
      </w:r>
    </w:p>
    <w:p w14:paraId="11E375D2" w14:textId="49D1730D" w:rsidR="00C57E4E" w:rsidRPr="00BD2D49" w:rsidRDefault="008D36DA" w:rsidP="00892C7E">
      <w:pPr>
        <w:pStyle w:val="AHPRABulletlevel1"/>
        <w:ind w:left="369" w:hanging="369"/>
      </w:pPr>
      <w:r>
        <w:t>r</w:t>
      </w:r>
      <w:r w:rsidR="00C57E4E" w:rsidRPr="003A100C">
        <w:t>eceive and consider investment reports prepared by funds, management and any external advisors, and</w:t>
      </w:r>
    </w:p>
    <w:p w14:paraId="5E2BB7C7" w14:textId="693BC422" w:rsidR="00C57E4E" w:rsidRDefault="008D36DA" w:rsidP="00892C7E">
      <w:pPr>
        <w:pStyle w:val="AHPRABulletlevel1"/>
        <w:spacing w:after="200"/>
        <w:ind w:left="369" w:hanging="369"/>
      </w:pPr>
      <w:r>
        <w:t>r</w:t>
      </w:r>
      <w:r w:rsidR="00C57E4E" w:rsidRPr="003A100C">
        <w:t xml:space="preserve">eview the Investment </w:t>
      </w:r>
      <w:r>
        <w:t>p</w:t>
      </w:r>
      <w:r w:rsidR="00C57E4E" w:rsidRPr="003A100C">
        <w:t>olicy at least annually.</w:t>
      </w:r>
    </w:p>
    <w:p w14:paraId="1156B4B2" w14:textId="77777777" w:rsidR="00C57E4E" w:rsidRPr="00924DCE" w:rsidRDefault="00C57E4E" w:rsidP="00041CB3">
      <w:pPr>
        <w:pStyle w:val="AHPRANumberedsubheadinglevel2"/>
        <w:rPr>
          <w:rFonts w:eastAsia="Arial" w:cs="Arial"/>
          <w:szCs w:val="20"/>
          <w:lang w:val="en-US"/>
        </w:rPr>
      </w:pPr>
      <w:r w:rsidRPr="00BC29D1">
        <w:t>C</w:t>
      </w:r>
      <w:r>
        <w:t>hief Financial Officer</w:t>
      </w:r>
    </w:p>
    <w:p w14:paraId="3D5AE1F5" w14:textId="77777777" w:rsidR="00C57E4E" w:rsidRPr="00AE5086" w:rsidRDefault="00C57E4E" w:rsidP="00892C7E">
      <w:pPr>
        <w:pStyle w:val="AHPRAbody"/>
      </w:pPr>
      <w:r w:rsidRPr="00AE5086">
        <w:t xml:space="preserve">The CFO is responsible for overseeing (on behalf of the CEO) the management of the investment function in </w:t>
      </w:r>
      <w:r w:rsidRPr="00892C7E">
        <w:t>accordance</w:t>
      </w:r>
      <w:r w:rsidRPr="00AE5086">
        <w:t xml:space="preserve"> with this Investment Policy and related legislation. Specific responsibilities of the CFO are to:</w:t>
      </w:r>
    </w:p>
    <w:p w14:paraId="629B41B4" w14:textId="0D9F72F6" w:rsidR="00C57E4E" w:rsidRPr="00BD2D49" w:rsidDel="00C07C3E" w:rsidRDefault="008D36DA" w:rsidP="00892C7E">
      <w:pPr>
        <w:pStyle w:val="AHPRABulletlevel1"/>
        <w:ind w:left="369" w:hanging="369"/>
      </w:pPr>
      <w:r>
        <w:t>p</w:t>
      </w:r>
      <w:r w:rsidR="00C57E4E" w:rsidRPr="003A100C" w:rsidDel="00C07C3E">
        <w:t xml:space="preserve">resent the investment strategy </w:t>
      </w:r>
      <w:r w:rsidR="00C57E4E" w:rsidRPr="003A100C">
        <w:t xml:space="preserve">and Policy </w:t>
      </w:r>
      <w:r w:rsidR="00C57E4E" w:rsidRPr="003A100C" w:rsidDel="00C07C3E">
        <w:t xml:space="preserve">to FARMC for review annually </w:t>
      </w:r>
    </w:p>
    <w:p w14:paraId="79347E17" w14:textId="51810444" w:rsidR="00C57E4E" w:rsidRPr="00BD2D49" w:rsidRDefault="008D36DA" w:rsidP="00892C7E">
      <w:pPr>
        <w:pStyle w:val="AHPRABulletlevel1"/>
        <w:ind w:left="369" w:hanging="369"/>
      </w:pPr>
      <w:r>
        <w:t>r</w:t>
      </w:r>
      <w:r w:rsidR="00C57E4E" w:rsidRPr="003A100C">
        <w:t>ecommend amendments to the Investment Policy for approval</w:t>
      </w:r>
    </w:p>
    <w:p w14:paraId="6DD6212D" w14:textId="193C40A9" w:rsidR="00C57E4E" w:rsidRPr="00BD2D49" w:rsidRDefault="008D36DA" w:rsidP="00892C7E">
      <w:pPr>
        <w:pStyle w:val="AHPRABulletlevel1"/>
        <w:ind w:left="369" w:hanging="369"/>
      </w:pPr>
      <w:r>
        <w:t>t</w:t>
      </w:r>
      <w:r w:rsidR="00C57E4E" w:rsidRPr="003A100C">
        <w:t>ake responsibility for the operation of the investment management function</w:t>
      </w:r>
    </w:p>
    <w:p w14:paraId="4AC3C00C" w14:textId="2AE62E5D" w:rsidR="00C57E4E" w:rsidRPr="00BD2D49" w:rsidRDefault="008D36DA" w:rsidP="00892C7E">
      <w:pPr>
        <w:pStyle w:val="AHPRABulletlevel1"/>
        <w:ind w:left="369" w:hanging="369"/>
      </w:pPr>
      <w:r>
        <w:t>l</w:t>
      </w:r>
      <w:r w:rsidR="00C57E4E" w:rsidRPr="003A100C">
        <w:t>iaise with Bank(s) and funds management agencies concerning the execution of the investment strategy and enter into any financial arrangements within limits prescribed by this Investment Policy, and</w:t>
      </w:r>
    </w:p>
    <w:p w14:paraId="52AB5A36" w14:textId="0F5EAA3C" w:rsidR="00892C7E" w:rsidRDefault="008D36DA" w:rsidP="00892C7E">
      <w:pPr>
        <w:pStyle w:val="AHPRABulletlevel1"/>
        <w:spacing w:after="200"/>
        <w:ind w:left="369" w:hanging="369"/>
      </w:pPr>
      <w:r>
        <w:t>p</w:t>
      </w:r>
      <w:r w:rsidR="00C57E4E" w:rsidRPr="003A100C">
        <w:t>rovide investment reports to FARMC on a quarterly basis setting out, at minimum, the value of the portfolio</w:t>
      </w:r>
      <w:r w:rsidR="00D63037">
        <w:t xml:space="preserve">, </w:t>
      </w:r>
      <w:r w:rsidR="00F34F5F">
        <w:t>investment performance against target benchmarks,</w:t>
      </w:r>
      <w:r w:rsidR="00C57E4E" w:rsidRPr="003A100C">
        <w:t xml:space="preserve"> schedule of investments</w:t>
      </w:r>
      <w:r w:rsidR="00F34F5F">
        <w:t xml:space="preserve"> and any incidents of non-compliance</w:t>
      </w:r>
      <w:r w:rsidR="00C57E4E" w:rsidRPr="003A100C">
        <w:t>.</w:t>
      </w:r>
    </w:p>
    <w:p w14:paraId="3DB579A4" w14:textId="77777777" w:rsidR="00892C7E" w:rsidRDefault="00892C7E">
      <w:pPr>
        <w:rPr>
          <w:rFonts w:eastAsia="Cambria" w:cs="Times New Roman"/>
          <w:sz w:val="20"/>
          <w:szCs w:val="24"/>
          <w:lang w:val="en-AU"/>
        </w:rPr>
      </w:pPr>
      <w:r>
        <w:br w:type="page"/>
      </w:r>
    </w:p>
    <w:p w14:paraId="1BE6436A" w14:textId="77777777" w:rsidR="00C57E4E" w:rsidRPr="00924DCE" w:rsidRDefault="00C57E4E" w:rsidP="00041CB3">
      <w:pPr>
        <w:pStyle w:val="AHPRANumberedsubheadinglevel2"/>
        <w:rPr>
          <w:rFonts w:eastAsia="Arial" w:cs="Arial"/>
          <w:szCs w:val="20"/>
          <w:lang w:val="en-US"/>
        </w:rPr>
      </w:pPr>
      <w:r w:rsidRPr="00BC29D1">
        <w:lastRenderedPageBreak/>
        <w:t>Manager Financial Accounting</w:t>
      </w:r>
    </w:p>
    <w:p w14:paraId="17BAA84C" w14:textId="726B85D9" w:rsidR="00C57E4E" w:rsidRPr="002562E2" w:rsidRDefault="00C57E4E" w:rsidP="00892C7E">
      <w:pPr>
        <w:pStyle w:val="AHPRAbody"/>
      </w:pPr>
      <w:r w:rsidRPr="002562E2">
        <w:t xml:space="preserve">The </w:t>
      </w:r>
      <w:r w:rsidRPr="008D36DA">
        <w:t>Manager</w:t>
      </w:r>
      <w:r w:rsidRPr="002562E2">
        <w:t xml:space="preserve"> Financial Accounting will operate and administer the investment function including forecasting, </w:t>
      </w:r>
      <w:r w:rsidRPr="00892C7E">
        <w:t>correspondence</w:t>
      </w:r>
      <w:r w:rsidRPr="002562E2">
        <w:t>, accounting and reporting duties on behalf of the CFO.</w:t>
      </w:r>
      <w:r>
        <w:t xml:space="preserve"> Specific responsibilities of the Manager Financial Accounting are to:</w:t>
      </w:r>
    </w:p>
    <w:p w14:paraId="6ED73543" w14:textId="2B2C1479" w:rsidR="00C57E4E" w:rsidRPr="00BD2D49" w:rsidRDefault="008D36DA" w:rsidP="00892C7E">
      <w:pPr>
        <w:pStyle w:val="AHPRABulletlevel1"/>
        <w:ind w:left="369" w:hanging="369"/>
      </w:pPr>
      <w:r>
        <w:t>i</w:t>
      </w:r>
      <w:r w:rsidR="00C57E4E" w:rsidRPr="003A100C">
        <w:t xml:space="preserve">mplement the financial risk management strategy of the investment function. </w:t>
      </w:r>
    </w:p>
    <w:p w14:paraId="51233A62" w14:textId="66D29789" w:rsidR="00C57E4E" w:rsidRPr="00BD2D49" w:rsidRDefault="008D36DA" w:rsidP="00892C7E">
      <w:pPr>
        <w:pStyle w:val="AHPRABulletlevel1"/>
        <w:ind w:left="369" w:hanging="369"/>
      </w:pPr>
      <w:r>
        <w:t>p</w:t>
      </w:r>
      <w:r w:rsidR="00C57E4E" w:rsidRPr="003A100C">
        <w:t>repare investment reports for consideration by the CFO, FARMC and AManC</w:t>
      </w:r>
    </w:p>
    <w:p w14:paraId="12615572" w14:textId="129228C1" w:rsidR="00E206E1" w:rsidRPr="00BD2D49" w:rsidRDefault="008D36DA" w:rsidP="00892C7E">
      <w:pPr>
        <w:pStyle w:val="AHPRABulletlevel1"/>
        <w:spacing w:after="200"/>
        <w:ind w:left="369" w:hanging="369"/>
      </w:pPr>
      <w:r>
        <w:t>s</w:t>
      </w:r>
      <w:r w:rsidR="00C57E4E" w:rsidRPr="003A100C">
        <w:t xml:space="preserve">eek endorsement of the Director Financial Control &amp; Procurement and a recommendation from the Deputy CFO to the CFO for authorising transactions within limits and delegations. </w:t>
      </w:r>
    </w:p>
    <w:p w14:paraId="3EE294D9" w14:textId="762549A1" w:rsidR="00805264" w:rsidRDefault="00396704" w:rsidP="00892C7E">
      <w:pPr>
        <w:pStyle w:val="AHPRANumberedsubheadinglevel1"/>
        <w:ind w:left="567" w:hanging="567"/>
      </w:pPr>
      <w:r w:rsidRPr="003A100C">
        <w:t>Authorised investments</w:t>
      </w:r>
    </w:p>
    <w:p w14:paraId="3EE294DA" w14:textId="1C055A09" w:rsidR="00805264" w:rsidRDefault="00396704" w:rsidP="00041CB3">
      <w:pPr>
        <w:pStyle w:val="AHPRANumberedsubheadinglevel2"/>
      </w:pPr>
      <w:r>
        <w:t>Approved Ahpra investments are limited to:</w:t>
      </w:r>
    </w:p>
    <w:p w14:paraId="7903699A" w14:textId="238B0AA8" w:rsidR="00F95824" w:rsidRPr="00924DCE" w:rsidRDefault="006D3B82" w:rsidP="00892C7E">
      <w:pPr>
        <w:pStyle w:val="AHPRABulletlevel1last"/>
        <w:spacing w:after="0"/>
        <w:ind w:left="936"/>
        <w:rPr>
          <w:sz w:val="22"/>
        </w:rPr>
      </w:pPr>
      <w:r w:rsidRPr="003A100C">
        <w:t xml:space="preserve">Cash and </w:t>
      </w:r>
      <w:r w:rsidR="00F4335B">
        <w:t>t</w:t>
      </w:r>
      <w:r w:rsidRPr="003A100C">
        <w:t xml:space="preserve">erm deposits with </w:t>
      </w:r>
      <w:r w:rsidR="00B82227" w:rsidRPr="003A100C">
        <w:t>Australian-owned deposit taking institutions rated AA- or better with S</w:t>
      </w:r>
      <w:r w:rsidR="00B82227" w:rsidRPr="00E74ECE">
        <w:t>&amp;P Global (Standard and Poor’s) or Aa3 Moody’s</w:t>
      </w:r>
    </w:p>
    <w:p w14:paraId="040D19C3" w14:textId="45450980" w:rsidR="00B82227" w:rsidRPr="00E74ECE" w:rsidRDefault="00341A0F" w:rsidP="00892C7E">
      <w:pPr>
        <w:pStyle w:val="AHPRABulletlevel1last"/>
        <w:ind w:left="936"/>
      </w:pPr>
      <w:r w:rsidRPr="00E74ECE">
        <w:t>Financial products including m</w:t>
      </w:r>
      <w:r w:rsidR="005A0F00" w:rsidRPr="00E74ECE">
        <w:t xml:space="preserve">anaged investment schemes </w:t>
      </w:r>
      <w:r w:rsidR="00534B37" w:rsidRPr="00E74ECE">
        <w:t xml:space="preserve">that have an investment profile that is consistent with the SAA set out in the policy and </w:t>
      </w:r>
      <w:r w:rsidR="00BE6EBB" w:rsidRPr="00E74ECE">
        <w:t>endorsed by FARMC and approved by AManC</w:t>
      </w:r>
    </w:p>
    <w:tbl>
      <w:tblPr>
        <w:tblStyle w:val="ListTable3-Accent1"/>
        <w:tblpPr w:leftFromText="180" w:rightFromText="180" w:vertAnchor="text" w:horzAnchor="margin" w:tblpX="562" w:tblpY="102"/>
        <w:tblW w:w="4729" w:type="pct"/>
        <w:tblLook w:val="00A0" w:firstRow="1" w:lastRow="0" w:firstColumn="1" w:lastColumn="0" w:noHBand="0" w:noVBand="0"/>
      </w:tblPr>
      <w:tblGrid>
        <w:gridCol w:w="1593"/>
        <w:gridCol w:w="2321"/>
        <w:gridCol w:w="2754"/>
        <w:gridCol w:w="2421"/>
      </w:tblGrid>
      <w:tr w:rsidR="00C67186" w:rsidRPr="009C1D85" w14:paraId="2A2BDE6D" w14:textId="77777777" w:rsidTr="00892C7E">
        <w:trPr>
          <w:cnfStyle w:val="100000000000" w:firstRow="1" w:lastRow="0" w:firstColumn="0" w:lastColumn="0" w:oddVBand="0" w:evenVBand="0" w:oddHBand="0" w:evenHBand="0" w:firstRowFirstColumn="0" w:firstRowLastColumn="0" w:lastRowFirstColumn="0" w:lastRowLastColumn="0"/>
          <w:trHeight w:hRule="exact" w:val="517"/>
        </w:trPr>
        <w:tc>
          <w:tcPr>
            <w:cnfStyle w:val="001000000100" w:firstRow="0" w:lastRow="0" w:firstColumn="1" w:lastColumn="0" w:oddVBand="0" w:evenVBand="0" w:oddHBand="0" w:evenHBand="0" w:firstRowFirstColumn="1" w:firstRowLastColumn="0" w:lastRowFirstColumn="0" w:lastRowLastColumn="0"/>
            <w:tcW w:w="876" w:type="pct"/>
          </w:tcPr>
          <w:p w14:paraId="72195CFA" w14:textId="77777777" w:rsidR="00C67186" w:rsidRPr="00BC29D1" w:rsidRDefault="00C67186" w:rsidP="00892C7E">
            <w:pPr>
              <w:spacing w:beforeLines="40" w:before="96"/>
              <w:jc w:val="center"/>
              <w:rPr>
                <w:sz w:val="18"/>
                <w:szCs w:val="18"/>
                <w:lang w:val="en-US"/>
              </w:rPr>
            </w:pPr>
            <w:r w:rsidRPr="00BC29D1">
              <w:rPr>
                <w:sz w:val="18"/>
                <w:szCs w:val="18"/>
                <w:lang w:val="en-US"/>
              </w:rPr>
              <w:t>S&amp;P Global</w:t>
            </w:r>
          </w:p>
        </w:tc>
        <w:tc>
          <w:tcPr>
            <w:cnfStyle w:val="000010000000" w:firstRow="0" w:lastRow="0" w:firstColumn="0" w:lastColumn="0" w:oddVBand="1" w:evenVBand="0" w:oddHBand="0" w:evenHBand="0" w:firstRowFirstColumn="0" w:firstRowLastColumn="0" w:lastRowFirstColumn="0" w:lastRowLastColumn="0"/>
            <w:tcW w:w="1277" w:type="pct"/>
          </w:tcPr>
          <w:p w14:paraId="5210E259" w14:textId="77777777" w:rsidR="00C67186" w:rsidRPr="00BC29D1" w:rsidRDefault="00C67186" w:rsidP="00892C7E">
            <w:pPr>
              <w:spacing w:beforeLines="40" w:before="96"/>
              <w:jc w:val="center"/>
              <w:rPr>
                <w:sz w:val="18"/>
                <w:szCs w:val="18"/>
                <w:lang w:val="en-US"/>
              </w:rPr>
            </w:pPr>
            <w:r w:rsidRPr="00BC29D1">
              <w:rPr>
                <w:sz w:val="18"/>
                <w:szCs w:val="18"/>
                <w:lang w:val="en-US"/>
              </w:rPr>
              <w:t>Moody’s</w:t>
            </w:r>
          </w:p>
        </w:tc>
        <w:tc>
          <w:tcPr>
            <w:tcW w:w="1515" w:type="pct"/>
          </w:tcPr>
          <w:p w14:paraId="6CC8502A" w14:textId="615EA199" w:rsidR="00C67186" w:rsidRPr="00BC29D1" w:rsidRDefault="00C67186" w:rsidP="00892C7E">
            <w:pPr>
              <w:spacing w:beforeLines="40" w:before="96"/>
              <w:jc w:val="center"/>
              <w:cnfStyle w:val="100000000000" w:firstRow="1" w:lastRow="0" w:firstColumn="0" w:lastColumn="0" w:oddVBand="0" w:evenVBand="0" w:oddHBand="0" w:evenHBand="0" w:firstRowFirstColumn="0" w:firstRowLastColumn="0" w:lastRowFirstColumn="0" w:lastRowLastColumn="0"/>
              <w:rPr>
                <w:sz w:val="18"/>
                <w:szCs w:val="18"/>
              </w:rPr>
            </w:pPr>
            <w:r w:rsidRPr="00BC29D1">
              <w:rPr>
                <w:sz w:val="18"/>
                <w:szCs w:val="18"/>
                <w:lang w:val="en-US"/>
              </w:rPr>
              <w:t>Grade/Capacity to meet financial commitments</w:t>
            </w:r>
          </w:p>
        </w:tc>
        <w:tc>
          <w:tcPr>
            <w:cnfStyle w:val="000010000000" w:firstRow="0" w:lastRow="0" w:firstColumn="0" w:lastColumn="0" w:oddVBand="1" w:evenVBand="0" w:oddHBand="0" w:evenHBand="0" w:firstRowFirstColumn="0" w:firstRowLastColumn="0" w:lastRowFirstColumn="0" w:lastRowLastColumn="0"/>
            <w:tcW w:w="1332" w:type="pct"/>
          </w:tcPr>
          <w:p w14:paraId="5BB8414F" w14:textId="39F46530" w:rsidR="00C67186" w:rsidRPr="00BC29D1" w:rsidRDefault="00C67186" w:rsidP="00892C7E">
            <w:pPr>
              <w:spacing w:beforeLines="40" w:before="96"/>
              <w:jc w:val="center"/>
              <w:rPr>
                <w:bCs w:val="0"/>
                <w:sz w:val="18"/>
                <w:szCs w:val="18"/>
              </w:rPr>
            </w:pPr>
            <w:r w:rsidRPr="00143741">
              <w:rPr>
                <w:sz w:val="18"/>
                <w:szCs w:val="18"/>
              </w:rPr>
              <w:t xml:space="preserve">Maximum </w:t>
            </w:r>
            <w:r w:rsidR="00892C7E">
              <w:rPr>
                <w:sz w:val="18"/>
                <w:szCs w:val="18"/>
              </w:rPr>
              <w:t>e</w:t>
            </w:r>
            <w:r w:rsidRPr="00143741">
              <w:rPr>
                <w:sz w:val="18"/>
                <w:szCs w:val="18"/>
              </w:rPr>
              <w:t>xposure</w:t>
            </w:r>
          </w:p>
          <w:p w14:paraId="46AE5CD3" w14:textId="77777777" w:rsidR="00C67186" w:rsidRPr="00BC29D1" w:rsidRDefault="00C67186" w:rsidP="00892C7E">
            <w:pPr>
              <w:spacing w:beforeLines="40" w:before="96"/>
              <w:rPr>
                <w:sz w:val="18"/>
                <w:szCs w:val="18"/>
                <w:lang w:val="en-US"/>
              </w:rPr>
            </w:pPr>
          </w:p>
        </w:tc>
      </w:tr>
      <w:tr w:rsidR="00C67186" w:rsidRPr="009C1D85" w14:paraId="78D9120A" w14:textId="77777777" w:rsidTr="00892C7E">
        <w:trPr>
          <w:cnfStyle w:val="000000100000" w:firstRow="0" w:lastRow="0" w:firstColumn="0" w:lastColumn="0" w:oddVBand="0" w:evenVBand="0" w:oddHBand="1" w:evenHBand="0" w:firstRowFirstColumn="0" w:firstRowLastColumn="0" w:lastRowFirstColumn="0" w:lastRowLastColumn="0"/>
          <w:trHeight w:hRule="exact" w:val="630"/>
        </w:trPr>
        <w:tc>
          <w:tcPr>
            <w:cnfStyle w:val="001000000000" w:firstRow="0" w:lastRow="0" w:firstColumn="1" w:lastColumn="0" w:oddVBand="0" w:evenVBand="0" w:oddHBand="0" w:evenHBand="0" w:firstRowFirstColumn="0" w:firstRowLastColumn="0" w:lastRowFirstColumn="0" w:lastRowLastColumn="0"/>
            <w:tcW w:w="876" w:type="pct"/>
          </w:tcPr>
          <w:p w14:paraId="7000B1EB" w14:textId="77777777" w:rsidR="00C67186" w:rsidRDefault="00C67186" w:rsidP="00892C7E">
            <w:pPr>
              <w:spacing w:beforeLines="40" w:before="96"/>
              <w:jc w:val="center"/>
              <w:rPr>
                <w:bCs w:val="0"/>
                <w:sz w:val="18"/>
                <w:szCs w:val="18"/>
                <w:lang w:val="en-US"/>
              </w:rPr>
            </w:pPr>
            <w:r w:rsidRPr="00BC29D1">
              <w:rPr>
                <w:b w:val="0"/>
                <w:sz w:val="18"/>
                <w:szCs w:val="18"/>
                <w:lang w:val="en-US"/>
              </w:rPr>
              <w:t>AAA</w:t>
            </w:r>
          </w:p>
          <w:p w14:paraId="65B678A8" w14:textId="77777777" w:rsidR="00C67186" w:rsidRPr="003A43E2" w:rsidRDefault="00C67186" w:rsidP="00892C7E">
            <w:pPr>
              <w:spacing w:beforeLines="40" w:before="96"/>
              <w:jc w:val="center"/>
              <w:rPr>
                <w:b w:val="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77" w:type="pct"/>
          </w:tcPr>
          <w:p w14:paraId="243FC1A4" w14:textId="77777777" w:rsidR="00C67186" w:rsidRDefault="00C67186" w:rsidP="00892C7E">
            <w:pPr>
              <w:spacing w:beforeLines="40" w:before="96"/>
              <w:jc w:val="center"/>
              <w:rPr>
                <w:sz w:val="18"/>
                <w:szCs w:val="18"/>
                <w:lang w:val="en-US"/>
              </w:rPr>
            </w:pPr>
            <w:proofErr w:type="spellStart"/>
            <w:r w:rsidRPr="003A43E2">
              <w:rPr>
                <w:sz w:val="18"/>
                <w:szCs w:val="18"/>
                <w:lang w:val="en-US"/>
              </w:rPr>
              <w:t>Aaa</w:t>
            </w:r>
            <w:proofErr w:type="spellEnd"/>
          </w:p>
          <w:p w14:paraId="3CF466AD" w14:textId="77777777" w:rsidR="00C67186" w:rsidRPr="003A43E2" w:rsidRDefault="00C67186" w:rsidP="00892C7E">
            <w:pPr>
              <w:spacing w:beforeLines="40" w:before="96"/>
              <w:jc w:val="center"/>
              <w:rPr>
                <w:sz w:val="18"/>
                <w:szCs w:val="18"/>
                <w:lang w:val="en-US"/>
              </w:rPr>
            </w:pPr>
          </w:p>
        </w:tc>
        <w:tc>
          <w:tcPr>
            <w:tcW w:w="1515" w:type="pct"/>
          </w:tcPr>
          <w:p w14:paraId="0713DA3C" w14:textId="77777777" w:rsidR="00C67186" w:rsidRPr="003A43E2" w:rsidRDefault="00C67186" w:rsidP="00892C7E">
            <w:pPr>
              <w:spacing w:beforeLines="40" w:before="96"/>
              <w:cnfStyle w:val="000000100000" w:firstRow="0" w:lastRow="0" w:firstColumn="0" w:lastColumn="0" w:oddVBand="0" w:evenVBand="0" w:oddHBand="1" w:evenHBand="0" w:firstRowFirstColumn="0" w:firstRowLastColumn="0" w:lastRowFirstColumn="0" w:lastRowLastColumn="0"/>
              <w:rPr>
                <w:sz w:val="18"/>
                <w:szCs w:val="18"/>
              </w:rPr>
            </w:pPr>
            <w:r w:rsidRPr="003A43E2">
              <w:rPr>
                <w:sz w:val="18"/>
                <w:szCs w:val="18"/>
                <w:lang w:val="en-US"/>
              </w:rPr>
              <w:t>Highest quality, lowest risk, extremely strong</w:t>
            </w:r>
          </w:p>
        </w:tc>
        <w:tc>
          <w:tcPr>
            <w:cnfStyle w:val="000010000000" w:firstRow="0" w:lastRow="0" w:firstColumn="0" w:lastColumn="0" w:oddVBand="1" w:evenVBand="0" w:oddHBand="0" w:evenHBand="0" w:firstRowFirstColumn="0" w:firstRowLastColumn="0" w:lastRowFirstColumn="0" w:lastRowLastColumn="0"/>
            <w:tcW w:w="1332" w:type="pct"/>
          </w:tcPr>
          <w:p w14:paraId="1FA7EC0B" w14:textId="77777777" w:rsidR="00C67186" w:rsidRDefault="00C67186" w:rsidP="00892C7E">
            <w:pPr>
              <w:spacing w:beforeLines="40" w:before="96"/>
              <w:jc w:val="center"/>
              <w:rPr>
                <w:sz w:val="18"/>
                <w:szCs w:val="18"/>
              </w:rPr>
            </w:pPr>
            <w:r w:rsidRPr="00BC29D1">
              <w:rPr>
                <w:sz w:val="18"/>
                <w:szCs w:val="18"/>
              </w:rPr>
              <w:t>Unlimited</w:t>
            </w:r>
          </w:p>
          <w:p w14:paraId="081716F9" w14:textId="77777777" w:rsidR="00C67186" w:rsidRPr="003A43E2" w:rsidRDefault="00C67186" w:rsidP="00892C7E">
            <w:pPr>
              <w:spacing w:beforeLines="40" w:before="96"/>
              <w:jc w:val="center"/>
              <w:rPr>
                <w:b/>
                <w:sz w:val="18"/>
                <w:szCs w:val="18"/>
                <w:lang w:val="en-US"/>
              </w:rPr>
            </w:pPr>
          </w:p>
        </w:tc>
      </w:tr>
      <w:tr w:rsidR="00C67186" w:rsidRPr="009C1D85" w14:paraId="165A424B" w14:textId="77777777" w:rsidTr="00892C7E">
        <w:trPr>
          <w:trHeight w:hRule="exact" w:val="568"/>
        </w:trPr>
        <w:tc>
          <w:tcPr>
            <w:cnfStyle w:val="001000000000" w:firstRow="0" w:lastRow="0" w:firstColumn="1" w:lastColumn="0" w:oddVBand="0" w:evenVBand="0" w:oddHBand="0" w:evenHBand="0" w:firstRowFirstColumn="0" w:firstRowLastColumn="0" w:lastRowFirstColumn="0" w:lastRowLastColumn="0"/>
            <w:tcW w:w="876" w:type="pct"/>
            <w:shd w:val="clear" w:color="auto" w:fill="DBE5F1" w:themeFill="accent1" w:themeFillTint="33"/>
          </w:tcPr>
          <w:p w14:paraId="3A9603B1" w14:textId="77777777" w:rsidR="00C67186" w:rsidRDefault="00C67186" w:rsidP="00892C7E">
            <w:pPr>
              <w:spacing w:beforeLines="40" w:before="96"/>
              <w:jc w:val="center"/>
              <w:rPr>
                <w:bCs w:val="0"/>
                <w:sz w:val="18"/>
                <w:szCs w:val="18"/>
                <w:lang w:val="en-US"/>
              </w:rPr>
            </w:pPr>
            <w:r w:rsidRPr="00BC29D1">
              <w:rPr>
                <w:b w:val="0"/>
                <w:sz w:val="18"/>
                <w:szCs w:val="18"/>
                <w:lang w:val="en-US"/>
              </w:rPr>
              <w:t>AA+</w:t>
            </w:r>
          </w:p>
          <w:p w14:paraId="28187318" w14:textId="77777777" w:rsidR="00C67186" w:rsidRPr="003A43E2" w:rsidRDefault="00C67186" w:rsidP="00892C7E">
            <w:pPr>
              <w:spacing w:beforeLines="40" w:before="96"/>
              <w:jc w:val="center"/>
              <w:rPr>
                <w:b w:val="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77" w:type="pct"/>
            <w:shd w:val="clear" w:color="auto" w:fill="DBE5F1" w:themeFill="accent1" w:themeFillTint="33"/>
          </w:tcPr>
          <w:p w14:paraId="4D0438BC" w14:textId="77777777" w:rsidR="00C67186" w:rsidRDefault="00C67186" w:rsidP="00892C7E">
            <w:pPr>
              <w:spacing w:beforeLines="40" w:before="96"/>
              <w:jc w:val="center"/>
              <w:rPr>
                <w:sz w:val="18"/>
                <w:szCs w:val="18"/>
                <w:lang w:val="en-US"/>
              </w:rPr>
            </w:pPr>
            <w:r w:rsidRPr="003A43E2">
              <w:rPr>
                <w:sz w:val="18"/>
                <w:szCs w:val="18"/>
                <w:lang w:val="en-US"/>
              </w:rPr>
              <w:t>Aa1</w:t>
            </w:r>
          </w:p>
          <w:p w14:paraId="3601560B" w14:textId="77777777" w:rsidR="00C67186" w:rsidRPr="003A43E2" w:rsidRDefault="00C67186" w:rsidP="00892C7E">
            <w:pPr>
              <w:spacing w:beforeLines="40" w:before="96"/>
              <w:jc w:val="center"/>
              <w:rPr>
                <w:sz w:val="18"/>
                <w:szCs w:val="18"/>
                <w:lang w:val="en-US"/>
              </w:rPr>
            </w:pPr>
          </w:p>
        </w:tc>
        <w:tc>
          <w:tcPr>
            <w:tcW w:w="1515" w:type="pct"/>
            <w:shd w:val="clear" w:color="auto" w:fill="DBE5F1" w:themeFill="accent1" w:themeFillTint="33"/>
          </w:tcPr>
          <w:p w14:paraId="6C4EC45A" w14:textId="77777777" w:rsidR="00C67186" w:rsidRPr="003A43E2" w:rsidRDefault="00C67186" w:rsidP="00892C7E">
            <w:pPr>
              <w:spacing w:beforeLines="40" w:before="96"/>
              <w:cnfStyle w:val="000000000000" w:firstRow="0" w:lastRow="0" w:firstColumn="0" w:lastColumn="0" w:oddVBand="0" w:evenVBand="0" w:oddHBand="0" w:evenHBand="0" w:firstRowFirstColumn="0" w:firstRowLastColumn="0" w:lastRowFirstColumn="0" w:lastRowLastColumn="0"/>
              <w:rPr>
                <w:sz w:val="18"/>
                <w:szCs w:val="18"/>
              </w:rPr>
            </w:pPr>
            <w:r w:rsidRPr="003A43E2">
              <w:rPr>
                <w:sz w:val="18"/>
                <w:szCs w:val="18"/>
                <w:lang w:val="en-US"/>
              </w:rPr>
              <w:t>Very high quality, very low risk, very strong</w:t>
            </w:r>
          </w:p>
        </w:tc>
        <w:tc>
          <w:tcPr>
            <w:cnfStyle w:val="000010000000" w:firstRow="0" w:lastRow="0" w:firstColumn="0" w:lastColumn="0" w:oddVBand="1" w:evenVBand="0" w:oddHBand="0" w:evenHBand="0" w:firstRowFirstColumn="0" w:firstRowLastColumn="0" w:lastRowFirstColumn="0" w:lastRowLastColumn="0"/>
            <w:tcW w:w="1332" w:type="pct"/>
            <w:shd w:val="clear" w:color="auto" w:fill="DBE5F1" w:themeFill="accent1" w:themeFillTint="33"/>
          </w:tcPr>
          <w:p w14:paraId="24CFA12A" w14:textId="77777777" w:rsidR="00C67186" w:rsidRDefault="00C67186" w:rsidP="00892C7E">
            <w:pPr>
              <w:spacing w:beforeLines="40" w:before="96"/>
              <w:jc w:val="center"/>
              <w:rPr>
                <w:sz w:val="18"/>
                <w:szCs w:val="18"/>
              </w:rPr>
            </w:pPr>
            <w:r w:rsidRPr="00BC29D1">
              <w:rPr>
                <w:sz w:val="18"/>
                <w:szCs w:val="18"/>
              </w:rPr>
              <w:t>$250</w:t>
            </w:r>
            <w:r>
              <w:rPr>
                <w:sz w:val="18"/>
                <w:szCs w:val="18"/>
              </w:rPr>
              <w:t xml:space="preserve"> million</w:t>
            </w:r>
          </w:p>
          <w:p w14:paraId="4C669476" w14:textId="77777777" w:rsidR="00C67186" w:rsidRPr="003A43E2" w:rsidRDefault="00C67186" w:rsidP="00892C7E">
            <w:pPr>
              <w:spacing w:beforeLines="40" w:before="96"/>
              <w:jc w:val="center"/>
              <w:rPr>
                <w:b/>
                <w:sz w:val="18"/>
                <w:szCs w:val="18"/>
                <w:lang w:val="en-US"/>
              </w:rPr>
            </w:pPr>
          </w:p>
        </w:tc>
      </w:tr>
      <w:tr w:rsidR="00C67186" w:rsidRPr="009C1D85" w14:paraId="0FAACBBB" w14:textId="77777777" w:rsidTr="00892C7E">
        <w:trPr>
          <w:cnfStyle w:val="000000100000" w:firstRow="0" w:lastRow="0" w:firstColumn="0" w:lastColumn="0" w:oddVBand="0" w:evenVBand="0" w:oddHBand="1" w:evenHBand="0" w:firstRowFirstColumn="0" w:firstRowLastColumn="0" w:lastRowFirstColumn="0" w:lastRowLastColumn="0"/>
          <w:trHeight w:hRule="exact" w:val="575"/>
        </w:trPr>
        <w:tc>
          <w:tcPr>
            <w:cnfStyle w:val="001000000000" w:firstRow="0" w:lastRow="0" w:firstColumn="1" w:lastColumn="0" w:oddVBand="0" w:evenVBand="0" w:oddHBand="0" w:evenHBand="0" w:firstRowFirstColumn="0" w:firstRowLastColumn="0" w:lastRowFirstColumn="0" w:lastRowLastColumn="0"/>
            <w:tcW w:w="876" w:type="pct"/>
          </w:tcPr>
          <w:p w14:paraId="1FADFF68" w14:textId="77777777" w:rsidR="00C67186" w:rsidRDefault="00C67186" w:rsidP="00892C7E">
            <w:pPr>
              <w:spacing w:beforeLines="40" w:before="96"/>
              <w:jc w:val="center"/>
              <w:rPr>
                <w:bCs w:val="0"/>
                <w:sz w:val="18"/>
                <w:szCs w:val="18"/>
                <w:lang w:val="en-US"/>
              </w:rPr>
            </w:pPr>
            <w:r w:rsidRPr="00BC29D1">
              <w:rPr>
                <w:b w:val="0"/>
                <w:sz w:val="18"/>
                <w:szCs w:val="18"/>
                <w:lang w:val="en-US"/>
              </w:rPr>
              <w:t>AA</w:t>
            </w:r>
          </w:p>
          <w:p w14:paraId="712BE92F" w14:textId="77777777" w:rsidR="00C67186" w:rsidRPr="003A43E2" w:rsidRDefault="00C67186" w:rsidP="00892C7E">
            <w:pPr>
              <w:spacing w:beforeLines="40" w:before="96"/>
              <w:jc w:val="center"/>
              <w:rPr>
                <w:b w:val="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77" w:type="pct"/>
          </w:tcPr>
          <w:p w14:paraId="3C9D96F4" w14:textId="77777777" w:rsidR="00C67186" w:rsidRDefault="00C67186" w:rsidP="00892C7E">
            <w:pPr>
              <w:spacing w:beforeLines="40" w:before="96"/>
              <w:jc w:val="center"/>
              <w:rPr>
                <w:sz w:val="18"/>
                <w:szCs w:val="18"/>
                <w:lang w:val="en-US"/>
              </w:rPr>
            </w:pPr>
            <w:r w:rsidRPr="003A43E2">
              <w:rPr>
                <w:sz w:val="18"/>
                <w:szCs w:val="18"/>
                <w:lang w:val="en-US"/>
              </w:rPr>
              <w:t>Aa2</w:t>
            </w:r>
          </w:p>
          <w:p w14:paraId="04B4D141" w14:textId="77777777" w:rsidR="00C67186" w:rsidRPr="003A43E2" w:rsidRDefault="00C67186" w:rsidP="00892C7E">
            <w:pPr>
              <w:spacing w:beforeLines="40" w:before="96"/>
              <w:jc w:val="center"/>
              <w:rPr>
                <w:sz w:val="18"/>
                <w:szCs w:val="18"/>
                <w:lang w:val="en-US"/>
              </w:rPr>
            </w:pPr>
          </w:p>
        </w:tc>
        <w:tc>
          <w:tcPr>
            <w:tcW w:w="1515" w:type="pct"/>
          </w:tcPr>
          <w:p w14:paraId="27CC7073" w14:textId="77777777" w:rsidR="00C67186" w:rsidRPr="003A43E2" w:rsidRDefault="00C67186" w:rsidP="00892C7E">
            <w:pPr>
              <w:spacing w:beforeLines="40" w:before="96"/>
              <w:cnfStyle w:val="000000100000" w:firstRow="0" w:lastRow="0" w:firstColumn="0" w:lastColumn="0" w:oddVBand="0" w:evenVBand="0" w:oddHBand="1" w:evenHBand="0" w:firstRowFirstColumn="0" w:firstRowLastColumn="0" w:lastRowFirstColumn="0" w:lastRowLastColumn="0"/>
              <w:rPr>
                <w:sz w:val="18"/>
                <w:szCs w:val="18"/>
              </w:rPr>
            </w:pPr>
            <w:r w:rsidRPr="003A43E2">
              <w:rPr>
                <w:sz w:val="18"/>
                <w:szCs w:val="18"/>
                <w:lang w:val="en-US"/>
              </w:rPr>
              <w:t>Very high quality, very low risk, very strong</w:t>
            </w:r>
          </w:p>
        </w:tc>
        <w:tc>
          <w:tcPr>
            <w:cnfStyle w:val="000010000000" w:firstRow="0" w:lastRow="0" w:firstColumn="0" w:lastColumn="0" w:oddVBand="1" w:evenVBand="0" w:oddHBand="0" w:evenHBand="0" w:firstRowFirstColumn="0" w:firstRowLastColumn="0" w:lastRowFirstColumn="0" w:lastRowLastColumn="0"/>
            <w:tcW w:w="1332" w:type="pct"/>
          </w:tcPr>
          <w:p w14:paraId="6902AA57" w14:textId="77777777" w:rsidR="00C67186" w:rsidRDefault="00C67186" w:rsidP="00892C7E">
            <w:pPr>
              <w:spacing w:beforeLines="40" w:before="96"/>
              <w:jc w:val="center"/>
              <w:rPr>
                <w:sz w:val="18"/>
                <w:szCs w:val="18"/>
              </w:rPr>
            </w:pPr>
            <w:r w:rsidRPr="003A43E2">
              <w:rPr>
                <w:sz w:val="18"/>
                <w:szCs w:val="18"/>
              </w:rPr>
              <w:t>$250</w:t>
            </w:r>
            <w:r>
              <w:rPr>
                <w:sz w:val="18"/>
                <w:szCs w:val="18"/>
              </w:rPr>
              <w:t xml:space="preserve"> million</w:t>
            </w:r>
          </w:p>
          <w:p w14:paraId="264DBF26" w14:textId="77777777" w:rsidR="00C67186" w:rsidRPr="003A43E2" w:rsidRDefault="00C67186" w:rsidP="00892C7E">
            <w:pPr>
              <w:spacing w:beforeLines="40" w:before="96"/>
              <w:jc w:val="center"/>
              <w:rPr>
                <w:b/>
                <w:sz w:val="18"/>
                <w:szCs w:val="18"/>
              </w:rPr>
            </w:pPr>
          </w:p>
        </w:tc>
      </w:tr>
      <w:tr w:rsidR="00C67186" w:rsidRPr="009C1D85" w14:paraId="1B28C469" w14:textId="77777777" w:rsidTr="00892C7E">
        <w:trPr>
          <w:trHeight w:hRule="exact" w:val="556"/>
        </w:trPr>
        <w:tc>
          <w:tcPr>
            <w:cnfStyle w:val="001000000000" w:firstRow="0" w:lastRow="0" w:firstColumn="1" w:lastColumn="0" w:oddVBand="0" w:evenVBand="0" w:oddHBand="0" w:evenHBand="0" w:firstRowFirstColumn="0" w:firstRowLastColumn="0" w:lastRowFirstColumn="0" w:lastRowLastColumn="0"/>
            <w:tcW w:w="876" w:type="pct"/>
            <w:shd w:val="clear" w:color="auto" w:fill="DBE5F1" w:themeFill="accent1" w:themeFillTint="33"/>
          </w:tcPr>
          <w:p w14:paraId="26567DE2" w14:textId="77777777" w:rsidR="00C67186" w:rsidRDefault="00C67186" w:rsidP="00892C7E">
            <w:pPr>
              <w:spacing w:beforeLines="40" w:before="96"/>
              <w:jc w:val="center"/>
              <w:rPr>
                <w:bCs w:val="0"/>
                <w:sz w:val="18"/>
                <w:szCs w:val="18"/>
                <w:lang w:val="en-US"/>
              </w:rPr>
            </w:pPr>
            <w:r w:rsidRPr="00BC29D1">
              <w:rPr>
                <w:b w:val="0"/>
                <w:sz w:val="18"/>
                <w:szCs w:val="18"/>
                <w:lang w:val="en-US"/>
              </w:rPr>
              <w:t>AA-</w:t>
            </w:r>
          </w:p>
          <w:p w14:paraId="5F27FC60" w14:textId="77777777" w:rsidR="00C67186" w:rsidRPr="003A43E2" w:rsidRDefault="00C67186" w:rsidP="00892C7E">
            <w:pPr>
              <w:spacing w:beforeLines="40" w:before="96"/>
              <w:jc w:val="center"/>
              <w:rPr>
                <w:b w:val="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77" w:type="pct"/>
            <w:shd w:val="clear" w:color="auto" w:fill="DBE5F1" w:themeFill="accent1" w:themeFillTint="33"/>
          </w:tcPr>
          <w:p w14:paraId="1C09CE56" w14:textId="77777777" w:rsidR="00C67186" w:rsidRDefault="00C67186" w:rsidP="00892C7E">
            <w:pPr>
              <w:spacing w:beforeLines="40" w:before="96"/>
              <w:jc w:val="center"/>
              <w:rPr>
                <w:sz w:val="18"/>
                <w:szCs w:val="18"/>
                <w:lang w:val="en-US"/>
              </w:rPr>
            </w:pPr>
            <w:r w:rsidRPr="00BC29D1">
              <w:rPr>
                <w:sz w:val="18"/>
                <w:szCs w:val="18"/>
                <w:lang w:val="en-US"/>
              </w:rPr>
              <w:t>A</w:t>
            </w:r>
            <w:r w:rsidRPr="003A43E2">
              <w:rPr>
                <w:sz w:val="18"/>
                <w:szCs w:val="18"/>
                <w:lang w:val="en-US"/>
              </w:rPr>
              <w:t>a3</w:t>
            </w:r>
          </w:p>
          <w:p w14:paraId="3F3D7C74" w14:textId="77777777" w:rsidR="00C67186" w:rsidRPr="003A43E2" w:rsidRDefault="00C67186" w:rsidP="00892C7E">
            <w:pPr>
              <w:spacing w:beforeLines="40" w:before="96"/>
              <w:jc w:val="center"/>
              <w:rPr>
                <w:b/>
                <w:sz w:val="18"/>
                <w:szCs w:val="18"/>
                <w:lang w:val="en-US"/>
              </w:rPr>
            </w:pPr>
          </w:p>
        </w:tc>
        <w:tc>
          <w:tcPr>
            <w:tcW w:w="1515" w:type="pct"/>
            <w:shd w:val="clear" w:color="auto" w:fill="DBE5F1" w:themeFill="accent1" w:themeFillTint="33"/>
          </w:tcPr>
          <w:p w14:paraId="34DC455C" w14:textId="77777777" w:rsidR="00C67186" w:rsidRPr="003A43E2" w:rsidRDefault="00C67186" w:rsidP="00892C7E">
            <w:pPr>
              <w:spacing w:beforeLines="40" w:before="96"/>
              <w:cnfStyle w:val="000000000000" w:firstRow="0" w:lastRow="0" w:firstColumn="0" w:lastColumn="0" w:oddVBand="0" w:evenVBand="0" w:oddHBand="0" w:evenHBand="0" w:firstRowFirstColumn="0" w:firstRowLastColumn="0" w:lastRowFirstColumn="0" w:lastRowLastColumn="0"/>
              <w:rPr>
                <w:b/>
                <w:sz w:val="18"/>
                <w:szCs w:val="18"/>
              </w:rPr>
            </w:pPr>
            <w:r w:rsidRPr="00BC29D1">
              <w:rPr>
                <w:sz w:val="18"/>
                <w:szCs w:val="18"/>
                <w:lang w:val="en-US"/>
              </w:rPr>
              <w:t xml:space="preserve">Very high quality, </w:t>
            </w:r>
            <w:r w:rsidRPr="003A43E2">
              <w:rPr>
                <w:sz w:val="18"/>
                <w:szCs w:val="18"/>
                <w:lang w:val="en-US"/>
              </w:rPr>
              <w:t xml:space="preserve">very </w:t>
            </w:r>
            <w:r w:rsidRPr="00BC29D1">
              <w:rPr>
                <w:sz w:val="18"/>
                <w:szCs w:val="18"/>
                <w:lang w:val="en-US"/>
              </w:rPr>
              <w:t xml:space="preserve">low risk, very </w:t>
            </w:r>
            <w:r w:rsidRPr="003A43E2">
              <w:rPr>
                <w:sz w:val="18"/>
                <w:szCs w:val="18"/>
                <w:lang w:val="en-US"/>
              </w:rPr>
              <w:t>strong</w:t>
            </w:r>
          </w:p>
        </w:tc>
        <w:tc>
          <w:tcPr>
            <w:cnfStyle w:val="000010000000" w:firstRow="0" w:lastRow="0" w:firstColumn="0" w:lastColumn="0" w:oddVBand="1" w:evenVBand="0" w:oddHBand="0" w:evenHBand="0" w:firstRowFirstColumn="0" w:firstRowLastColumn="0" w:lastRowFirstColumn="0" w:lastRowLastColumn="0"/>
            <w:tcW w:w="1332" w:type="pct"/>
            <w:shd w:val="clear" w:color="auto" w:fill="DBE5F1" w:themeFill="accent1" w:themeFillTint="33"/>
          </w:tcPr>
          <w:p w14:paraId="015D9E63" w14:textId="77777777" w:rsidR="00C67186" w:rsidRDefault="00C67186" w:rsidP="00892C7E">
            <w:pPr>
              <w:spacing w:beforeLines="40" w:before="96"/>
              <w:jc w:val="center"/>
              <w:rPr>
                <w:sz w:val="18"/>
                <w:szCs w:val="18"/>
              </w:rPr>
            </w:pPr>
            <w:r w:rsidRPr="00BC29D1">
              <w:rPr>
                <w:sz w:val="18"/>
                <w:szCs w:val="18"/>
              </w:rPr>
              <w:t>$200</w:t>
            </w:r>
            <w:r>
              <w:rPr>
                <w:sz w:val="18"/>
                <w:szCs w:val="18"/>
              </w:rPr>
              <w:t xml:space="preserve"> million</w:t>
            </w:r>
          </w:p>
          <w:p w14:paraId="7F91E5C5" w14:textId="77777777" w:rsidR="00C67186" w:rsidRPr="003A43E2" w:rsidRDefault="00C67186" w:rsidP="00892C7E">
            <w:pPr>
              <w:spacing w:beforeLines="40" w:before="96"/>
              <w:jc w:val="center"/>
              <w:rPr>
                <w:b/>
                <w:sz w:val="18"/>
                <w:szCs w:val="18"/>
                <w:lang w:val="en-US"/>
              </w:rPr>
            </w:pPr>
          </w:p>
        </w:tc>
      </w:tr>
    </w:tbl>
    <w:p w14:paraId="30CB8727" w14:textId="1A98C74D" w:rsidR="00443B8B" w:rsidRPr="00E74ECE" w:rsidRDefault="00E173B9" w:rsidP="00892C7E">
      <w:pPr>
        <w:pStyle w:val="AHPRANumberedsubheadinglevel1"/>
        <w:ind w:left="567" w:hanging="567"/>
      </w:pPr>
      <w:r w:rsidRPr="00E74ECE">
        <w:t>Rebalancing</w:t>
      </w:r>
    </w:p>
    <w:p w14:paraId="66AE6BDC" w14:textId="77777777" w:rsidR="007072ED" w:rsidRDefault="00074980" w:rsidP="00041CB3">
      <w:pPr>
        <w:pStyle w:val="AHPRANumberedsubheadinglevel2"/>
      </w:pPr>
      <w:r>
        <w:t xml:space="preserve">There will be a need to rebalance the allocation of funds </w:t>
      </w:r>
      <w:r w:rsidR="001707B3">
        <w:t xml:space="preserve">to ensure compliance with this policy </w:t>
      </w:r>
      <w:r>
        <w:t>as investment balances fluctuate</w:t>
      </w:r>
      <w:r w:rsidR="000E1331">
        <w:t xml:space="preserve">. </w:t>
      </w:r>
    </w:p>
    <w:p w14:paraId="4F37C870" w14:textId="6FA06651" w:rsidR="001169ED" w:rsidRDefault="000E1331" w:rsidP="00041CB3">
      <w:pPr>
        <w:pStyle w:val="AHPRANumberedsubheadinglevel2"/>
      </w:pPr>
      <w:r>
        <w:t xml:space="preserve">In order to avoid </w:t>
      </w:r>
      <w:r w:rsidR="00885E4D">
        <w:t xml:space="preserve">break costs on fixed term deposits and other negative impacts of </w:t>
      </w:r>
      <w:r w:rsidR="004E5026">
        <w:t>transferring funds between fixed term deposits</w:t>
      </w:r>
      <w:r w:rsidR="004555CA">
        <w:t xml:space="preserve">, cash deposits </w:t>
      </w:r>
      <w:r w:rsidR="004E5026">
        <w:t>and managed investment funds</w:t>
      </w:r>
      <w:r w:rsidR="00FE40CE">
        <w:t>, r</w:t>
      </w:r>
      <w:r w:rsidR="00927E24">
        <w:t xml:space="preserve">ebalancing </w:t>
      </w:r>
      <w:r w:rsidR="00CC06C6">
        <w:t>will be completed by way of maturing fixed term deposits</w:t>
      </w:r>
      <w:r w:rsidR="00782AE6">
        <w:t xml:space="preserve"> </w:t>
      </w:r>
      <w:r w:rsidR="001169ED">
        <w:t>when</w:t>
      </w:r>
      <w:r w:rsidR="00175F9D" w:rsidRPr="00175F9D">
        <w:t xml:space="preserve"> required to increase funds invested in cash or investing capital. </w:t>
      </w:r>
    </w:p>
    <w:p w14:paraId="2520F90E" w14:textId="5AB9E8F8" w:rsidR="00E206E1" w:rsidRPr="00E206E1" w:rsidRDefault="00175F9D" w:rsidP="00041CB3">
      <w:pPr>
        <w:pStyle w:val="AHPRANumberedsubheadinglevel2"/>
      </w:pPr>
      <w:r w:rsidRPr="00175F9D">
        <w:t>If rebalancing is required to decrease funds invested in investing capital, this will be by way of redemption of units in managed investment schemes</w:t>
      </w:r>
      <w:r w:rsidR="003261D7">
        <w:t>.</w:t>
      </w:r>
    </w:p>
    <w:p w14:paraId="64101237" w14:textId="63B8D1C3" w:rsidR="00F967B8" w:rsidRPr="00164D44" w:rsidRDefault="00F967B8" w:rsidP="00892C7E">
      <w:pPr>
        <w:pStyle w:val="AHPRANumberedsubheadinglevel1"/>
        <w:ind w:left="567" w:hanging="567"/>
      </w:pPr>
      <w:r w:rsidRPr="00164D44">
        <w:t>Investment risks</w:t>
      </w:r>
    </w:p>
    <w:p w14:paraId="75325C89" w14:textId="77777777" w:rsidR="00E079E1" w:rsidRDefault="007059D6" w:rsidP="00041CB3">
      <w:pPr>
        <w:pStyle w:val="AHPRANumberedsubheadinglevel2"/>
      </w:pPr>
      <w:r>
        <w:t>To</w:t>
      </w:r>
      <w:r w:rsidR="00F967B8" w:rsidRPr="00164D44">
        <w:t xml:space="preserve"> achieve the investment objectives </w:t>
      </w:r>
      <w:r w:rsidR="00F967B8">
        <w:t xml:space="preserve">of </w:t>
      </w:r>
      <w:r w:rsidR="00F967B8" w:rsidRPr="00164D44">
        <w:t>this Policy</w:t>
      </w:r>
      <w:r w:rsidR="00000F9C">
        <w:t xml:space="preserve"> </w:t>
      </w:r>
      <w:r w:rsidR="00F967B8">
        <w:t>the AManC</w:t>
      </w:r>
      <w:r w:rsidR="00F967B8" w:rsidRPr="00164D44">
        <w:t xml:space="preserve"> acknowledges that risks are being taken in order to achieve investment returns above the risk</w:t>
      </w:r>
      <w:r w:rsidR="00F967B8">
        <w:t>-</w:t>
      </w:r>
      <w:r w:rsidR="00F967B8" w:rsidRPr="00164D44">
        <w:t xml:space="preserve">free rate of return. </w:t>
      </w:r>
    </w:p>
    <w:p w14:paraId="5797A2DE" w14:textId="292B5513" w:rsidR="00F967B8" w:rsidRDefault="00F967B8" w:rsidP="00041CB3">
      <w:pPr>
        <w:pStyle w:val="AHPRANumberedsubheadinglevel2"/>
      </w:pPr>
      <w:r w:rsidRPr="00164D44">
        <w:t>Risks to achiev</w:t>
      </w:r>
      <w:r w:rsidR="007B1884">
        <w:t xml:space="preserve">ing </w:t>
      </w:r>
      <w:r w:rsidRPr="00164D44">
        <w:t>the investment objective</w:t>
      </w:r>
      <w:r>
        <w:t>s</w:t>
      </w:r>
      <w:r w:rsidRPr="00164D44">
        <w:t xml:space="preserve"> </w:t>
      </w:r>
      <w:r w:rsidR="00F804A7">
        <w:t>and the respective controls to mitigate losses</w:t>
      </w:r>
      <w:r w:rsidR="005F0DA7">
        <w:t xml:space="preserve"> are as follows</w:t>
      </w:r>
      <w:r w:rsidRPr="00164D44">
        <w:t xml:space="preserve">: </w:t>
      </w:r>
    </w:p>
    <w:tbl>
      <w:tblPr>
        <w:tblStyle w:val="GridTable4-Accent1"/>
        <w:tblW w:w="8902" w:type="dxa"/>
        <w:tblInd w:w="562" w:type="dxa"/>
        <w:tblLayout w:type="fixed"/>
        <w:tblLook w:val="04A0" w:firstRow="1" w:lastRow="0" w:firstColumn="1" w:lastColumn="0" w:noHBand="0" w:noVBand="1"/>
      </w:tblPr>
      <w:tblGrid>
        <w:gridCol w:w="1843"/>
        <w:gridCol w:w="7059"/>
      </w:tblGrid>
      <w:tr w:rsidR="00F31BE0" w:rsidRPr="008528D1" w14:paraId="2DD332A0" w14:textId="77777777" w:rsidTr="00892C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Pr>
          <w:p w14:paraId="3D620CEC" w14:textId="4395E7D2" w:rsidR="00F31BE0" w:rsidRPr="008528D1" w:rsidRDefault="00F31BE0" w:rsidP="008819E5">
            <w:pPr>
              <w:pStyle w:val="AHPRAbody"/>
              <w:spacing w:beforeLines="40" w:before="96" w:after="0"/>
              <w:mirrorIndents/>
              <w:rPr>
                <w:b w:val="0"/>
                <w:sz w:val="18"/>
                <w:szCs w:val="18"/>
              </w:rPr>
            </w:pPr>
            <w:r w:rsidRPr="008528D1">
              <w:rPr>
                <w:b w:val="0"/>
                <w:sz w:val="18"/>
                <w:szCs w:val="18"/>
              </w:rPr>
              <w:t>Risk</w:t>
            </w:r>
          </w:p>
        </w:tc>
        <w:tc>
          <w:tcPr>
            <w:tcW w:w="7059" w:type="dxa"/>
          </w:tcPr>
          <w:p w14:paraId="75969B5D" w14:textId="12C69363" w:rsidR="00F31BE0" w:rsidRPr="008528D1" w:rsidRDefault="00293F9C" w:rsidP="008819E5">
            <w:pPr>
              <w:pStyle w:val="AHPRAbody"/>
              <w:spacing w:beforeLines="40" w:before="96" w:after="0"/>
              <w:mirrorIndents/>
              <w:cnfStyle w:val="100000000000" w:firstRow="1" w:lastRow="0" w:firstColumn="0" w:lastColumn="0" w:oddVBand="0" w:evenVBand="0" w:oddHBand="0" w:evenHBand="0" w:firstRowFirstColumn="0" w:firstRowLastColumn="0" w:lastRowFirstColumn="0" w:lastRowLastColumn="0"/>
              <w:rPr>
                <w:sz w:val="18"/>
                <w:szCs w:val="18"/>
              </w:rPr>
            </w:pPr>
            <w:r w:rsidRPr="008528D1">
              <w:rPr>
                <w:sz w:val="18"/>
                <w:szCs w:val="18"/>
              </w:rPr>
              <w:t>Control</w:t>
            </w:r>
          </w:p>
        </w:tc>
      </w:tr>
      <w:tr w:rsidR="00213034" w:rsidRPr="008528D1" w14:paraId="009BDC5C" w14:textId="77777777" w:rsidTr="00892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F500526" w14:textId="77777777" w:rsidR="00F967B8" w:rsidRPr="008528D1" w:rsidRDefault="00F967B8" w:rsidP="008819E5">
            <w:pPr>
              <w:pStyle w:val="AHPRAbody"/>
              <w:spacing w:beforeLines="40" w:before="96" w:after="0"/>
              <w:mirrorIndents/>
              <w:rPr>
                <w:b w:val="0"/>
                <w:sz w:val="18"/>
                <w:szCs w:val="18"/>
              </w:rPr>
            </w:pPr>
            <w:r w:rsidRPr="008528D1">
              <w:rPr>
                <w:sz w:val="18"/>
                <w:szCs w:val="18"/>
              </w:rPr>
              <w:t>Liquidity risk</w:t>
            </w:r>
          </w:p>
        </w:tc>
        <w:tc>
          <w:tcPr>
            <w:tcW w:w="7059" w:type="dxa"/>
          </w:tcPr>
          <w:p w14:paraId="6BE26F39" w14:textId="4E878A56" w:rsidR="009A6229" w:rsidRPr="008528D1" w:rsidRDefault="00F967B8" w:rsidP="008819E5">
            <w:pPr>
              <w:pStyle w:val="AHPRAbody"/>
              <w:spacing w:beforeLines="40" w:before="96" w:after="0"/>
              <w:mirrorIndents/>
              <w:cnfStyle w:val="000000100000" w:firstRow="0" w:lastRow="0" w:firstColumn="0" w:lastColumn="0" w:oddVBand="0" w:evenVBand="0" w:oddHBand="1" w:evenHBand="0" w:firstRowFirstColumn="0" w:firstRowLastColumn="0" w:lastRowFirstColumn="0" w:lastRowLastColumn="0"/>
              <w:rPr>
                <w:sz w:val="18"/>
                <w:szCs w:val="18"/>
              </w:rPr>
            </w:pPr>
            <w:r w:rsidRPr="008528D1">
              <w:rPr>
                <w:sz w:val="18"/>
                <w:szCs w:val="18"/>
              </w:rPr>
              <w:t xml:space="preserve">Liquidity risk is the risk that Ahpra cannot satisfy its day to day cash flow commitments when they fall due. The risk is managed by undertaking detailed cashflow forecasting and investing a </w:t>
            </w:r>
            <w:r w:rsidR="007466C2" w:rsidRPr="008528D1">
              <w:rPr>
                <w:sz w:val="18"/>
                <w:szCs w:val="18"/>
              </w:rPr>
              <w:t xml:space="preserve">high </w:t>
            </w:r>
            <w:r w:rsidRPr="008528D1">
              <w:rPr>
                <w:sz w:val="18"/>
                <w:szCs w:val="18"/>
              </w:rPr>
              <w:t xml:space="preserve">proportion of funds in highly liquid asset classes. </w:t>
            </w:r>
          </w:p>
        </w:tc>
      </w:tr>
      <w:tr w:rsidR="00213034" w:rsidRPr="008528D1" w14:paraId="37D1AAB4" w14:textId="77777777" w:rsidTr="00892C7E">
        <w:tc>
          <w:tcPr>
            <w:cnfStyle w:val="001000000000" w:firstRow="0" w:lastRow="0" w:firstColumn="1" w:lastColumn="0" w:oddVBand="0" w:evenVBand="0" w:oddHBand="0" w:evenHBand="0" w:firstRowFirstColumn="0" w:firstRowLastColumn="0" w:lastRowFirstColumn="0" w:lastRowLastColumn="0"/>
            <w:tcW w:w="1843" w:type="dxa"/>
          </w:tcPr>
          <w:p w14:paraId="55499041" w14:textId="77777777" w:rsidR="00F967B8" w:rsidRPr="008528D1" w:rsidRDefault="00F967B8" w:rsidP="008819E5">
            <w:pPr>
              <w:pStyle w:val="AHPRAbody"/>
              <w:spacing w:beforeLines="40" w:before="96" w:after="0"/>
              <w:mirrorIndents/>
              <w:rPr>
                <w:b w:val="0"/>
                <w:sz w:val="18"/>
                <w:szCs w:val="18"/>
              </w:rPr>
            </w:pPr>
            <w:r w:rsidRPr="008528D1">
              <w:rPr>
                <w:sz w:val="18"/>
                <w:szCs w:val="18"/>
              </w:rPr>
              <w:t>Inflation risk</w:t>
            </w:r>
          </w:p>
        </w:tc>
        <w:tc>
          <w:tcPr>
            <w:tcW w:w="7059" w:type="dxa"/>
          </w:tcPr>
          <w:p w14:paraId="022FEEE0" w14:textId="77777777" w:rsidR="00F967B8" w:rsidRPr="008528D1" w:rsidRDefault="00F967B8" w:rsidP="008819E5">
            <w:pPr>
              <w:pStyle w:val="AHPRAbody"/>
              <w:spacing w:beforeLines="40" w:before="96" w:after="0"/>
              <w:mirrorIndents/>
              <w:cnfStyle w:val="000000000000" w:firstRow="0" w:lastRow="0" w:firstColumn="0" w:lastColumn="0" w:oddVBand="0" w:evenVBand="0" w:oddHBand="0" w:evenHBand="0" w:firstRowFirstColumn="0" w:firstRowLastColumn="0" w:lastRowFirstColumn="0" w:lastRowLastColumn="0"/>
              <w:rPr>
                <w:sz w:val="18"/>
                <w:szCs w:val="18"/>
              </w:rPr>
            </w:pPr>
            <w:r w:rsidRPr="008528D1">
              <w:rPr>
                <w:sz w:val="18"/>
                <w:szCs w:val="18"/>
              </w:rPr>
              <w:t>Inflation risk is the risk that investment performance fails to match long</w:t>
            </w:r>
            <w:r w:rsidRPr="008528D1">
              <w:rPr>
                <w:sz w:val="18"/>
                <w:szCs w:val="18"/>
              </w:rPr>
              <w:noBreakHyphen/>
              <w:t>term inflation. This risk is managed by maintaining a strategic allocation toward long</w:t>
            </w:r>
            <w:r w:rsidRPr="008528D1">
              <w:rPr>
                <w:sz w:val="18"/>
                <w:szCs w:val="18"/>
              </w:rPr>
              <w:noBreakHyphen/>
              <w:t>term growth assets.</w:t>
            </w:r>
            <w:r w:rsidRPr="008528D1">
              <w:rPr>
                <w:b/>
                <w:sz w:val="18"/>
                <w:szCs w:val="18"/>
              </w:rPr>
              <w:t xml:space="preserve"> </w:t>
            </w:r>
          </w:p>
        </w:tc>
      </w:tr>
      <w:tr w:rsidR="00213034" w:rsidRPr="008528D1" w14:paraId="0BDAB5B9" w14:textId="77777777" w:rsidTr="00892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418DE22" w14:textId="77777777" w:rsidR="00F967B8" w:rsidRPr="008528D1" w:rsidRDefault="00F967B8" w:rsidP="008819E5">
            <w:pPr>
              <w:pStyle w:val="AHPRAbody"/>
              <w:spacing w:beforeLines="40" w:before="96" w:after="0"/>
              <w:mirrorIndents/>
              <w:rPr>
                <w:b w:val="0"/>
                <w:sz w:val="18"/>
                <w:szCs w:val="18"/>
              </w:rPr>
            </w:pPr>
            <w:r w:rsidRPr="008528D1">
              <w:rPr>
                <w:sz w:val="18"/>
                <w:szCs w:val="18"/>
              </w:rPr>
              <w:lastRenderedPageBreak/>
              <w:t>Interest rate risk</w:t>
            </w:r>
          </w:p>
        </w:tc>
        <w:tc>
          <w:tcPr>
            <w:tcW w:w="7059" w:type="dxa"/>
          </w:tcPr>
          <w:p w14:paraId="490E7BEF" w14:textId="01BDBC78" w:rsidR="00F967B8" w:rsidRPr="008528D1" w:rsidRDefault="00F967B8" w:rsidP="008819E5">
            <w:pPr>
              <w:pStyle w:val="AHPRAbody"/>
              <w:spacing w:beforeLines="40" w:before="96" w:after="0"/>
              <w:mirrorIndents/>
              <w:cnfStyle w:val="000000100000" w:firstRow="0" w:lastRow="0" w:firstColumn="0" w:lastColumn="0" w:oddVBand="0" w:evenVBand="0" w:oddHBand="1" w:evenHBand="0" w:firstRowFirstColumn="0" w:firstRowLastColumn="0" w:lastRowFirstColumn="0" w:lastRowLastColumn="0"/>
              <w:rPr>
                <w:sz w:val="18"/>
                <w:szCs w:val="18"/>
              </w:rPr>
            </w:pPr>
            <w:r w:rsidRPr="008528D1">
              <w:rPr>
                <w:sz w:val="18"/>
                <w:szCs w:val="18"/>
              </w:rPr>
              <w:t>Interest rate risk is the risk</w:t>
            </w:r>
            <w:r w:rsidR="00D3559B">
              <w:rPr>
                <w:sz w:val="18"/>
                <w:szCs w:val="18"/>
              </w:rPr>
              <w:t xml:space="preserve"> of investment losses</w:t>
            </w:r>
            <w:r w:rsidRPr="008528D1">
              <w:rPr>
                <w:sz w:val="18"/>
                <w:szCs w:val="18"/>
              </w:rPr>
              <w:t xml:space="preserve"> </w:t>
            </w:r>
            <w:r w:rsidR="00D3559B">
              <w:rPr>
                <w:sz w:val="18"/>
                <w:szCs w:val="18"/>
              </w:rPr>
              <w:t>due to</w:t>
            </w:r>
            <w:r w:rsidR="001C069E">
              <w:rPr>
                <w:sz w:val="18"/>
                <w:szCs w:val="18"/>
              </w:rPr>
              <w:t xml:space="preserve"> change in </w:t>
            </w:r>
            <w:r w:rsidR="0097394F" w:rsidRPr="0097394F">
              <w:rPr>
                <w:sz w:val="18"/>
                <w:szCs w:val="18"/>
              </w:rPr>
              <w:t>interest rates</w:t>
            </w:r>
            <w:r w:rsidR="00D3559B">
              <w:rPr>
                <w:sz w:val="18"/>
                <w:szCs w:val="18"/>
              </w:rPr>
              <w:t>. An increase</w:t>
            </w:r>
            <w:r w:rsidR="0097394F" w:rsidRPr="0097394F">
              <w:rPr>
                <w:sz w:val="18"/>
                <w:szCs w:val="18"/>
              </w:rPr>
              <w:t xml:space="preserve"> will reduce the value of a bond or other fixed-rate investment</w:t>
            </w:r>
            <w:r w:rsidRPr="008528D1">
              <w:rPr>
                <w:sz w:val="18"/>
                <w:szCs w:val="18"/>
              </w:rPr>
              <w:t xml:space="preserve">. This risk is managed by </w:t>
            </w:r>
            <w:r w:rsidR="009D08A2">
              <w:rPr>
                <w:sz w:val="18"/>
                <w:szCs w:val="18"/>
              </w:rPr>
              <w:t>diversi</w:t>
            </w:r>
            <w:r w:rsidR="007A3FC0">
              <w:rPr>
                <w:sz w:val="18"/>
                <w:szCs w:val="18"/>
              </w:rPr>
              <w:t xml:space="preserve">fication of term deposit maturity and </w:t>
            </w:r>
            <w:r w:rsidRPr="008528D1">
              <w:rPr>
                <w:sz w:val="18"/>
                <w:szCs w:val="18"/>
              </w:rPr>
              <w:t>maintaining allocation in long</w:t>
            </w:r>
            <w:r w:rsidRPr="008528D1">
              <w:rPr>
                <w:sz w:val="18"/>
                <w:szCs w:val="18"/>
              </w:rPr>
              <w:noBreakHyphen/>
              <w:t xml:space="preserve">term growth assets (e.g. VFMC Capital Stable fund). </w:t>
            </w:r>
          </w:p>
        </w:tc>
      </w:tr>
      <w:tr w:rsidR="00213034" w:rsidRPr="008528D1" w14:paraId="56AEF009" w14:textId="77777777" w:rsidTr="00892C7E">
        <w:trPr>
          <w:trHeight w:val="5188"/>
        </w:trPr>
        <w:tc>
          <w:tcPr>
            <w:cnfStyle w:val="001000000000" w:firstRow="0" w:lastRow="0" w:firstColumn="1" w:lastColumn="0" w:oddVBand="0" w:evenVBand="0" w:oddHBand="0" w:evenHBand="0" w:firstRowFirstColumn="0" w:firstRowLastColumn="0" w:lastRowFirstColumn="0" w:lastRowLastColumn="0"/>
            <w:tcW w:w="1843" w:type="dxa"/>
          </w:tcPr>
          <w:p w14:paraId="06BA7A58" w14:textId="77777777" w:rsidR="00F967B8" w:rsidRPr="008528D1" w:rsidRDefault="00F967B8" w:rsidP="008819E5">
            <w:pPr>
              <w:pStyle w:val="AHPRAbody"/>
              <w:spacing w:beforeLines="40" w:before="96" w:after="0"/>
              <w:mirrorIndents/>
              <w:rPr>
                <w:b w:val="0"/>
                <w:sz w:val="18"/>
                <w:szCs w:val="18"/>
              </w:rPr>
            </w:pPr>
            <w:r w:rsidRPr="008528D1">
              <w:rPr>
                <w:sz w:val="18"/>
                <w:szCs w:val="18"/>
              </w:rPr>
              <w:t>Market risk</w:t>
            </w:r>
          </w:p>
        </w:tc>
        <w:tc>
          <w:tcPr>
            <w:tcW w:w="7059" w:type="dxa"/>
          </w:tcPr>
          <w:p w14:paraId="3AF43213" w14:textId="77777777" w:rsidR="00F967B8" w:rsidRPr="008528D1" w:rsidRDefault="00F967B8" w:rsidP="008819E5">
            <w:pPr>
              <w:pStyle w:val="AHPRAbody"/>
              <w:spacing w:beforeLines="40" w:before="96" w:after="0"/>
              <w:mirrorIndents/>
              <w:cnfStyle w:val="000000000000" w:firstRow="0" w:lastRow="0" w:firstColumn="0" w:lastColumn="0" w:oddVBand="0" w:evenVBand="0" w:oddHBand="0" w:evenHBand="0" w:firstRowFirstColumn="0" w:firstRowLastColumn="0" w:lastRowFirstColumn="0" w:lastRowLastColumn="0"/>
              <w:rPr>
                <w:sz w:val="18"/>
                <w:szCs w:val="18"/>
              </w:rPr>
            </w:pPr>
            <w:r w:rsidRPr="008528D1">
              <w:rPr>
                <w:sz w:val="18"/>
                <w:szCs w:val="18"/>
              </w:rPr>
              <w:t>Market risk is the financial risk associated with macro-economic factors impacting upon portfolio performance. The fund management agency is responsible for managing market risk on behalf of Ahpra through investing in a balanced portfolio of financial assets.</w:t>
            </w:r>
          </w:p>
          <w:p w14:paraId="4531CDE8" w14:textId="77777777" w:rsidR="00F967B8" w:rsidRPr="008528D1" w:rsidRDefault="00F967B8" w:rsidP="008819E5">
            <w:pPr>
              <w:pStyle w:val="AHPRAbody"/>
              <w:spacing w:beforeLines="40" w:before="96" w:after="0"/>
              <w:mirrorIndents/>
              <w:cnfStyle w:val="000000000000" w:firstRow="0" w:lastRow="0" w:firstColumn="0" w:lastColumn="0" w:oddVBand="0" w:evenVBand="0" w:oddHBand="0" w:evenHBand="0" w:firstRowFirstColumn="0" w:firstRowLastColumn="0" w:lastRowFirstColumn="0" w:lastRowLastColumn="0"/>
              <w:rPr>
                <w:sz w:val="18"/>
                <w:szCs w:val="18"/>
              </w:rPr>
            </w:pPr>
            <w:r w:rsidRPr="008528D1">
              <w:rPr>
                <w:sz w:val="18"/>
                <w:szCs w:val="18"/>
              </w:rPr>
              <w:t>Ahpra will cap its exposure to investments where the reported investment principal value at 30 June each year could change through required financial market revaluations</w:t>
            </w:r>
            <w:r w:rsidRPr="008528D1">
              <w:rPr>
                <w:rStyle w:val="FootnoteReference"/>
                <w:szCs w:val="18"/>
              </w:rPr>
              <w:footnoteReference w:id="2"/>
            </w:r>
            <w:r w:rsidRPr="008528D1">
              <w:rPr>
                <w:sz w:val="18"/>
                <w:szCs w:val="18"/>
              </w:rPr>
              <w:t xml:space="preserve"> to ensure the Scheme’s minimum equity holdings are preserved. </w:t>
            </w:r>
          </w:p>
          <w:p w14:paraId="702EF329" w14:textId="4CA26DFE" w:rsidR="0056728D" w:rsidRPr="008528D1" w:rsidRDefault="00DA40BD" w:rsidP="008819E5">
            <w:pPr>
              <w:pStyle w:val="AHPRAbody"/>
              <w:spacing w:beforeLines="40" w:before="96" w:after="0"/>
              <w:mirrorIndents/>
              <w:cnfStyle w:val="000000000000" w:firstRow="0" w:lastRow="0" w:firstColumn="0" w:lastColumn="0" w:oddVBand="0" w:evenVBand="0" w:oddHBand="0" w:evenHBand="0" w:firstRowFirstColumn="0" w:firstRowLastColumn="0" w:lastRowFirstColumn="0" w:lastRowLastColumn="0"/>
              <w:rPr>
                <w:sz w:val="18"/>
                <w:szCs w:val="18"/>
              </w:rPr>
            </w:pPr>
            <w:r w:rsidRPr="00924DCE">
              <w:rPr>
                <w:noProof/>
                <w:sz w:val="18"/>
                <w:szCs w:val="18"/>
              </w:rPr>
              <mc:AlternateContent>
                <mc:Choice Requires="wps">
                  <w:drawing>
                    <wp:anchor distT="45720" distB="45720" distL="114300" distR="114300" simplePos="0" relativeHeight="251658241" behindDoc="0" locked="0" layoutInCell="1" allowOverlap="1" wp14:anchorId="59EC24A2" wp14:editId="16D04612">
                      <wp:simplePos x="0" y="0"/>
                      <wp:positionH relativeFrom="column">
                        <wp:posOffset>9616</wp:posOffset>
                      </wp:positionH>
                      <wp:positionV relativeFrom="paragraph">
                        <wp:posOffset>534217</wp:posOffset>
                      </wp:positionV>
                      <wp:extent cx="3733800" cy="16002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600200"/>
                              </a:xfrm>
                              <a:prstGeom prst="rect">
                                <a:avLst/>
                              </a:prstGeom>
                              <a:solidFill>
                                <a:schemeClr val="bg1">
                                  <a:lumMod val="85000"/>
                                </a:schemeClr>
                              </a:solidFill>
                              <a:ln w="9525">
                                <a:solidFill>
                                  <a:srgbClr val="000000"/>
                                </a:solidFill>
                                <a:miter lim="800000"/>
                                <a:headEnd/>
                                <a:tailEnd/>
                              </a:ln>
                            </wps:spPr>
                            <wps:txbx>
                              <w:txbxContent>
                                <w:p w14:paraId="46163AE4" w14:textId="40D1B61A" w:rsidR="00DA7B7E" w:rsidRPr="00F4335B" w:rsidRDefault="00DA7B7E" w:rsidP="00924DCE">
                                  <w:pPr>
                                    <w:pStyle w:val="AHPRAbody"/>
                                    <w:spacing w:after="0"/>
                                    <w:mirrorIndents/>
                                    <w:rPr>
                                      <w:sz w:val="18"/>
                                      <w:szCs w:val="18"/>
                                      <w:u w:val="single"/>
                                    </w:rPr>
                                  </w:pPr>
                                  <w:r w:rsidRPr="00F4335B">
                                    <w:rPr>
                                      <w:b/>
                                      <w:bCs/>
                                      <w:sz w:val="18"/>
                                      <w:szCs w:val="18"/>
                                    </w:rPr>
                                    <w:t>Formula</w:t>
                                  </w:r>
                                  <w:r w:rsidR="00165C9B" w:rsidRPr="00F4335B">
                                    <w:rPr>
                                      <w:b/>
                                      <w:bCs/>
                                      <w:sz w:val="18"/>
                                      <w:szCs w:val="18"/>
                                    </w:rPr>
                                    <w:t xml:space="preserve">: </w:t>
                                  </w:r>
                                  <w:r w:rsidRPr="00F4335B">
                                    <w:rPr>
                                      <w:sz w:val="18"/>
                                      <w:szCs w:val="18"/>
                                    </w:rPr>
                                    <w:t xml:space="preserve"> </w:t>
                                  </w:r>
                                  <w:r w:rsidRPr="00F4335B">
                                    <w:rPr>
                                      <w:sz w:val="18"/>
                                      <w:szCs w:val="18"/>
                                      <w:u w:val="single"/>
                                    </w:rPr>
                                    <w:t xml:space="preserve">Scheme </w:t>
                                  </w:r>
                                  <w:r w:rsidR="00E90711">
                                    <w:rPr>
                                      <w:sz w:val="18"/>
                                      <w:szCs w:val="18"/>
                                      <w:u w:val="single"/>
                                    </w:rPr>
                                    <w:t>e</w:t>
                                  </w:r>
                                  <w:r w:rsidRPr="00F4335B">
                                    <w:rPr>
                                      <w:sz w:val="18"/>
                                      <w:szCs w:val="18"/>
                                      <w:u w:val="single"/>
                                    </w:rPr>
                                    <w:t xml:space="preserve">quity - Target </w:t>
                                  </w:r>
                                  <w:r w:rsidR="00E90711">
                                    <w:rPr>
                                      <w:sz w:val="18"/>
                                      <w:szCs w:val="18"/>
                                      <w:u w:val="single"/>
                                    </w:rPr>
                                    <w:t>e</w:t>
                                  </w:r>
                                  <w:r w:rsidRPr="00F4335B">
                                    <w:rPr>
                                      <w:sz w:val="18"/>
                                      <w:szCs w:val="18"/>
                                      <w:u w:val="single"/>
                                    </w:rPr>
                                    <w:t>quity)/2)</w:t>
                                  </w:r>
                                </w:p>
                                <w:p w14:paraId="6EDA6033" w14:textId="585EBC8C" w:rsidR="00DA7B7E" w:rsidRPr="00F4335B" w:rsidRDefault="00DA7B7E" w:rsidP="005634AE">
                                  <w:pPr>
                                    <w:pStyle w:val="AHPRABulletlevel1"/>
                                    <w:numPr>
                                      <w:ilvl w:val="0"/>
                                      <w:numId w:val="0"/>
                                    </w:numPr>
                                    <w:rPr>
                                      <w:i/>
                                      <w:color w:val="244061" w:themeColor="accent1" w:themeShade="80"/>
                                      <w:sz w:val="18"/>
                                      <w:szCs w:val="18"/>
                                    </w:rPr>
                                  </w:pPr>
                                  <w:r w:rsidRPr="00F4335B">
                                    <w:rPr>
                                      <w:sz w:val="18"/>
                                      <w:szCs w:val="18"/>
                                    </w:rPr>
                                    <w:t>Maximum investment = Average loss of fund in negative return years (%)</w:t>
                                  </w:r>
                                </w:p>
                                <w:p w14:paraId="7AB71B7F" w14:textId="77777777" w:rsidR="00DA7B7E" w:rsidRPr="00F4335B" w:rsidRDefault="00DA7B7E" w:rsidP="005634AE">
                                  <w:pPr>
                                    <w:pStyle w:val="AHPRABulletlevel1"/>
                                    <w:numPr>
                                      <w:ilvl w:val="0"/>
                                      <w:numId w:val="0"/>
                                    </w:numPr>
                                    <w:rPr>
                                      <w:sz w:val="18"/>
                                      <w:szCs w:val="18"/>
                                    </w:rPr>
                                  </w:pPr>
                                </w:p>
                                <w:p w14:paraId="588EBE52" w14:textId="381B4F33" w:rsidR="00F967B8" w:rsidRPr="00F4335B" w:rsidRDefault="00F967B8" w:rsidP="005634AE">
                                  <w:pPr>
                                    <w:pStyle w:val="AHPRABulletlevel1"/>
                                    <w:numPr>
                                      <w:ilvl w:val="0"/>
                                      <w:numId w:val="0"/>
                                    </w:numPr>
                                    <w:rPr>
                                      <w:sz w:val="18"/>
                                      <w:szCs w:val="18"/>
                                    </w:rPr>
                                  </w:pPr>
                                  <w:r w:rsidRPr="00F4335B">
                                    <w:rPr>
                                      <w:sz w:val="18"/>
                                      <w:szCs w:val="18"/>
                                    </w:rPr>
                                    <w:t>Example</w:t>
                                  </w:r>
                                </w:p>
                                <w:p w14:paraId="772842F3" w14:textId="0ABA289A" w:rsidR="00F967B8" w:rsidRPr="00F4335B" w:rsidRDefault="00F967B8" w:rsidP="00F87F7D">
                                  <w:pPr>
                                    <w:pStyle w:val="AHPRABulletlevel1"/>
                                    <w:numPr>
                                      <w:ilvl w:val="0"/>
                                      <w:numId w:val="2"/>
                                    </w:numPr>
                                    <w:ind w:left="369" w:hanging="369"/>
                                    <w:rPr>
                                      <w:sz w:val="18"/>
                                      <w:szCs w:val="18"/>
                                    </w:rPr>
                                  </w:pPr>
                                  <w:r w:rsidRPr="00F4335B">
                                    <w:rPr>
                                      <w:sz w:val="18"/>
                                      <w:szCs w:val="18"/>
                                    </w:rPr>
                                    <w:t>Scheme equity for all Boards total is $</w:t>
                                  </w:r>
                                  <w:r w:rsidR="00656F63" w:rsidRPr="00F4335B">
                                    <w:rPr>
                                      <w:sz w:val="18"/>
                                      <w:szCs w:val="18"/>
                                    </w:rPr>
                                    <w:t>7</w:t>
                                  </w:r>
                                  <w:r w:rsidRPr="00F4335B">
                                    <w:rPr>
                                      <w:sz w:val="18"/>
                                      <w:szCs w:val="18"/>
                                    </w:rPr>
                                    <w:t>5m</w:t>
                                  </w:r>
                                </w:p>
                                <w:p w14:paraId="5E9D6B72" w14:textId="77777777" w:rsidR="00F967B8" w:rsidRPr="00F4335B" w:rsidRDefault="00F967B8" w:rsidP="00F87F7D">
                                  <w:pPr>
                                    <w:pStyle w:val="AHPRABulletlevel1"/>
                                    <w:numPr>
                                      <w:ilvl w:val="0"/>
                                      <w:numId w:val="2"/>
                                    </w:numPr>
                                    <w:ind w:left="369" w:hanging="369"/>
                                    <w:rPr>
                                      <w:sz w:val="18"/>
                                      <w:szCs w:val="18"/>
                                    </w:rPr>
                                  </w:pPr>
                                  <w:r w:rsidRPr="00F4335B">
                                    <w:rPr>
                                      <w:sz w:val="18"/>
                                      <w:szCs w:val="18"/>
                                    </w:rPr>
                                    <w:t>Target equity for all Boards totals $55m</w:t>
                                  </w:r>
                                </w:p>
                                <w:p w14:paraId="582FE854" w14:textId="77777777" w:rsidR="00F967B8" w:rsidRPr="00F4335B" w:rsidRDefault="00F967B8" w:rsidP="00F87F7D">
                                  <w:pPr>
                                    <w:pStyle w:val="AHPRABulletlevel1"/>
                                    <w:numPr>
                                      <w:ilvl w:val="0"/>
                                      <w:numId w:val="2"/>
                                    </w:numPr>
                                    <w:spacing w:after="180"/>
                                    <w:ind w:left="369" w:hanging="369"/>
                                    <w:rPr>
                                      <w:sz w:val="18"/>
                                      <w:szCs w:val="18"/>
                                    </w:rPr>
                                  </w:pPr>
                                  <w:r w:rsidRPr="00F4335B">
                                    <w:rPr>
                                      <w:sz w:val="18"/>
                                      <w:szCs w:val="18"/>
                                    </w:rPr>
                                    <w:t>Funds average annual loss in negative return years is 5%</w:t>
                                  </w:r>
                                </w:p>
                                <w:p w14:paraId="6DDA6CDB" w14:textId="22B463F4" w:rsidR="00F967B8" w:rsidRPr="00F4335B" w:rsidRDefault="00F967B8" w:rsidP="005634AE">
                                  <w:pPr>
                                    <w:pStyle w:val="AHPRABulletlevel1"/>
                                    <w:numPr>
                                      <w:ilvl w:val="0"/>
                                      <w:numId w:val="0"/>
                                    </w:numPr>
                                    <w:rPr>
                                      <w:sz w:val="18"/>
                                      <w:szCs w:val="18"/>
                                    </w:rPr>
                                  </w:pPr>
                                  <w:r w:rsidRPr="00F4335B">
                                    <w:rPr>
                                      <w:sz w:val="18"/>
                                      <w:szCs w:val="18"/>
                                    </w:rPr>
                                    <w:t>(($</w:t>
                                  </w:r>
                                  <w:r w:rsidR="00656F63" w:rsidRPr="00F4335B">
                                    <w:rPr>
                                      <w:sz w:val="18"/>
                                      <w:szCs w:val="18"/>
                                    </w:rPr>
                                    <w:t>7</w:t>
                                  </w:r>
                                  <w:r w:rsidRPr="00F4335B">
                                    <w:rPr>
                                      <w:sz w:val="18"/>
                                      <w:szCs w:val="18"/>
                                    </w:rPr>
                                    <w:t>5m-$55m)/2)</w:t>
                                  </w:r>
                                </w:p>
                                <w:p w14:paraId="5E9C9D2C" w14:textId="5DDB7FB9" w:rsidR="00F967B8" w:rsidRPr="00F4335B" w:rsidRDefault="00F967B8" w:rsidP="00F4335B">
                                  <w:pPr>
                                    <w:pStyle w:val="AHPRABulletlevel1"/>
                                    <w:numPr>
                                      <w:ilvl w:val="0"/>
                                      <w:numId w:val="0"/>
                                    </w:numPr>
                                    <w:rPr>
                                      <w:sz w:val="18"/>
                                      <w:szCs w:val="18"/>
                                    </w:rPr>
                                  </w:pPr>
                                  <w:r w:rsidRPr="00F4335B">
                                    <w:rPr>
                                      <w:sz w:val="18"/>
                                      <w:szCs w:val="18"/>
                                    </w:rPr>
                                    <w:t>0.05</w:t>
                                  </w:r>
                                  <w:r w:rsidRPr="00F4335B">
                                    <w:rPr>
                                      <w:sz w:val="18"/>
                                      <w:szCs w:val="18"/>
                                    </w:rPr>
                                    <w:tab/>
                                    <w:t>= Maximum investment principal of $</w:t>
                                  </w:r>
                                  <w:r w:rsidR="00160744" w:rsidRPr="00F4335B">
                                    <w:rPr>
                                      <w:sz w:val="18"/>
                                      <w:szCs w:val="18"/>
                                    </w:rPr>
                                    <w:t>2</w:t>
                                  </w:r>
                                  <w:r w:rsidRPr="00F4335B">
                                    <w:rPr>
                                      <w:sz w:val="18"/>
                                      <w:szCs w:val="18"/>
                                    </w:rPr>
                                    <w:t>00m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C24A2" id="_x0000_t202" coordsize="21600,21600" o:spt="202" path="m,l,21600r21600,l21600,xe">
                      <v:stroke joinstyle="miter"/>
                      <v:path gradientshapeok="t" o:connecttype="rect"/>
                    </v:shapetype>
                    <v:shape id="Text Box 2" o:spid="_x0000_s1026" type="#_x0000_t202" style="position:absolute;margin-left:.75pt;margin-top:42.05pt;width:294pt;height:12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" fillcolor="#d8d8d8 [2732]">
                      <v:textbox>
                        <w:txbxContent>
                          <w:p w14:paraId="46163AE4" w14:textId="40D1B61A" w:rsidR="00DA7B7E" w:rsidRPr="00F4335B" w:rsidRDefault="00DA7B7E" w:rsidP="00924DCE">
                            <w:pPr>
                              <w:pStyle w:val="AHPRAbody"/>
                              <w:spacing w:after="0"/>
                              <w:mirrorIndents/>
                              <w:rPr>
                                <w:sz w:val="18"/>
                                <w:szCs w:val="18"/>
                                <w:u w:val="single"/>
                              </w:rPr>
                            </w:pPr>
                            <w:r w:rsidRPr="00F4335B">
                              <w:rPr>
                                <w:b/>
                                <w:bCs/>
                                <w:sz w:val="18"/>
                                <w:szCs w:val="18"/>
                              </w:rPr>
                              <w:t>Formula</w:t>
                            </w:r>
                            <w:r w:rsidR="00165C9B" w:rsidRPr="00F4335B">
                              <w:rPr>
                                <w:b/>
                                <w:bCs/>
                                <w:sz w:val="18"/>
                                <w:szCs w:val="18"/>
                              </w:rPr>
                              <w:t xml:space="preserve">: </w:t>
                            </w:r>
                            <w:r w:rsidRPr="00F4335B">
                              <w:rPr>
                                <w:sz w:val="18"/>
                                <w:szCs w:val="18"/>
                              </w:rPr>
                              <w:t xml:space="preserve"> </w:t>
                            </w:r>
                            <w:r w:rsidRPr="00F4335B">
                              <w:rPr>
                                <w:sz w:val="18"/>
                                <w:szCs w:val="18"/>
                                <w:u w:val="single"/>
                              </w:rPr>
                              <w:t xml:space="preserve">Scheme </w:t>
                            </w:r>
                            <w:r w:rsidR="00E90711">
                              <w:rPr>
                                <w:sz w:val="18"/>
                                <w:szCs w:val="18"/>
                                <w:u w:val="single"/>
                              </w:rPr>
                              <w:t>e</w:t>
                            </w:r>
                            <w:r w:rsidRPr="00F4335B">
                              <w:rPr>
                                <w:sz w:val="18"/>
                                <w:szCs w:val="18"/>
                                <w:u w:val="single"/>
                              </w:rPr>
                              <w:t xml:space="preserve">quity - Target </w:t>
                            </w:r>
                            <w:r w:rsidR="00E90711">
                              <w:rPr>
                                <w:sz w:val="18"/>
                                <w:szCs w:val="18"/>
                                <w:u w:val="single"/>
                              </w:rPr>
                              <w:t>e</w:t>
                            </w:r>
                            <w:r w:rsidRPr="00F4335B">
                              <w:rPr>
                                <w:sz w:val="18"/>
                                <w:szCs w:val="18"/>
                                <w:u w:val="single"/>
                              </w:rPr>
                              <w:t>quity)/2)</w:t>
                            </w:r>
                          </w:p>
                          <w:p w14:paraId="6EDA6033" w14:textId="585EBC8C" w:rsidR="00DA7B7E" w:rsidRPr="00F4335B" w:rsidRDefault="00DA7B7E" w:rsidP="005634AE">
                            <w:pPr>
                              <w:pStyle w:val="AHPRABulletlevel1"/>
                              <w:numPr>
                                <w:ilvl w:val="0"/>
                                <w:numId w:val="0"/>
                              </w:numPr>
                              <w:rPr>
                                <w:i/>
                                <w:color w:val="244061" w:themeColor="accent1" w:themeShade="80"/>
                                <w:sz w:val="18"/>
                                <w:szCs w:val="18"/>
                              </w:rPr>
                            </w:pPr>
                            <w:r w:rsidRPr="00F4335B">
                              <w:rPr>
                                <w:sz w:val="18"/>
                                <w:szCs w:val="18"/>
                              </w:rPr>
                              <w:t>Maximum investment = Average loss of fund in negative return years (%)</w:t>
                            </w:r>
                          </w:p>
                          <w:p w14:paraId="7AB71B7F" w14:textId="77777777" w:rsidR="00DA7B7E" w:rsidRPr="00F4335B" w:rsidRDefault="00DA7B7E" w:rsidP="005634AE">
                            <w:pPr>
                              <w:pStyle w:val="AHPRABulletlevel1"/>
                              <w:numPr>
                                <w:ilvl w:val="0"/>
                                <w:numId w:val="0"/>
                              </w:numPr>
                              <w:rPr>
                                <w:sz w:val="18"/>
                                <w:szCs w:val="18"/>
                              </w:rPr>
                            </w:pPr>
                          </w:p>
                          <w:p w14:paraId="588EBE52" w14:textId="381B4F33" w:rsidR="00F967B8" w:rsidRPr="00F4335B" w:rsidRDefault="00F967B8" w:rsidP="005634AE">
                            <w:pPr>
                              <w:pStyle w:val="AHPRABulletlevel1"/>
                              <w:numPr>
                                <w:ilvl w:val="0"/>
                                <w:numId w:val="0"/>
                              </w:numPr>
                              <w:rPr>
                                <w:sz w:val="18"/>
                                <w:szCs w:val="18"/>
                              </w:rPr>
                            </w:pPr>
                            <w:r w:rsidRPr="00F4335B">
                              <w:rPr>
                                <w:sz w:val="18"/>
                                <w:szCs w:val="18"/>
                              </w:rPr>
                              <w:t>Example</w:t>
                            </w:r>
                          </w:p>
                          <w:p w14:paraId="772842F3" w14:textId="0ABA289A" w:rsidR="00F967B8" w:rsidRPr="00F4335B" w:rsidRDefault="00F967B8" w:rsidP="00F87F7D">
                            <w:pPr>
                              <w:pStyle w:val="AHPRABulletlevel1"/>
                              <w:numPr>
                                <w:ilvl w:val="0"/>
                                <w:numId w:val="2"/>
                              </w:numPr>
                              <w:ind w:left="369" w:hanging="369"/>
                              <w:rPr>
                                <w:sz w:val="18"/>
                                <w:szCs w:val="18"/>
                              </w:rPr>
                            </w:pPr>
                            <w:r w:rsidRPr="00F4335B">
                              <w:rPr>
                                <w:sz w:val="18"/>
                                <w:szCs w:val="18"/>
                              </w:rPr>
                              <w:t>Scheme equity for all Boards total is $</w:t>
                            </w:r>
                            <w:r w:rsidR="00656F63" w:rsidRPr="00F4335B">
                              <w:rPr>
                                <w:sz w:val="18"/>
                                <w:szCs w:val="18"/>
                              </w:rPr>
                              <w:t>7</w:t>
                            </w:r>
                            <w:r w:rsidRPr="00F4335B">
                              <w:rPr>
                                <w:sz w:val="18"/>
                                <w:szCs w:val="18"/>
                              </w:rPr>
                              <w:t>5m</w:t>
                            </w:r>
                          </w:p>
                          <w:p w14:paraId="5E9D6B72" w14:textId="77777777" w:rsidR="00F967B8" w:rsidRPr="00F4335B" w:rsidRDefault="00F967B8" w:rsidP="00F87F7D">
                            <w:pPr>
                              <w:pStyle w:val="AHPRABulletlevel1"/>
                              <w:numPr>
                                <w:ilvl w:val="0"/>
                                <w:numId w:val="2"/>
                              </w:numPr>
                              <w:ind w:left="369" w:hanging="369"/>
                              <w:rPr>
                                <w:sz w:val="18"/>
                                <w:szCs w:val="18"/>
                              </w:rPr>
                            </w:pPr>
                            <w:r w:rsidRPr="00F4335B">
                              <w:rPr>
                                <w:sz w:val="18"/>
                                <w:szCs w:val="18"/>
                              </w:rPr>
                              <w:t>Target equity for all Boards totals $55m</w:t>
                            </w:r>
                          </w:p>
                          <w:p w14:paraId="582FE854" w14:textId="77777777" w:rsidR="00F967B8" w:rsidRPr="00F4335B" w:rsidRDefault="00F967B8" w:rsidP="00F87F7D">
                            <w:pPr>
                              <w:pStyle w:val="AHPRABulletlevel1"/>
                              <w:numPr>
                                <w:ilvl w:val="0"/>
                                <w:numId w:val="2"/>
                              </w:numPr>
                              <w:spacing w:after="180"/>
                              <w:ind w:left="369" w:hanging="369"/>
                              <w:rPr>
                                <w:sz w:val="18"/>
                                <w:szCs w:val="18"/>
                              </w:rPr>
                            </w:pPr>
                            <w:r w:rsidRPr="00F4335B">
                              <w:rPr>
                                <w:sz w:val="18"/>
                                <w:szCs w:val="18"/>
                              </w:rPr>
                              <w:t>Funds average annual loss in negative return years is 5%</w:t>
                            </w:r>
                          </w:p>
                          <w:p w14:paraId="6DDA6CDB" w14:textId="22B463F4" w:rsidR="00F967B8" w:rsidRPr="00F4335B" w:rsidRDefault="00F967B8" w:rsidP="005634AE">
                            <w:pPr>
                              <w:pStyle w:val="AHPRABulletlevel1"/>
                              <w:numPr>
                                <w:ilvl w:val="0"/>
                                <w:numId w:val="0"/>
                              </w:numPr>
                              <w:rPr>
                                <w:sz w:val="18"/>
                                <w:szCs w:val="18"/>
                              </w:rPr>
                            </w:pPr>
                            <w:r w:rsidRPr="00F4335B">
                              <w:rPr>
                                <w:sz w:val="18"/>
                                <w:szCs w:val="18"/>
                              </w:rPr>
                              <w:t>(($</w:t>
                            </w:r>
                            <w:r w:rsidR="00656F63" w:rsidRPr="00F4335B">
                              <w:rPr>
                                <w:sz w:val="18"/>
                                <w:szCs w:val="18"/>
                              </w:rPr>
                              <w:t>7</w:t>
                            </w:r>
                            <w:r w:rsidRPr="00F4335B">
                              <w:rPr>
                                <w:sz w:val="18"/>
                                <w:szCs w:val="18"/>
                              </w:rPr>
                              <w:t>5m-$55m)/2)</w:t>
                            </w:r>
                          </w:p>
                          <w:p w14:paraId="5E9C9D2C" w14:textId="5DDB7FB9" w:rsidR="00F967B8" w:rsidRPr="00F4335B" w:rsidRDefault="00F967B8" w:rsidP="00F4335B">
                            <w:pPr>
                              <w:pStyle w:val="AHPRABulletlevel1"/>
                              <w:numPr>
                                <w:ilvl w:val="0"/>
                                <w:numId w:val="0"/>
                              </w:numPr>
                              <w:rPr>
                                <w:sz w:val="18"/>
                                <w:szCs w:val="18"/>
                              </w:rPr>
                            </w:pPr>
                            <w:r w:rsidRPr="00F4335B">
                              <w:rPr>
                                <w:sz w:val="18"/>
                                <w:szCs w:val="18"/>
                              </w:rPr>
                              <w:t>0.05</w:t>
                            </w:r>
                            <w:r w:rsidRPr="00F4335B">
                              <w:rPr>
                                <w:sz w:val="18"/>
                                <w:szCs w:val="18"/>
                              </w:rPr>
                              <w:tab/>
                              <w:t>= Maximum investment principal of $</w:t>
                            </w:r>
                            <w:r w:rsidR="00160744" w:rsidRPr="00F4335B">
                              <w:rPr>
                                <w:sz w:val="18"/>
                                <w:szCs w:val="18"/>
                              </w:rPr>
                              <w:t>2</w:t>
                            </w:r>
                            <w:r w:rsidRPr="00F4335B">
                              <w:rPr>
                                <w:sz w:val="18"/>
                                <w:szCs w:val="18"/>
                              </w:rPr>
                              <w:t>00m</w:t>
                            </w:r>
                          </w:p>
                        </w:txbxContent>
                      </v:textbox>
                      <w10:wrap type="square"/>
                    </v:shape>
                  </w:pict>
                </mc:Fallback>
              </mc:AlternateContent>
            </w:r>
            <w:r w:rsidR="00F967B8" w:rsidRPr="008528D1">
              <w:rPr>
                <w:sz w:val="18"/>
                <w:szCs w:val="18"/>
              </w:rPr>
              <w:t>The value of the cap on exposure to loss in negative return years will be set each year at not more than 50% of surplus equity holding based on the risk and return characteristics and sensitivity of the financial assets and Fund objectives.</w:t>
            </w:r>
          </w:p>
        </w:tc>
      </w:tr>
      <w:tr w:rsidR="00213034" w:rsidRPr="008528D1" w14:paraId="12453B87" w14:textId="77777777" w:rsidTr="00892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2AD1980" w14:textId="77777777" w:rsidR="00F967B8" w:rsidRPr="008528D1" w:rsidRDefault="00F967B8" w:rsidP="008819E5">
            <w:pPr>
              <w:pStyle w:val="AHPRAbody"/>
              <w:spacing w:beforeLines="40" w:before="96" w:after="0"/>
              <w:mirrorIndents/>
              <w:rPr>
                <w:b w:val="0"/>
                <w:sz w:val="18"/>
                <w:szCs w:val="18"/>
              </w:rPr>
            </w:pPr>
            <w:r w:rsidRPr="008528D1">
              <w:rPr>
                <w:sz w:val="18"/>
                <w:szCs w:val="18"/>
              </w:rPr>
              <w:t>Selection risk</w:t>
            </w:r>
          </w:p>
        </w:tc>
        <w:tc>
          <w:tcPr>
            <w:tcW w:w="7059" w:type="dxa"/>
          </w:tcPr>
          <w:p w14:paraId="55B83816" w14:textId="1CE9BCE9" w:rsidR="00F967B8" w:rsidRPr="008528D1" w:rsidRDefault="00F967B8" w:rsidP="008819E5">
            <w:pPr>
              <w:pStyle w:val="AHPRAbody"/>
              <w:spacing w:beforeLines="40" w:before="96" w:after="0"/>
              <w:mirrorIndents/>
              <w:cnfStyle w:val="000000100000" w:firstRow="0" w:lastRow="0" w:firstColumn="0" w:lastColumn="0" w:oddVBand="0" w:evenVBand="0" w:oddHBand="1" w:evenHBand="0" w:firstRowFirstColumn="0" w:firstRowLastColumn="0" w:lastRowFirstColumn="0" w:lastRowLastColumn="0"/>
              <w:rPr>
                <w:sz w:val="18"/>
                <w:szCs w:val="18"/>
              </w:rPr>
            </w:pPr>
            <w:r w:rsidRPr="008528D1">
              <w:rPr>
                <w:sz w:val="18"/>
                <w:szCs w:val="18"/>
              </w:rPr>
              <w:t xml:space="preserve">Selection risk is the risk associated with poor portfolio performance due to poor asset selection. The fund management agency is charged with managing selection risk on behalf of </w:t>
            </w:r>
            <w:r w:rsidR="008A6B32" w:rsidRPr="008528D1">
              <w:rPr>
                <w:sz w:val="18"/>
                <w:szCs w:val="18"/>
              </w:rPr>
              <w:t>externally managed investment</w:t>
            </w:r>
            <w:r w:rsidR="00DB5614">
              <w:rPr>
                <w:sz w:val="18"/>
                <w:szCs w:val="18"/>
              </w:rPr>
              <w:t>s</w:t>
            </w:r>
            <w:r w:rsidRPr="008528D1">
              <w:rPr>
                <w:sz w:val="18"/>
                <w:szCs w:val="18"/>
              </w:rPr>
              <w:t xml:space="preserve">. </w:t>
            </w:r>
          </w:p>
        </w:tc>
      </w:tr>
      <w:tr w:rsidR="00213034" w:rsidRPr="008528D1" w14:paraId="4C6FB5C1" w14:textId="77777777" w:rsidTr="00892C7E">
        <w:tc>
          <w:tcPr>
            <w:cnfStyle w:val="001000000000" w:firstRow="0" w:lastRow="0" w:firstColumn="1" w:lastColumn="0" w:oddVBand="0" w:evenVBand="0" w:oddHBand="0" w:evenHBand="0" w:firstRowFirstColumn="0" w:firstRowLastColumn="0" w:lastRowFirstColumn="0" w:lastRowLastColumn="0"/>
            <w:tcW w:w="1843" w:type="dxa"/>
          </w:tcPr>
          <w:p w14:paraId="70277C26" w14:textId="77777777" w:rsidR="00F967B8" w:rsidRPr="008528D1" w:rsidRDefault="00F967B8" w:rsidP="008819E5">
            <w:pPr>
              <w:pStyle w:val="AHPRAbody"/>
              <w:spacing w:beforeLines="40" w:before="96" w:after="0"/>
              <w:mirrorIndents/>
              <w:rPr>
                <w:b w:val="0"/>
                <w:sz w:val="18"/>
                <w:szCs w:val="18"/>
              </w:rPr>
            </w:pPr>
            <w:r w:rsidRPr="008528D1">
              <w:rPr>
                <w:sz w:val="18"/>
                <w:szCs w:val="18"/>
              </w:rPr>
              <w:t>Concentration risk</w:t>
            </w:r>
          </w:p>
        </w:tc>
        <w:tc>
          <w:tcPr>
            <w:tcW w:w="7059" w:type="dxa"/>
          </w:tcPr>
          <w:p w14:paraId="35D29EB0" w14:textId="2A739731" w:rsidR="00F967B8" w:rsidRPr="008528D1" w:rsidRDefault="00F967B8" w:rsidP="008819E5">
            <w:pPr>
              <w:pStyle w:val="AHPRAbody"/>
              <w:spacing w:beforeLines="40" w:before="96" w:after="0"/>
              <w:mirrorIndents/>
              <w:cnfStyle w:val="000000000000" w:firstRow="0" w:lastRow="0" w:firstColumn="0" w:lastColumn="0" w:oddVBand="0" w:evenVBand="0" w:oddHBand="0" w:evenHBand="0" w:firstRowFirstColumn="0" w:firstRowLastColumn="0" w:lastRowFirstColumn="0" w:lastRowLastColumn="0"/>
              <w:rPr>
                <w:sz w:val="18"/>
                <w:szCs w:val="18"/>
              </w:rPr>
            </w:pPr>
            <w:r w:rsidRPr="008528D1">
              <w:rPr>
                <w:sz w:val="18"/>
                <w:szCs w:val="18"/>
              </w:rPr>
              <w:t xml:space="preserve">Concentration risk is the risk of inadequate portfolio diversification and disproportionate exposure to a specific financial risk or adverse economic event. Concentration risk is managed by maintaining a diverse investment portfolio, including a balanced growth component allocated between growth and defensive assets. Ahpra manages concentration risk by diversifying the investment portfolio </w:t>
            </w:r>
            <w:r w:rsidR="00D62688" w:rsidRPr="008528D1">
              <w:rPr>
                <w:sz w:val="18"/>
                <w:szCs w:val="18"/>
              </w:rPr>
              <w:t xml:space="preserve">as set out in the asset allocation </w:t>
            </w:r>
            <w:r w:rsidR="001C4C71" w:rsidRPr="008528D1">
              <w:rPr>
                <w:sz w:val="18"/>
                <w:szCs w:val="18"/>
              </w:rPr>
              <w:t>of</w:t>
            </w:r>
            <w:r w:rsidR="00D62688" w:rsidRPr="008528D1">
              <w:rPr>
                <w:sz w:val="18"/>
                <w:szCs w:val="18"/>
              </w:rPr>
              <w:t xml:space="preserve"> this policy</w:t>
            </w:r>
            <w:r w:rsidR="00B06FA7" w:rsidRPr="008528D1">
              <w:rPr>
                <w:sz w:val="18"/>
                <w:szCs w:val="18"/>
              </w:rPr>
              <w:t xml:space="preserve"> </w:t>
            </w:r>
            <w:r w:rsidRPr="008528D1">
              <w:rPr>
                <w:sz w:val="18"/>
                <w:szCs w:val="18"/>
              </w:rPr>
              <w:t xml:space="preserve">and </w:t>
            </w:r>
            <w:r w:rsidR="00B06FA7" w:rsidRPr="008528D1">
              <w:rPr>
                <w:sz w:val="18"/>
                <w:szCs w:val="18"/>
              </w:rPr>
              <w:t xml:space="preserve">investing </w:t>
            </w:r>
            <w:r w:rsidR="004F2B02" w:rsidRPr="008528D1">
              <w:rPr>
                <w:sz w:val="18"/>
                <w:szCs w:val="18"/>
              </w:rPr>
              <w:t xml:space="preserve">in financial products that do not have high concentration risk. </w:t>
            </w:r>
          </w:p>
        </w:tc>
      </w:tr>
      <w:tr w:rsidR="00A67FD8" w:rsidRPr="008528D1" w14:paraId="2E1423FB" w14:textId="77777777" w:rsidTr="00892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E448103" w14:textId="689E38A9" w:rsidR="00A67FD8" w:rsidRPr="008528D1" w:rsidRDefault="00A67FD8" w:rsidP="008819E5">
            <w:pPr>
              <w:pStyle w:val="AHPRAbody"/>
              <w:spacing w:beforeLines="40" w:before="96" w:after="0"/>
              <w:mirrorIndents/>
              <w:rPr>
                <w:sz w:val="18"/>
                <w:szCs w:val="18"/>
              </w:rPr>
            </w:pPr>
            <w:r w:rsidRPr="008528D1">
              <w:rPr>
                <w:sz w:val="18"/>
                <w:szCs w:val="18"/>
              </w:rPr>
              <w:t>Environmental, social and governance risks</w:t>
            </w:r>
          </w:p>
        </w:tc>
        <w:tc>
          <w:tcPr>
            <w:tcW w:w="7059" w:type="dxa"/>
          </w:tcPr>
          <w:p w14:paraId="73ED28B9" w14:textId="3FFBBAEE" w:rsidR="00166C42" w:rsidRPr="008528D1" w:rsidRDefault="00166C42" w:rsidP="008819E5">
            <w:pPr>
              <w:pStyle w:val="AHPRAbody"/>
              <w:spacing w:beforeLines="40" w:before="96" w:after="0"/>
              <w:mirrorIndents/>
              <w:cnfStyle w:val="000000100000" w:firstRow="0" w:lastRow="0" w:firstColumn="0" w:lastColumn="0" w:oddVBand="0" w:evenVBand="0" w:oddHBand="1" w:evenHBand="0" w:firstRowFirstColumn="0" w:firstRowLastColumn="0" w:lastRowFirstColumn="0" w:lastRowLastColumn="0"/>
              <w:rPr>
                <w:sz w:val="18"/>
                <w:szCs w:val="18"/>
              </w:rPr>
            </w:pPr>
            <w:r w:rsidRPr="008528D1">
              <w:rPr>
                <w:sz w:val="18"/>
                <w:szCs w:val="18"/>
              </w:rPr>
              <w:t xml:space="preserve">ESG risks will be managed by </w:t>
            </w:r>
            <w:r w:rsidR="00131CA6" w:rsidRPr="008528D1">
              <w:rPr>
                <w:sz w:val="18"/>
                <w:szCs w:val="18"/>
              </w:rPr>
              <w:t xml:space="preserve">investing with fund management agencies that have adopted an adequate approach to </w:t>
            </w:r>
            <w:r w:rsidR="00ED7878" w:rsidRPr="008528D1">
              <w:rPr>
                <w:sz w:val="18"/>
                <w:szCs w:val="18"/>
              </w:rPr>
              <w:t>applying ESG in its investment process including:</w:t>
            </w:r>
          </w:p>
          <w:p w14:paraId="781CBD4A" w14:textId="0FDCF70D" w:rsidR="00ED7878" w:rsidRPr="008528D1" w:rsidRDefault="00ED7878" w:rsidP="00F87F7D">
            <w:pPr>
              <w:pStyle w:val="AHPRAbody"/>
              <w:numPr>
                <w:ilvl w:val="0"/>
                <w:numId w:val="3"/>
              </w:numPr>
              <w:spacing w:beforeLines="40" w:before="96" w:after="0"/>
              <w:ind w:left="369" w:hanging="369"/>
              <w:mirrorIndents/>
              <w:cnfStyle w:val="000000100000" w:firstRow="0" w:lastRow="0" w:firstColumn="0" w:lastColumn="0" w:oddVBand="0" w:evenVBand="0" w:oddHBand="1" w:evenHBand="0" w:firstRowFirstColumn="0" w:firstRowLastColumn="0" w:lastRowFirstColumn="0" w:lastRowLastColumn="0"/>
              <w:rPr>
                <w:sz w:val="18"/>
                <w:szCs w:val="18"/>
              </w:rPr>
            </w:pPr>
            <w:r w:rsidRPr="008528D1">
              <w:rPr>
                <w:sz w:val="18"/>
                <w:szCs w:val="18"/>
              </w:rPr>
              <w:t>Stewardship – exercising votes at company meetings</w:t>
            </w:r>
            <w:r w:rsidR="00813ECC" w:rsidRPr="008528D1">
              <w:rPr>
                <w:sz w:val="18"/>
                <w:szCs w:val="18"/>
              </w:rPr>
              <w:t xml:space="preserve"> on material ESG issues </w:t>
            </w:r>
          </w:p>
          <w:p w14:paraId="28355884" w14:textId="77777777" w:rsidR="00D00922" w:rsidRPr="00924DCE" w:rsidRDefault="00813ECC" w:rsidP="00F87F7D">
            <w:pPr>
              <w:pStyle w:val="AHPRAbody"/>
              <w:numPr>
                <w:ilvl w:val="0"/>
                <w:numId w:val="3"/>
              </w:numPr>
              <w:spacing w:beforeLines="40" w:before="96" w:after="0"/>
              <w:ind w:left="369" w:hanging="369"/>
              <w:mirrorIndents/>
              <w:cnfStyle w:val="000000100000" w:firstRow="0" w:lastRow="0" w:firstColumn="0" w:lastColumn="0" w:oddVBand="0" w:evenVBand="0" w:oddHBand="1" w:evenHBand="0" w:firstRowFirstColumn="0" w:firstRowLastColumn="0" w:lastRowFirstColumn="0" w:lastRowLastColumn="0"/>
              <w:rPr>
                <w:sz w:val="18"/>
                <w:szCs w:val="18"/>
              </w:rPr>
            </w:pPr>
            <w:r w:rsidRPr="008528D1">
              <w:rPr>
                <w:sz w:val="18"/>
                <w:szCs w:val="18"/>
              </w:rPr>
              <w:t xml:space="preserve">ESG integration – considering material ESG </w:t>
            </w:r>
            <w:r w:rsidR="00037E33" w:rsidRPr="008528D1">
              <w:rPr>
                <w:sz w:val="18"/>
                <w:szCs w:val="18"/>
              </w:rPr>
              <w:t xml:space="preserve">issues </w:t>
            </w:r>
            <w:r w:rsidR="00C43B72" w:rsidRPr="008528D1">
              <w:rPr>
                <w:sz w:val="18"/>
                <w:szCs w:val="18"/>
              </w:rPr>
              <w:t>in the selection management and monitoring of investments</w:t>
            </w:r>
            <w:r w:rsidR="0072438A" w:rsidRPr="008528D1">
              <w:rPr>
                <w:sz w:val="18"/>
                <w:szCs w:val="18"/>
              </w:rPr>
              <w:t xml:space="preserve"> </w:t>
            </w:r>
          </w:p>
          <w:p w14:paraId="156CB93C" w14:textId="7B1188E7" w:rsidR="00813ECC" w:rsidRPr="008528D1" w:rsidRDefault="00967B95" w:rsidP="00F87F7D">
            <w:pPr>
              <w:pStyle w:val="AHPRAbody"/>
              <w:numPr>
                <w:ilvl w:val="0"/>
                <w:numId w:val="3"/>
              </w:numPr>
              <w:spacing w:beforeLines="40" w:before="96" w:after="0"/>
              <w:ind w:left="369" w:hanging="369"/>
              <w:mirrorIndents/>
              <w:cnfStyle w:val="000000100000" w:firstRow="0" w:lastRow="0" w:firstColumn="0" w:lastColumn="0" w:oddVBand="0" w:evenVBand="0" w:oddHBand="1" w:evenHBand="0" w:firstRowFirstColumn="0" w:firstRowLastColumn="0" w:lastRowFirstColumn="0" w:lastRowLastColumn="0"/>
              <w:rPr>
                <w:sz w:val="18"/>
                <w:szCs w:val="18"/>
              </w:rPr>
            </w:pPr>
            <w:r w:rsidRPr="00924DCE">
              <w:rPr>
                <w:sz w:val="18"/>
                <w:szCs w:val="18"/>
              </w:rPr>
              <w:t>Socially responsible investing through the e</w:t>
            </w:r>
            <w:r w:rsidR="0072438A" w:rsidRPr="008528D1">
              <w:rPr>
                <w:sz w:val="18"/>
                <w:szCs w:val="18"/>
              </w:rPr>
              <w:t xml:space="preserve">xclusions of </w:t>
            </w:r>
            <w:r w:rsidR="00DE0A73" w:rsidRPr="00924DCE">
              <w:rPr>
                <w:sz w:val="18"/>
                <w:szCs w:val="18"/>
              </w:rPr>
              <w:t>unacceptable products or business practices such as</w:t>
            </w:r>
            <w:r w:rsidR="00EC4CCC" w:rsidRPr="00924DCE">
              <w:rPr>
                <w:sz w:val="18"/>
                <w:szCs w:val="18"/>
              </w:rPr>
              <w:t xml:space="preserve"> </w:t>
            </w:r>
            <w:r w:rsidR="00C11D7D" w:rsidRPr="008528D1">
              <w:rPr>
                <w:sz w:val="18"/>
                <w:szCs w:val="18"/>
              </w:rPr>
              <w:t>t</w:t>
            </w:r>
            <w:r w:rsidR="00E93C4E" w:rsidRPr="008528D1">
              <w:rPr>
                <w:sz w:val="18"/>
                <w:szCs w:val="18"/>
              </w:rPr>
              <w:t>o</w:t>
            </w:r>
            <w:r w:rsidR="00C11D7D" w:rsidRPr="008528D1">
              <w:rPr>
                <w:sz w:val="18"/>
                <w:szCs w:val="18"/>
              </w:rPr>
              <w:t>bacco manufacturers and cluster munitions</w:t>
            </w:r>
          </w:p>
          <w:p w14:paraId="35162848" w14:textId="26110183" w:rsidR="005155C3" w:rsidRPr="00F4335B" w:rsidRDefault="00C43B72" w:rsidP="00F87F7D">
            <w:pPr>
              <w:pStyle w:val="AHPRAbody"/>
              <w:numPr>
                <w:ilvl w:val="0"/>
                <w:numId w:val="3"/>
              </w:numPr>
              <w:spacing w:beforeLines="40" w:before="96" w:after="0"/>
              <w:ind w:left="369" w:hanging="369"/>
              <w:mirrorIndents/>
              <w:cnfStyle w:val="000000100000" w:firstRow="0" w:lastRow="0" w:firstColumn="0" w:lastColumn="0" w:oddVBand="0" w:evenVBand="0" w:oddHBand="1" w:evenHBand="0" w:firstRowFirstColumn="0" w:firstRowLastColumn="0" w:lastRowFirstColumn="0" w:lastRowLastColumn="0"/>
              <w:rPr>
                <w:sz w:val="18"/>
                <w:szCs w:val="18"/>
              </w:rPr>
            </w:pPr>
            <w:r w:rsidRPr="008528D1">
              <w:rPr>
                <w:sz w:val="18"/>
                <w:szCs w:val="18"/>
              </w:rPr>
              <w:t xml:space="preserve">ESG disclosure – encouraging the development of ESG-related standards for use </w:t>
            </w:r>
            <w:r w:rsidR="005155C3" w:rsidRPr="008528D1">
              <w:rPr>
                <w:sz w:val="18"/>
                <w:szCs w:val="18"/>
              </w:rPr>
              <w:t>by investee companies and disclosure of ESG activities</w:t>
            </w:r>
            <w:r w:rsidR="009D3BF2" w:rsidRPr="008528D1">
              <w:rPr>
                <w:sz w:val="18"/>
                <w:szCs w:val="18"/>
              </w:rPr>
              <w:t>.</w:t>
            </w:r>
          </w:p>
        </w:tc>
      </w:tr>
      <w:tr w:rsidR="009E6EDB" w:rsidRPr="00A540E1" w14:paraId="310547FF" w14:textId="77777777" w:rsidTr="00892C7E">
        <w:tc>
          <w:tcPr>
            <w:cnfStyle w:val="001000000000" w:firstRow="0" w:lastRow="0" w:firstColumn="1" w:lastColumn="0" w:oddVBand="0" w:evenVBand="0" w:oddHBand="0" w:evenHBand="0" w:firstRowFirstColumn="0" w:firstRowLastColumn="0" w:lastRowFirstColumn="0" w:lastRowLastColumn="0"/>
            <w:tcW w:w="1843" w:type="dxa"/>
          </w:tcPr>
          <w:p w14:paraId="1BA06928" w14:textId="7326E079" w:rsidR="009E6EDB" w:rsidRPr="009E6A2E" w:rsidRDefault="009E6EDB" w:rsidP="008819E5">
            <w:pPr>
              <w:pStyle w:val="AHPRAbody"/>
              <w:spacing w:beforeLines="40" w:before="96" w:after="0"/>
              <w:mirrorIndents/>
              <w:rPr>
                <w:sz w:val="18"/>
                <w:szCs w:val="18"/>
              </w:rPr>
            </w:pPr>
            <w:r w:rsidRPr="00924DCE">
              <w:rPr>
                <w:sz w:val="18"/>
                <w:szCs w:val="18"/>
              </w:rPr>
              <w:t xml:space="preserve">Credit </w:t>
            </w:r>
            <w:r w:rsidR="00F4335B">
              <w:rPr>
                <w:sz w:val="18"/>
                <w:szCs w:val="18"/>
              </w:rPr>
              <w:t>r</w:t>
            </w:r>
            <w:r w:rsidRPr="00924DCE">
              <w:rPr>
                <w:sz w:val="18"/>
                <w:szCs w:val="18"/>
              </w:rPr>
              <w:t>isk</w:t>
            </w:r>
          </w:p>
        </w:tc>
        <w:tc>
          <w:tcPr>
            <w:tcW w:w="7059" w:type="dxa"/>
          </w:tcPr>
          <w:p w14:paraId="73EEF3A0" w14:textId="3C664DBE" w:rsidR="009E6EDB" w:rsidRPr="009E6A2E" w:rsidRDefault="009E6EDB" w:rsidP="008819E5">
            <w:pPr>
              <w:pStyle w:val="AHPRAbody"/>
              <w:spacing w:beforeLines="40" w:before="96" w:after="0"/>
              <w:mirrorIndent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9E6A2E">
              <w:rPr>
                <w:color w:val="000000" w:themeColor="text1"/>
                <w:sz w:val="18"/>
                <w:szCs w:val="18"/>
              </w:rPr>
              <w:t xml:space="preserve">Risk of counterparty failure. </w:t>
            </w:r>
            <w:r w:rsidRPr="00924DCE">
              <w:rPr>
                <w:color w:val="000000" w:themeColor="text1"/>
                <w:sz w:val="18"/>
                <w:szCs w:val="18"/>
              </w:rPr>
              <w:t xml:space="preserve">This risk is managed by Ahpra investing </w:t>
            </w:r>
            <w:r w:rsidR="00644450">
              <w:rPr>
                <w:color w:val="000000" w:themeColor="text1"/>
                <w:sz w:val="18"/>
                <w:szCs w:val="18"/>
              </w:rPr>
              <w:t xml:space="preserve">in </w:t>
            </w:r>
            <w:r w:rsidRPr="00924DCE">
              <w:rPr>
                <w:color w:val="000000" w:themeColor="text1"/>
                <w:sz w:val="18"/>
                <w:szCs w:val="18"/>
              </w:rPr>
              <w:t>Australian-owned deposit taking institutions rated AA- or better with S&amp;P Global (Standard and Poor’s) or Aa3 Moody’s and appointing a government owned reputable fund management agency</w:t>
            </w:r>
          </w:p>
        </w:tc>
      </w:tr>
      <w:tr w:rsidR="009E6EDB" w:rsidRPr="00A540E1" w14:paraId="54150449" w14:textId="77777777" w:rsidTr="00892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2A7D9AE" w14:textId="77777777" w:rsidR="009E6EDB" w:rsidRPr="00924DCE" w:rsidRDefault="009E6EDB" w:rsidP="008819E5">
            <w:pPr>
              <w:pStyle w:val="AHPRAbody"/>
              <w:spacing w:beforeLines="40" w:before="96" w:after="0"/>
              <w:mirrorIndents/>
              <w:rPr>
                <w:sz w:val="18"/>
                <w:szCs w:val="18"/>
              </w:rPr>
            </w:pPr>
            <w:r w:rsidRPr="00924DCE">
              <w:rPr>
                <w:sz w:val="18"/>
                <w:szCs w:val="18"/>
              </w:rPr>
              <w:t>Currency risk</w:t>
            </w:r>
          </w:p>
        </w:tc>
        <w:tc>
          <w:tcPr>
            <w:tcW w:w="7059" w:type="dxa"/>
          </w:tcPr>
          <w:p w14:paraId="6C56AC18" w14:textId="722552E3" w:rsidR="009E6EDB" w:rsidRPr="00924DCE" w:rsidRDefault="009E6A2E" w:rsidP="008819E5">
            <w:pPr>
              <w:pStyle w:val="AHPRAbody"/>
              <w:spacing w:beforeLines="40" w:before="96" w:after="0"/>
              <w:mirrorIndent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924DCE">
              <w:rPr>
                <w:color w:val="000000" w:themeColor="text1"/>
                <w:sz w:val="18"/>
                <w:szCs w:val="18"/>
              </w:rPr>
              <w:t>A</w:t>
            </w:r>
            <w:r w:rsidR="009E6EDB" w:rsidRPr="00924DCE">
              <w:rPr>
                <w:color w:val="000000" w:themeColor="text1"/>
                <w:sz w:val="18"/>
                <w:szCs w:val="18"/>
              </w:rPr>
              <w:t>phra only invest Australian dollars in cash and fixed deposits and only invests in a managed investment fund in which units are held in Australian dollars</w:t>
            </w:r>
          </w:p>
        </w:tc>
      </w:tr>
      <w:tr w:rsidR="009E6EDB" w:rsidRPr="00A540E1" w14:paraId="538BE116" w14:textId="77777777" w:rsidTr="00892C7E">
        <w:tc>
          <w:tcPr>
            <w:cnfStyle w:val="001000000000" w:firstRow="0" w:lastRow="0" w:firstColumn="1" w:lastColumn="0" w:oddVBand="0" w:evenVBand="0" w:oddHBand="0" w:evenHBand="0" w:firstRowFirstColumn="0" w:firstRowLastColumn="0" w:lastRowFirstColumn="0" w:lastRowLastColumn="0"/>
            <w:tcW w:w="1843" w:type="dxa"/>
          </w:tcPr>
          <w:p w14:paraId="45525031" w14:textId="77777777" w:rsidR="009E6EDB" w:rsidRPr="0016544A" w:rsidRDefault="009E6EDB" w:rsidP="008819E5">
            <w:pPr>
              <w:pStyle w:val="AHPRAbody"/>
              <w:spacing w:beforeLines="40" w:before="96" w:after="0"/>
              <w:mirrorIndents/>
              <w:rPr>
                <w:sz w:val="18"/>
                <w:szCs w:val="18"/>
              </w:rPr>
            </w:pPr>
            <w:r w:rsidRPr="00924DCE">
              <w:rPr>
                <w:sz w:val="18"/>
                <w:szCs w:val="18"/>
              </w:rPr>
              <w:t>Investment performance risk</w:t>
            </w:r>
          </w:p>
        </w:tc>
        <w:tc>
          <w:tcPr>
            <w:tcW w:w="7059" w:type="dxa"/>
          </w:tcPr>
          <w:p w14:paraId="01DB4251" w14:textId="3D57F68A" w:rsidR="009E6EDB" w:rsidRPr="0016544A" w:rsidRDefault="0016544A" w:rsidP="008819E5">
            <w:pPr>
              <w:pStyle w:val="AHPRAbody"/>
              <w:spacing w:beforeLines="40" w:before="96" w:after="0"/>
              <w:mirrorIndent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924DCE">
              <w:rPr>
                <w:color w:val="000000" w:themeColor="text1"/>
                <w:sz w:val="18"/>
                <w:szCs w:val="18"/>
              </w:rPr>
              <w:t>R</w:t>
            </w:r>
            <w:r w:rsidR="009E6EDB" w:rsidRPr="00924DCE">
              <w:rPr>
                <w:color w:val="000000" w:themeColor="text1"/>
                <w:sz w:val="18"/>
                <w:szCs w:val="18"/>
              </w:rPr>
              <w:t xml:space="preserve">isk that investments do not generate </w:t>
            </w:r>
            <w:proofErr w:type="gramStart"/>
            <w:r w:rsidR="009E6EDB" w:rsidRPr="00924DCE">
              <w:rPr>
                <w:color w:val="000000" w:themeColor="text1"/>
                <w:sz w:val="18"/>
                <w:szCs w:val="18"/>
              </w:rPr>
              <w:t>sufficient</w:t>
            </w:r>
            <w:proofErr w:type="gramEnd"/>
            <w:r w:rsidR="009E6EDB" w:rsidRPr="00924DCE">
              <w:rPr>
                <w:color w:val="000000" w:themeColor="text1"/>
                <w:sz w:val="18"/>
                <w:szCs w:val="18"/>
              </w:rPr>
              <w:t xml:space="preserve"> income to meet budget and shortfall depletes equity. This risk is managed by adoption of a conservative investment strategy, which includes holding fixed interest investments to maturity and investment in a readily redeemable unitised managed investment scheme, as well as quarterly review and reporting of investment performance</w:t>
            </w:r>
            <w:r w:rsidR="009E6EDB" w:rsidRPr="0016544A">
              <w:rPr>
                <w:color w:val="000000" w:themeColor="text1"/>
                <w:sz w:val="18"/>
                <w:szCs w:val="18"/>
              </w:rPr>
              <w:t xml:space="preserve"> </w:t>
            </w:r>
            <w:r w:rsidR="009E6EDB" w:rsidRPr="00924DCE">
              <w:rPr>
                <w:color w:val="000000" w:themeColor="text1"/>
                <w:sz w:val="18"/>
                <w:szCs w:val="18"/>
              </w:rPr>
              <w:t>to FARMC and AManC</w:t>
            </w:r>
          </w:p>
        </w:tc>
      </w:tr>
    </w:tbl>
    <w:p w14:paraId="29ABA3D9" w14:textId="7CFF5DCE" w:rsidR="004A56D5" w:rsidRPr="00EE32EA" w:rsidRDefault="004A56D5" w:rsidP="00892C7E">
      <w:pPr>
        <w:pStyle w:val="AHPRANumberedsubheadinglevel1"/>
        <w:ind w:left="567" w:hanging="567"/>
      </w:pPr>
      <w:r w:rsidRPr="00EE32EA">
        <w:lastRenderedPageBreak/>
        <w:t xml:space="preserve">Review of </w:t>
      </w:r>
      <w:r w:rsidR="00F4335B">
        <w:t>s</w:t>
      </w:r>
      <w:r w:rsidRPr="00EE32EA">
        <w:t>trategic asset allocation</w:t>
      </w:r>
    </w:p>
    <w:p w14:paraId="3D5D3675" w14:textId="2E43F8C9" w:rsidR="004A56D5" w:rsidRPr="00924DCE" w:rsidRDefault="00B2128D" w:rsidP="00041CB3">
      <w:pPr>
        <w:pStyle w:val="AHPRANumberedsubheadinglevel2"/>
      </w:pPr>
      <w:r>
        <w:t xml:space="preserve"> </w:t>
      </w:r>
      <w:r w:rsidR="004A56D5" w:rsidRPr="00924DCE">
        <w:t>Fixed term deposits are to be assessed each time a term deposit is placed to ensure all components of an asset allocation are still within limits</w:t>
      </w:r>
    </w:p>
    <w:p w14:paraId="403307D9" w14:textId="6FD38A5C" w:rsidR="004A56D5" w:rsidRPr="00924DCE" w:rsidRDefault="004A56D5" w:rsidP="00041CB3">
      <w:pPr>
        <w:pStyle w:val="AHPRANumberedsubheadinglevel2"/>
      </w:pPr>
      <w:r w:rsidRPr="00924DCE">
        <w:t>For externally managed funds held with fund management agencies the strategic asset allocations will be reviewed, at a minimum annually or at any time the fund management agency notifies of a change within their asset classes.</w:t>
      </w:r>
      <w:r w:rsidR="00FA7E81">
        <w:t xml:space="preserve"> </w:t>
      </w:r>
    </w:p>
    <w:p w14:paraId="59FE390D" w14:textId="09B1E060" w:rsidR="002F1338" w:rsidRDefault="007C5B45" w:rsidP="00041CB3">
      <w:pPr>
        <w:pStyle w:val="AHPRANumberedsubheadinglevel2"/>
      </w:pPr>
      <w:r w:rsidRPr="002F1338">
        <w:t xml:space="preserve">All annual reviews or any changes within the managed investment scheme asset allocation will be brought to the next FARMC meeting. </w:t>
      </w:r>
      <w:r w:rsidR="002F1338">
        <w:t xml:space="preserve"> </w:t>
      </w:r>
    </w:p>
    <w:p w14:paraId="02B0D69C" w14:textId="0DC847CB" w:rsidR="007C5B45" w:rsidRDefault="002F1338" w:rsidP="00041CB3">
      <w:pPr>
        <w:pStyle w:val="AHPRANumberedsubheadinglevel2"/>
      </w:pPr>
      <w:r>
        <w:t>Annual reviews</w:t>
      </w:r>
      <w:r w:rsidRPr="002F1338">
        <w:t xml:space="preserve"> must assess </w:t>
      </w:r>
      <w:r w:rsidR="00DA29AC">
        <w:t xml:space="preserve">investment performance and </w:t>
      </w:r>
      <w:r w:rsidRPr="002F1338">
        <w:t>if money has been invested in the way most appropriate in the circumstances</w:t>
      </w:r>
      <w:r w:rsidR="00DA29AC">
        <w:t>.</w:t>
      </w:r>
    </w:p>
    <w:p w14:paraId="470DF6C6" w14:textId="2B81B7ED" w:rsidR="00F967B8" w:rsidRDefault="00F967B8" w:rsidP="00892C7E">
      <w:pPr>
        <w:pStyle w:val="AHPRANumberedsubheadinglevel1"/>
        <w:ind w:left="567" w:hanging="567"/>
      </w:pPr>
      <w:r>
        <w:t>Compliance</w:t>
      </w:r>
    </w:p>
    <w:p w14:paraId="7DC0E45D" w14:textId="372E81F2" w:rsidR="00F967B8" w:rsidRPr="0040548B" w:rsidRDefault="00F967B8" w:rsidP="00041CB3">
      <w:pPr>
        <w:pStyle w:val="AHPRANumberedsubheadinglevel2"/>
      </w:pPr>
      <w:r>
        <w:t>Conflicts of interest must be avoided, and declarations are to be completed b</w:t>
      </w:r>
      <w:r w:rsidR="00B015AF">
        <w:t>y</w:t>
      </w:r>
      <w:r>
        <w:t xml:space="preserve"> Ahpra’s vendor selection panel members in accordance with Ahpra</w:t>
      </w:r>
      <w:r w:rsidR="00892C7E">
        <w:t>’s</w:t>
      </w:r>
      <w:r>
        <w:t xml:space="preserve"> Procurement </w:t>
      </w:r>
      <w:r w:rsidR="00892C7E">
        <w:t>p</w:t>
      </w:r>
      <w:r>
        <w:t>olicy.</w:t>
      </w:r>
    </w:p>
    <w:p w14:paraId="6C05CD34" w14:textId="77777777" w:rsidR="00F967B8" w:rsidRPr="00D168A5" w:rsidRDefault="00F967B8" w:rsidP="00041CB3">
      <w:pPr>
        <w:pStyle w:val="AHPRANumberedsubheadinglevel2"/>
      </w:pPr>
      <w:r w:rsidRPr="54124707">
        <w:t xml:space="preserve">Compliance with this policy is subject to review as part of the internal quality assurance and internal audit programs. </w:t>
      </w:r>
    </w:p>
    <w:p w14:paraId="359E22D3" w14:textId="29F09F40" w:rsidR="00F967B8" w:rsidRPr="00D168A5" w:rsidRDefault="00F967B8" w:rsidP="00041CB3">
      <w:pPr>
        <w:pStyle w:val="AHPRANumberedsubheadinglevel2"/>
      </w:pPr>
      <w:r w:rsidRPr="54124707">
        <w:t xml:space="preserve">Where a breach of compliance with this Policy occurs, a </w:t>
      </w:r>
      <w:r w:rsidR="00892C7E" w:rsidRPr="54124707">
        <w:t>statement of non</w:t>
      </w:r>
      <w:r w:rsidRPr="54124707">
        <w:t xml:space="preserve">-compliance must be prepared by the Deputy CFO and provided to the Chief Financial Officer. </w:t>
      </w:r>
    </w:p>
    <w:p w14:paraId="0EAAD7E4" w14:textId="6ED04FB3" w:rsidR="00F967B8" w:rsidRDefault="00F967B8" w:rsidP="00041CB3">
      <w:pPr>
        <w:pStyle w:val="AHPRANumberedsubheadinglevel2"/>
      </w:pPr>
      <w:r w:rsidRPr="54124707">
        <w:t xml:space="preserve">Staff non-compliance with all Ahpra policies and procedures will be managed in accordance with the </w:t>
      </w:r>
      <w:hyperlink r:id="rId11" w:anchor="search=Code%20of%20Conduct">
        <w:r w:rsidRPr="003A100C">
          <w:t xml:space="preserve">Code of </w:t>
        </w:r>
        <w:r w:rsidR="00892C7E">
          <w:t>c</w:t>
        </w:r>
        <w:r w:rsidRPr="003A100C">
          <w:t>onduct</w:t>
        </w:r>
      </w:hyperlink>
      <w:r w:rsidRPr="003A100C">
        <w:t>.</w:t>
      </w:r>
    </w:p>
    <w:p w14:paraId="4B28F422" w14:textId="21F30757" w:rsidR="00F967B8" w:rsidRPr="001B18E7" w:rsidRDefault="00F967B8" w:rsidP="00892C7E">
      <w:pPr>
        <w:pStyle w:val="AHPRADocumentsubheading"/>
      </w:pPr>
      <w:r w:rsidRPr="001B18E7">
        <w:t xml:space="preserve">Related </w:t>
      </w:r>
      <w:r w:rsidRPr="00892C7E">
        <w:t>documents</w:t>
      </w:r>
    </w:p>
    <w:p w14:paraId="7D2A9FEE" w14:textId="092B2B7F" w:rsidR="00F967B8" w:rsidRPr="00EF7C39" w:rsidRDefault="00F967B8" w:rsidP="00892C7E">
      <w:pPr>
        <w:pStyle w:val="AHPRABulletlevel1"/>
        <w:ind w:left="369" w:hanging="369"/>
      </w:pPr>
      <w:r w:rsidRPr="00EF7C39">
        <w:t xml:space="preserve">Procurement </w:t>
      </w:r>
      <w:r w:rsidR="00F4335B">
        <w:t>p</w:t>
      </w:r>
      <w:r w:rsidRPr="00EF7C39">
        <w:t>olicy</w:t>
      </w:r>
    </w:p>
    <w:p w14:paraId="674656A8" w14:textId="509E3B64" w:rsidR="00F967B8" w:rsidRDefault="003A64C8" w:rsidP="00892C7E">
      <w:pPr>
        <w:pStyle w:val="AHPRABulletlevel1"/>
        <w:ind w:left="369" w:hanging="369"/>
        <w:rPr>
          <w:szCs w:val="20"/>
        </w:rPr>
      </w:pPr>
      <w:hyperlink r:id="rId12" w:history="1">
        <w:r w:rsidR="00F967B8" w:rsidRPr="00EF7C39">
          <w:rPr>
            <w:rStyle w:val="Hyperlink"/>
            <w:szCs w:val="20"/>
          </w:rPr>
          <w:t xml:space="preserve">Code of </w:t>
        </w:r>
        <w:r w:rsidR="00F4335B">
          <w:rPr>
            <w:rStyle w:val="Hyperlink"/>
            <w:szCs w:val="20"/>
          </w:rPr>
          <w:t>c</w:t>
        </w:r>
        <w:r w:rsidR="00F967B8" w:rsidRPr="00EF7C39">
          <w:rPr>
            <w:rStyle w:val="Hyperlink"/>
            <w:szCs w:val="20"/>
          </w:rPr>
          <w:t>onduct</w:t>
        </w:r>
      </w:hyperlink>
      <w:r w:rsidR="00F967B8" w:rsidRPr="00EF7C39">
        <w:rPr>
          <w:szCs w:val="20"/>
        </w:rPr>
        <w:t xml:space="preserve"> </w:t>
      </w:r>
    </w:p>
    <w:p w14:paraId="06D5E576" w14:textId="3203CBB5" w:rsidR="00956E5E" w:rsidRPr="00EF7C39" w:rsidRDefault="00956E5E" w:rsidP="00892C7E">
      <w:pPr>
        <w:pStyle w:val="AHPRABulletlevel1"/>
        <w:ind w:left="369" w:hanging="369"/>
      </w:pPr>
      <w:r>
        <w:t xml:space="preserve">Gifts </w:t>
      </w:r>
      <w:r w:rsidR="00F4335B">
        <w:t>and h</w:t>
      </w:r>
      <w:r>
        <w:t>ospitality</w:t>
      </w:r>
    </w:p>
    <w:p w14:paraId="10776C23" w14:textId="6A22E2CF" w:rsidR="00F967B8" w:rsidRPr="00EF7C39" w:rsidRDefault="00F967B8" w:rsidP="00892C7E">
      <w:pPr>
        <w:pStyle w:val="AHPRABulletlevel1"/>
        <w:ind w:left="369" w:hanging="369"/>
      </w:pPr>
      <w:r w:rsidRPr="00EF7C39">
        <w:t xml:space="preserve">Statement of </w:t>
      </w:r>
      <w:r w:rsidR="00F4335B">
        <w:t>n</w:t>
      </w:r>
      <w:r w:rsidRPr="00EF7C39">
        <w:t>on-compliance</w:t>
      </w:r>
    </w:p>
    <w:p w14:paraId="507C2CEB" w14:textId="5E1797D6" w:rsidR="00F967B8" w:rsidRPr="00EF7C39" w:rsidRDefault="003A64C8" w:rsidP="00892C7E">
      <w:pPr>
        <w:pStyle w:val="AHPRABulletlevel1"/>
        <w:ind w:left="369" w:hanging="369"/>
        <w:rPr>
          <w:szCs w:val="20"/>
        </w:rPr>
      </w:pPr>
      <w:hyperlink r:id="rId13" w:history="1">
        <w:r w:rsidR="00F967B8" w:rsidRPr="00EF7C39">
          <w:rPr>
            <w:rStyle w:val="Hyperlink"/>
            <w:szCs w:val="20"/>
          </w:rPr>
          <w:t xml:space="preserve">Conflict of </w:t>
        </w:r>
        <w:r w:rsidR="00F4335B">
          <w:rPr>
            <w:rStyle w:val="Hyperlink"/>
            <w:szCs w:val="20"/>
          </w:rPr>
          <w:t>i</w:t>
        </w:r>
        <w:r w:rsidR="00F967B8" w:rsidRPr="00EF7C39">
          <w:rPr>
            <w:rStyle w:val="Hyperlink"/>
            <w:szCs w:val="20"/>
          </w:rPr>
          <w:t xml:space="preserve">nterest </w:t>
        </w:r>
        <w:r w:rsidR="00F4335B">
          <w:rPr>
            <w:rStyle w:val="Hyperlink"/>
            <w:szCs w:val="20"/>
          </w:rPr>
          <w:t>p</w:t>
        </w:r>
        <w:r w:rsidR="00F967B8" w:rsidRPr="00EF7C39">
          <w:rPr>
            <w:rStyle w:val="Hyperlink"/>
            <w:szCs w:val="20"/>
          </w:rPr>
          <w:t>olicy and procedure</w:t>
        </w:r>
      </w:hyperlink>
      <w:r w:rsidR="00F967B8" w:rsidRPr="00EF7C39">
        <w:rPr>
          <w:szCs w:val="20"/>
        </w:rPr>
        <w:t xml:space="preserve"> </w:t>
      </w:r>
    </w:p>
    <w:p w14:paraId="46D401AC" w14:textId="77777777" w:rsidR="00F967B8" w:rsidRPr="00EF7C39" w:rsidRDefault="003A64C8" w:rsidP="00892C7E">
      <w:pPr>
        <w:pStyle w:val="AHPRABulletlevel1"/>
        <w:spacing w:after="200"/>
        <w:ind w:left="369" w:hanging="369"/>
        <w:rPr>
          <w:szCs w:val="20"/>
        </w:rPr>
      </w:pPr>
      <w:hyperlink r:id="rId14" w:history="1">
        <w:r w:rsidR="00F967B8" w:rsidRPr="00EF7C39">
          <w:rPr>
            <w:rStyle w:val="Hyperlink"/>
            <w:szCs w:val="20"/>
          </w:rPr>
          <w:t>Risk appetite statement</w:t>
        </w:r>
      </w:hyperlink>
    </w:p>
    <w:p w14:paraId="1302171D" w14:textId="77777777" w:rsidR="00F967B8" w:rsidRPr="008452E7" w:rsidRDefault="00F967B8" w:rsidP="00892C7E">
      <w:pPr>
        <w:pStyle w:val="AHPRADocumentsubheading"/>
      </w:pPr>
      <w:r w:rsidRPr="00892C7E">
        <w:t>Relevant</w:t>
      </w:r>
      <w:r w:rsidRPr="008452E7">
        <w:t xml:space="preserve"> </w:t>
      </w:r>
      <w:r w:rsidRPr="00F4335B">
        <w:t>legislation</w:t>
      </w:r>
    </w:p>
    <w:p w14:paraId="523D6E6E" w14:textId="05CB8890" w:rsidR="00F967B8" w:rsidRPr="003A100C" w:rsidRDefault="003A64C8" w:rsidP="00892C7E">
      <w:pPr>
        <w:pStyle w:val="AHPRABulletlevel1"/>
        <w:ind w:left="369" w:hanging="369"/>
      </w:pPr>
      <w:hyperlink r:id="rId15" w:history="1">
        <w:r w:rsidR="00F967B8" w:rsidRPr="00924DCE">
          <w:rPr>
            <w:rStyle w:val="Hyperlink"/>
            <w:szCs w:val="20"/>
          </w:rPr>
          <w:t>Banking Act 1959</w:t>
        </w:r>
      </w:hyperlink>
      <w:r w:rsidR="00F967B8" w:rsidRPr="003A100C">
        <w:t>.</w:t>
      </w:r>
    </w:p>
    <w:p w14:paraId="19C242F6" w14:textId="77777777" w:rsidR="00F967B8" w:rsidRPr="003A100C" w:rsidRDefault="003A64C8" w:rsidP="00892C7E">
      <w:pPr>
        <w:pStyle w:val="AHPRABulletlevel1"/>
        <w:ind w:left="369" w:hanging="369"/>
        <w:rPr>
          <w:szCs w:val="20"/>
        </w:rPr>
      </w:pPr>
      <w:hyperlink r:id="rId16" w:history="1">
        <w:r w:rsidR="00F967B8" w:rsidRPr="003A100C">
          <w:t>Health Practitioner Regulation National Law</w:t>
        </w:r>
      </w:hyperlink>
      <w:r w:rsidR="00F967B8" w:rsidRPr="003A100C">
        <w:rPr>
          <w:szCs w:val="20"/>
        </w:rPr>
        <w:t xml:space="preserve"> - s211 </w:t>
      </w:r>
    </w:p>
    <w:p w14:paraId="199AA95F" w14:textId="77777777" w:rsidR="00762B6D" w:rsidRDefault="003A64C8" w:rsidP="00892C7E">
      <w:pPr>
        <w:pStyle w:val="AHPRABulletlevel1"/>
        <w:ind w:left="369" w:hanging="369"/>
        <w:rPr>
          <w:szCs w:val="20"/>
        </w:rPr>
      </w:pPr>
      <w:hyperlink r:id="rId17" w:history="1">
        <w:r w:rsidR="00F967B8" w:rsidRPr="003A100C">
          <w:rPr>
            <w:szCs w:val="20"/>
          </w:rPr>
          <w:t xml:space="preserve">AASB 9 Financial Instruments </w:t>
        </w:r>
      </w:hyperlink>
      <w:r w:rsidR="00F967B8" w:rsidRPr="003A100C">
        <w:rPr>
          <w:szCs w:val="20"/>
        </w:rPr>
        <w:t xml:space="preserve"> </w:t>
      </w:r>
    </w:p>
    <w:p w14:paraId="32FAE6AE" w14:textId="640C773B" w:rsidR="00F967B8" w:rsidRPr="003A100C" w:rsidRDefault="003A64C8" w:rsidP="00892C7E">
      <w:pPr>
        <w:pStyle w:val="AHPRABulletlevel1"/>
        <w:spacing w:after="200"/>
        <w:ind w:left="369" w:hanging="369"/>
      </w:pPr>
      <w:hyperlink r:id="rId18" w:history="1">
        <w:r w:rsidR="00762B6D">
          <w:rPr>
            <w:rStyle w:val="Hyperlink"/>
            <w:szCs w:val="20"/>
          </w:rPr>
          <w:t>Australian Prudential Regulation Authority Act 1998</w:t>
        </w:r>
      </w:hyperlink>
      <w:r w:rsidR="00762B6D">
        <w:t xml:space="preserve"> </w:t>
      </w:r>
      <w:r w:rsidR="00F967B8" w:rsidRPr="003A100C">
        <w:t xml:space="preserve"> </w:t>
      </w:r>
    </w:p>
    <w:p w14:paraId="1919D6D5" w14:textId="1CB514D0" w:rsidR="00F967B8" w:rsidRDefault="00F967B8" w:rsidP="00892C7E">
      <w:pPr>
        <w:pStyle w:val="AHPRADocumentsubheading"/>
      </w:pPr>
      <w:r w:rsidRPr="00892C7E">
        <w:t>Definitions</w:t>
      </w:r>
    </w:p>
    <w:tbl>
      <w:tblPr>
        <w:tblStyle w:val="GridTable4-Accent1"/>
        <w:tblW w:w="5000" w:type="pct"/>
        <w:tblLook w:val="04A0" w:firstRow="1" w:lastRow="0" w:firstColumn="1" w:lastColumn="0" w:noHBand="0" w:noVBand="1"/>
      </w:tblPr>
      <w:tblGrid>
        <w:gridCol w:w="3636"/>
        <w:gridCol w:w="5974"/>
      </w:tblGrid>
      <w:tr w:rsidR="00F967B8" w:rsidRPr="00DA29AC" w14:paraId="03A47C36" w14:textId="77777777" w:rsidTr="00E079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92" w:type="pct"/>
          </w:tcPr>
          <w:p w14:paraId="0F536D0B" w14:textId="77777777" w:rsidR="00F967B8" w:rsidRPr="00924DCE" w:rsidRDefault="00F967B8" w:rsidP="008819E5">
            <w:pPr>
              <w:spacing w:beforeLines="40" w:before="96"/>
              <w:mirrorIndents/>
              <w:rPr>
                <w:b w:val="0"/>
                <w:sz w:val="18"/>
                <w:szCs w:val="18"/>
              </w:rPr>
            </w:pPr>
            <w:r w:rsidRPr="00924DCE">
              <w:rPr>
                <w:sz w:val="18"/>
                <w:szCs w:val="18"/>
              </w:rPr>
              <w:t>Term</w:t>
            </w:r>
          </w:p>
        </w:tc>
        <w:tc>
          <w:tcPr>
            <w:tcW w:w="3108" w:type="pct"/>
          </w:tcPr>
          <w:p w14:paraId="0E8AF34D" w14:textId="77777777" w:rsidR="00F967B8" w:rsidRPr="00924DCE" w:rsidRDefault="00F967B8" w:rsidP="008819E5">
            <w:pPr>
              <w:spacing w:beforeLines="40" w:before="96"/>
              <w:mirrorIndents/>
              <w:cnfStyle w:val="100000000000" w:firstRow="1" w:lastRow="0" w:firstColumn="0" w:lastColumn="0" w:oddVBand="0" w:evenVBand="0" w:oddHBand="0" w:evenHBand="0" w:firstRowFirstColumn="0" w:firstRowLastColumn="0" w:lastRowFirstColumn="0" w:lastRowLastColumn="0"/>
              <w:rPr>
                <w:b w:val="0"/>
                <w:sz w:val="18"/>
                <w:szCs w:val="18"/>
              </w:rPr>
            </w:pPr>
            <w:r w:rsidRPr="00924DCE">
              <w:rPr>
                <w:sz w:val="18"/>
                <w:szCs w:val="18"/>
              </w:rPr>
              <w:t>Definition</w:t>
            </w:r>
          </w:p>
        </w:tc>
      </w:tr>
      <w:tr w:rsidR="00F967B8" w:rsidRPr="00DA29AC" w14:paraId="13DC338C" w14:textId="77777777" w:rsidTr="00924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pct"/>
          </w:tcPr>
          <w:p w14:paraId="3136321E" w14:textId="77777777" w:rsidR="00F967B8" w:rsidRDefault="00F967B8" w:rsidP="008819E5">
            <w:pPr>
              <w:spacing w:beforeLines="40" w:before="96"/>
              <w:mirrorIndents/>
              <w:rPr>
                <w:b w:val="0"/>
                <w:bCs w:val="0"/>
                <w:sz w:val="18"/>
                <w:szCs w:val="18"/>
              </w:rPr>
            </w:pPr>
            <w:r w:rsidRPr="00924DCE">
              <w:rPr>
                <w:sz w:val="18"/>
                <w:szCs w:val="18"/>
              </w:rPr>
              <w:t>Australian-owned deposit taking institutions</w:t>
            </w:r>
          </w:p>
          <w:p w14:paraId="583DCFAD" w14:textId="525C1248" w:rsidR="0072423B" w:rsidRPr="00924DCE" w:rsidRDefault="0072423B" w:rsidP="008819E5">
            <w:pPr>
              <w:spacing w:beforeLines="40" w:before="96"/>
              <w:mirrorIndents/>
              <w:rPr>
                <w:sz w:val="18"/>
                <w:szCs w:val="18"/>
              </w:rPr>
            </w:pPr>
          </w:p>
        </w:tc>
        <w:tc>
          <w:tcPr>
            <w:tcW w:w="3108" w:type="pct"/>
          </w:tcPr>
          <w:p w14:paraId="5654F231" w14:textId="68B2A55E" w:rsidR="00F967B8" w:rsidRPr="00924DCE" w:rsidRDefault="00F967B8" w:rsidP="008819E5">
            <w:pPr>
              <w:spacing w:beforeLines="40" w:before="96"/>
              <w:mirrorIndents/>
              <w:cnfStyle w:val="000000100000" w:firstRow="0" w:lastRow="0" w:firstColumn="0" w:lastColumn="0" w:oddVBand="0" w:evenVBand="0" w:oddHBand="1" w:evenHBand="0" w:firstRowFirstColumn="0" w:firstRowLastColumn="0" w:lastRowFirstColumn="0" w:lastRowLastColumn="0"/>
              <w:rPr>
                <w:sz w:val="18"/>
                <w:szCs w:val="18"/>
              </w:rPr>
            </w:pPr>
            <w:r w:rsidRPr="00924DCE">
              <w:rPr>
                <w:sz w:val="18"/>
                <w:szCs w:val="18"/>
              </w:rPr>
              <w:t xml:space="preserve">Institutions registered and with Authority to carry on banking business in accordance with the </w:t>
            </w:r>
            <w:r w:rsidRPr="00924DCE">
              <w:rPr>
                <w:i/>
                <w:sz w:val="18"/>
                <w:szCs w:val="18"/>
              </w:rPr>
              <w:t>Banking Act</w:t>
            </w:r>
            <w:r w:rsidRPr="00924DCE">
              <w:rPr>
                <w:sz w:val="18"/>
                <w:szCs w:val="18"/>
              </w:rPr>
              <w:t xml:space="preserve"> 1959</w:t>
            </w:r>
            <w:r w:rsidR="00B075A4" w:rsidRPr="00924DCE">
              <w:rPr>
                <w:sz w:val="18"/>
                <w:szCs w:val="18"/>
              </w:rPr>
              <w:t xml:space="preserve">.  </w:t>
            </w:r>
          </w:p>
        </w:tc>
      </w:tr>
      <w:tr w:rsidR="00797D19" w:rsidRPr="00DA29AC" w14:paraId="7B160F7E" w14:textId="77777777" w:rsidTr="00924DCE">
        <w:tc>
          <w:tcPr>
            <w:cnfStyle w:val="001000000000" w:firstRow="0" w:lastRow="0" w:firstColumn="1" w:lastColumn="0" w:oddVBand="0" w:evenVBand="0" w:oddHBand="0" w:evenHBand="0" w:firstRowFirstColumn="0" w:firstRowLastColumn="0" w:lastRowFirstColumn="0" w:lastRowLastColumn="0"/>
            <w:tcW w:w="1892" w:type="pct"/>
          </w:tcPr>
          <w:p w14:paraId="2CC0363B" w14:textId="185D4937" w:rsidR="00797D19" w:rsidRPr="00924DCE" w:rsidRDefault="00797D19" w:rsidP="008819E5">
            <w:pPr>
              <w:spacing w:beforeLines="40" w:before="96"/>
              <w:mirrorIndents/>
              <w:rPr>
                <w:sz w:val="18"/>
                <w:szCs w:val="18"/>
              </w:rPr>
            </w:pPr>
            <w:r w:rsidRPr="00924DCE">
              <w:rPr>
                <w:sz w:val="18"/>
                <w:szCs w:val="18"/>
              </w:rPr>
              <w:t>Appropriately rated</w:t>
            </w:r>
          </w:p>
        </w:tc>
        <w:tc>
          <w:tcPr>
            <w:tcW w:w="3108" w:type="pct"/>
          </w:tcPr>
          <w:p w14:paraId="5330D86E" w14:textId="77777777" w:rsidR="00797D19" w:rsidRPr="00924DCE" w:rsidRDefault="00797D19" w:rsidP="008819E5">
            <w:pPr>
              <w:spacing w:beforeLines="40" w:before="96"/>
              <w:cnfStyle w:val="000000000000" w:firstRow="0" w:lastRow="0" w:firstColumn="0" w:lastColumn="0" w:oddVBand="0" w:evenVBand="0" w:oddHBand="0" w:evenHBand="0" w:firstRowFirstColumn="0" w:firstRowLastColumn="0" w:lastRowFirstColumn="0" w:lastRowLastColumn="0"/>
              <w:rPr>
                <w:rFonts w:eastAsia="Cambria" w:cs="Times New Roman"/>
                <w:sz w:val="18"/>
                <w:szCs w:val="18"/>
              </w:rPr>
            </w:pPr>
            <w:r w:rsidRPr="00924DCE">
              <w:rPr>
                <w:rFonts w:eastAsia="Cambria" w:cs="Times New Roman"/>
                <w:sz w:val="18"/>
                <w:szCs w:val="18"/>
              </w:rPr>
              <w:t>Australian-owned deposit taking institutions must be rated by S&amp;P Global (Standard &amp; Poor’s) or Moody’s. with a minimum long-term rating A</w:t>
            </w:r>
            <w:r w:rsidRPr="00924DCE" w:rsidDel="004B1769">
              <w:rPr>
                <w:rFonts w:eastAsia="Cambria" w:cs="Times New Roman"/>
                <w:sz w:val="18"/>
                <w:szCs w:val="18"/>
              </w:rPr>
              <w:t>A-</w:t>
            </w:r>
            <w:r w:rsidRPr="00924DCE">
              <w:rPr>
                <w:rFonts w:eastAsia="Cambria" w:cs="Times New Roman"/>
                <w:sz w:val="18"/>
                <w:szCs w:val="18"/>
              </w:rPr>
              <w:t xml:space="preserve"> (S&amp;P) or Aa3 (Moody’s)</w:t>
            </w:r>
          </w:p>
          <w:p w14:paraId="64ED34F9" w14:textId="6D5397FD" w:rsidR="00797D19" w:rsidRPr="00924DCE" w:rsidRDefault="00D35720" w:rsidP="008819E5">
            <w:pPr>
              <w:spacing w:beforeLines="40" w:before="96"/>
              <w:mirrorIndents/>
              <w:cnfStyle w:val="000000000000" w:firstRow="0" w:lastRow="0" w:firstColumn="0" w:lastColumn="0" w:oddVBand="0" w:evenVBand="0" w:oddHBand="0" w:evenHBand="0" w:firstRowFirstColumn="0" w:firstRowLastColumn="0" w:lastRowFirstColumn="0" w:lastRowLastColumn="0"/>
              <w:rPr>
                <w:sz w:val="18"/>
                <w:szCs w:val="18"/>
              </w:rPr>
            </w:pPr>
            <w:r w:rsidRPr="00924DCE">
              <w:rPr>
                <w:sz w:val="18"/>
                <w:szCs w:val="18"/>
              </w:rPr>
              <w:t>See Appendix 1 for further information</w:t>
            </w:r>
          </w:p>
        </w:tc>
      </w:tr>
      <w:tr w:rsidR="00517A2C" w:rsidRPr="00DA29AC" w14:paraId="23636B90" w14:textId="77777777" w:rsidTr="00924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pct"/>
          </w:tcPr>
          <w:p w14:paraId="564E8A46" w14:textId="5EC92DF2" w:rsidR="00517A2C" w:rsidRPr="00924DCE" w:rsidRDefault="00517A2C" w:rsidP="008819E5">
            <w:pPr>
              <w:spacing w:beforeLines="40" w:before="96"/>
              <w:mirrorIndents/>
              <w:rPr>
                <w:sz w:val="18"/>
                <w:szCs w:val="18"/>
              </w:rPr>
            </w:pPr>
            <w:r w:rsidRPr="00924DCE">
              <w:rPr>
                <w:sz w:val="18"/>
                <w:szCs w:val="18"/>
              </w:rPr>
              <w:t>Fund management agency</w:t>
            </w:r>
          </w:p>
        </w:tc>
        <w:tc>
          <w:tcPr>
            <w:tcW w:w="3108" w:type="pct"/>
          </w:tcPr>
          <w:p w14:paraId="17B9EA3E" w14:textId="44E4BDE2" w:rsidR="0072423B" w:rsidRPr="00924DCE" w:rsidRDefault="00D404C5" w:rsidP="008819E5">
            <w:pPr>
              <w:spacing w:beforeLines="40" w:before="96"/>
              <w:cnfStyle w:val="000000100000" w:firstRow="0" w:lastRow="0" w:firstColumn="0" w:lastColumn="0" w:oddVBand="0" w:evenVBand="0" w:oddHBand="1" w:evenHBand="0" w:firstRowFirstColumn="0" w:firstRowLastColumn="0" w:lastRowFirstColumn="0" w:lastRowLastColumn="0"/>
              <w:rPr>
                <w:rFonts w:eastAsia="Cambria" w:cs="Times New Roman"/>
                <w:sz w:val="18"/>
                <w:szCs w:val="18"/>
              </w:rPr>
            </w:pPr>
            <w:r w:rsidRPr="00924DCE">
              <w:rPr>
                <w:rFonts w:eastAsia="Cambria" w:cs="Times New Roman"/>
                <w:sz w:val="18"/>
                <w:szCs w:val="18"/>
              </w:rPr>
              <w:t>An organisation that manages the investment of a portfolio of securities on behalf of individuals and organisations, subject to the directions of the investor. Fund managers offer pooled investment products and individual portfolios to a range of investors</w:t>
            </w:r>
            <w:r w:rsidR="0072423B">
              <w:rPr>
                <w:rFonts w:eastAsia="Cambria" w:cs="Times New Roman"/>
                <w:sz w:val="18"/>
                <w:szCs w:val="18"/>
              </w:rPr>
              <w:t>.</w:t>
            </w:r>
          </w:p>
          <w:p w14:paraId="1E1B9658" w14:textId="7E987F46" w:rsidR="00293047" w:rsidRPr="00924DCE" w:rsidRDefault="00293047" w:rsidP="008819E5">
            <w:pPr>
              <w:spacing w:beforeLines="40" w:before="96"/>
              <w:cnfStyle w:val="000000100000" w:firstRow="0" w:lastRow="0" w:firstColumn="0" w:lastColumn="0" w:oddVBand="0" w:evenVBand="0" w:oddHBand="1" w:evenHBand="0" w:firstRowFirstColumn="0" w:firstRowLastColumn="0" w:lastRowFirstColumn="0" w:lastRowLastColumn="0"/>
              <w:rPr>
                <w:rFonts w:eastAsia="Cambria" w:cs="Times New Roman"/>
                <w:sz w:val="18"/>
                <w:szCs w:val="18"/>
              </w:rPr>
            </w:pPr>
          </w:p>
        </w:tc>
      </w:tr>
      <w:tr w:rsidR="00305648" w:rsidRPr="00A61027" w14:paraId="495B2F74" w14:textId="77777777" w:rsidTr="00924DCE">
        <w:tc>
          <w:tcPr>
            <w:cnfStyle w:val="001000000000" w:firstRow="0" w:lastRow="0" w:firstColumn="1" w:lastColumn="0" w:oddVBand="0" w:evenVBand="0" w:oddHBand="0" w:evenHBand="0" w:firstRowFirstColumn="0" w:firstRowLastColumn="0" w:lastRowFirstColumn="0" w:lastRowLastColumn="0"/>
            <w:tcW w:w="1892" w:type="pct"/>
          </w:tcPr>
          <w:p w14:paraId="67274CFF" w14:textId="1A98A168" w:rsidR="00305648" w:rsidRPr="00924DCE" w:rsidRDefault="00F83728" w:rsidP="008819E5">
            <w:pPr>
              <w:spacing w:beforeLines="40" w:before="96"/>
              <w:mirrorIndents/>
              <w:rPr>
                <w:sz w:val="18"/>
                <w:szCs w:val="18"/>
              </w:rPr>
            </w:pPr>
            <w:r w:rsidRPr="00924DCE">
              <w:rPr>
                <w:sz w:val="18"/>
                <w:szCs w:val="18"/>
              </w:rPr>
              <w:lastRenderedPageBreak/>
              <w:t xml:space="preserve">Managed </w:t>
            </w:r>
            <w:r w:rsidR="00F4335B" w:rsidRPr="00924DCE">
              <w:rPr>
                <w:sz w:val="18"/>
                <w:szCs w:val="18"/>
              </w:rPr>
              <w:t>investment scheme</w:t>
            </w:r>
          </w:p>
        </w:tc>
        <w:tc>
          <w:tcPr>
            <w:tcW w:w="3108" w:type="pct"/>
          </w:tcPr>
          <w:p w14:paraId="747BEA6E" w14:textId="721BD127" w:rsidR="004724D2" w:rsidRPr="00924DCE" w:rsidRDefault="005A6216" w:rsidP="008819E5">
            <w:pPr>
              <w:shd w:val="clear" w:color="auto" w:fill="FFFFFF"/>
              <w:spacing w:beforeLines="40" w:before="96"/>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24DCE">
              <w:rPr>
                <w:rFonts w:eastAsia="Times New Roman"/>
                <w:sz w:val="18"/>
                <w:szCs w:val="18"/>
              </w:rPr>
              <w:t xml:space="preserve">Managed investment schemes are also known as 'managed funds', 'pooled investments' or 'collective </w:t>
            </w:r>
            <w:proofErr w:type="gramStart"/>
            <w:r w:rsidRPr="00924DCE">
              <w:rPr>
                <w:rFonts w:eastAsia="Times New Roman"/>
                <w:sz w:val="18"/>
                <w:szCs w:val="18"/>
              </w:rPr>
              <w:t>investments'</w:t>
            </w:r>
            <w:proofErr w:type="gramEnd"/>
            <w:r w:rsidRPr="00924DCE">
              <w:rPr>
                <w:rFonts w:eastAsia="Times New Roman"/>
                <w:sz w:val="18"/>
                <w:szCs w:val="18"/>
              </w:rPr>
              <w:t xml:space="preserve">. </w:t>
            </w:r>
            <w:r w:rsidR="005B55B7">
              <w:rPr>
                <w:rFonts w:eastAsia="Times New Roman"/>
                <w:sz w:val="18"/>
                <w:szCs w:val="18"/>
              </w:rPr>
              <w:t>T</w:t>
            </w:r>
            <w:r w:rsidRPr="00924DCE">
              <w:rPr>
                <w:rFonts w:eastAsia="Times New Roman"/>
                <w:sz w:val="18"/>
                <w:szCs w:val="18"/>
              </w:rPr>
              <w:t>he terms ‘managed investment scheme’ and ‘scheme’</w:t>
            </w:r>
            <w:r w:rsidR="005B55B7">
              <w:rPr>
                <w:rFonts w:eastAsia="Times New Roman"/>
                <w:sz w:val="18"/>
                <w:szCs w:val="18"/>
              </w:rPr>
              <w:t xml:space="preserve"> are used</w:t>
            </w:r>
            <w:r w:rsidRPr="00924DCE">
              <w:rPr>
                <w:rFonts w:eastAsia="Times New Roman"/>
                <w:sz w:val="18"/>
                <w:szCs w:val="18"/>
              </w:rPr>
              <w:t xml:space="preserve"> interchangeably. </w:t>
            </w:r>
          </w:p>
          <w:p w14:paraId="02B22B88" w14:textId="16556477" w:rsidR="0097662F" w:rsidRPr="00924DCE" w:rsidRDefault="005A6216" w:rsidP="008819E5">
            <w:pPr>
              <w:shd w:val="clear" w:color="auto" w:fill="FFFFFF"/>
              <w:spacing w:beforeLines="40" w:before="96"/>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24DCE">
              <w:rPr>
                <w:rFonts w:eastAsia="Times New Roman"/>
                <w:sz w:val="18"/>
                <w:szCs w:val="18"/>
              </w:rPr>
              <w:t>Generally, in a managed investment scheme:</w:t>
            </w:r>
            <w:r w:rsidR="004724D2" w:rsidRPr="00924DCE">
              <w:rPr>
                <w:rFonts w:eastAsia="Times New Roman"/>
                <w:sz w:val="18"/>
                <w:szCs w:val="18"/>
              </w:rPr>
              <w:t xml:space="preserve"> </w:t>
            </w:r>
          </w:p>
          <w:p w14:paraId="2C80731C" w14:textId="2F2C07F6" w:rsidR="005A6216" w:rsidRPr="00924DCE" w:rsidRDefault="005A6216" w:rsidP="00F87F7D">
            <w:pPr>
              <w:pStyle w:val="ListParagraph"/>
              <w:numPr>
                <w:ilvl w:val="0"/>
                <w:numId w:val="4"/>
              </w:numPr>
              <w:shd w:val="clear" w:color="auto" w:fill="FFFFFF"/>
              <w:spacing w:beforeLines="40" w:before="96"/>
              <w:ind w:left="369" w:hanging="369"/>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24DCE">
              <w:rPr>
                <w:rFonts w:eastAsia="Times New Roman"/>
                <w:sz w:val="18"/>
                <w:szCs w:val="18"/>
              </w:rPr>
              <w:t>multiple investors contribute money or money's worth and get an interest in the scheme. 'Interests' in a scheme are a type of financial product and are regulated by the </w:t>
            </w:r>
            <w:r w:rsidR="004724D2" w:rsidRPr="00924DCE">
              <w:rPr>
                <w:rFonts w:eastAsia="Times New Roman"/>
                <w:sz w:val="18"/>
                <w:szCs w:val="18"/>
              </w:rPr>
              <w:t>C</w:t>
            </w:r>
            <w:r w:rsidRPr="00924DCE">
              <w:rPr>
                <w:rFonts w:eastAsia="Times New Roman"/>
                <w:sz w:val="18"/>
                <w:szCs w:val="18"/>
              </w:rPr>
              <w:t>orporations Act</w:t>
            </w:r>
          </w:p>
          <w:p w14:paraId="07529399" w14:textId="02519889" w:rsidR="005A6216" w:rsidRPr="00924DCE" w:rsidRDefault="005A6216" w:rsidP="00F87F7D">
            <w:pPr>
              <w:numPr>
                <w:ilvl w:val="0"/>
                <w:numId w:val="4"/>
              </w:numPr>
              <w:shd w:val="clear" w:color="auto" w:fill="FFFFFF"/>
              <w:spacing w:beforeLines="40" w:before="96"/>
              <w:ind w:left="369" w:hanging="369"/>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24DCE">
              <w:rPr>
                <w:rFonts w:eastAsia="Times New Roman"/>
                <w:sz w:val="18"/>
                <w:szCs w:val="18"/>
              </w:rPr>
              <w:t>money from the different investors is pooled together</w:t>
            </w:r>
            <w:r w:rsidR="006966AE" w:rsidRPr="00924DCE">
              <w:rPr>
                <w:rFonts w:eastAsia="Times New Roman"/>
                <w:sz w:val="18"/>
                <w:szCs w:val="18"/>
              </w:rPr>
              <w:t xml:space="preserve">.  </w:t>
            </w:r>
            <w:r w:rsidRPr="00924DCE">
              <w:rPr>
                <w:rFonts w:eastAsia="Times New Roman"/>
                <w:sz w:val="18"/>
                <w:szCs w:val="18"/>
              </w:rPr>
              <w:t>Investors do not have day-to-day control over the operation of the scheme.</w:t>
            </w:r>
          </w:p>
          <w:p w14:paraId="37FF1139" w14:textId="473A21D6" w:rsidR="00884B56" w:rsidRPr="00F4335B" w:rsidRDefault="005A6216" w:rsidP="008819E5">
            <w:pPr>
              <w:shd w:val="clear" w:color="auto" w:fill="FFFFFF"/>
              <w:spacing w:beforeLines="40" w:before="96"/>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F4335B">
              <w:rPr>
                <w:rFonts w:eastAsia="Times New Roman"/>
                <w:sz w:val="18"/>
                <w:szCs w:val="18"/>
              </w:rPr>
              <w:t>Managed investment schemes cover a wide variety of arrangements and underlying assets. Some examples of managed investment schemes include:</w:t>
            </w:r>
          </w:p>
          <w:p w14:paraId="3D836345" w14:textId="2D3A7DF6" w:rsidR="008F3FF0" w:rsidRPr="00F4335B" w:rsidRDefault="008F3FF0" w:rsidP="008819E5">
            <w:pPr>
              <w:pStyle w:val="AHPRABulletlevel1"/>
              <w:spacing w:beforeLines="40" w:before="96"/>
              <w:cnfStyle w:val="000000000000" w:firstRow="0" w:lastRow="0" w:firstColumn="0" w:lastColumn="0" w:oddVBand="0" w:evenVBand="0" w:oddHBand="0" w:evenHBand="0" w:firstRowFirstColumn="0" w:firstRowLastColumn="0" w:lastRowFirstColumn="0" w:lastRowLastColumn="0"/>
              <w:rPr>
                <w:sz w:val="18"/>
                <w:szCs w:val="18"/>
              </w:rPr>
            </w:pPr>
            <w:r w:rsidRPr="00F4335B">
              <w:rPr>
                <w:sz w:val="18"/>
                <w:szCs w:val="18"/>
              </w:rPr>
              <w:t>cash management trusts</w:t>
            </w:r>
          </w:p>
          <w:p w14:paraId="74842189" w14:textId="77777777" w:rsidR="008F3FF0" w:rsidRPr="00F4335B" w:rsidRDefault="008F3FF0" w:rsidP="008819E5">
            <w:pPr>
              <w:pStyle w:val="AHPRABulletlevel1"/>
              <w:spacing w:beforeLines="40" w:before="96"/>
              <w:cnfStyle w:val="000000000000" w:firstRow="0" w:lastRow="0" w:firstColumn="0" w:lastColumn="0" w:oddVBand="0" w:evenVBand="0" w:oddHBand="0" w:evenHBand="0" w:firstRowFirstColumn="0" w:firstRowLastColumn="0" w:lastRowFirstColumn="0" w:lastRowLastColumn="0"/>
              <w:rPr>
                <w:sz w:val="18"/>
                <w:szCs w:val="18"/>
              </w:rPr>
            </w:pPr>
            <w:r w:rsidRPr="00F4335B">
              <w:rPr>
                <w:sz w:val="18"/>
                <w:szCs w:val="18"/>
              </w:rPr>
              <w:t>property schemes</w:t>
            </w:r>
          </w:p>
          <w:p w14:paraId="0C076BF3" w14:textId="77777777" w:rsidR="008F3FF0" w:rsidRPr="00F4335B" w:rsidRDefault="008F3FF0" w:rsidP="008819E5">
            <w:pPr>
              <w:pStyle w:val="AHPRABulletlevel1"/>
              <w:spacing w:beforeLines="40" w:before="96"/>
              <w:cnfStyle w:val="000000000000" w:firstRow="0" w:lastRow="0" w:firstColumn="0" w:lastColumn="0" w:oddVBand="0" w:evenVBand="0" w:oddHBand="0" w:evenHBand="0" w:firstRowFirstColumn="0" w:firstRowLastColumn="0" w:lastRowFirstColumn="0" w:lastRowLastColumn="0"/>
              <w:rPr>
                <w:sz w:val="18"/>
                <w:szCs w:val="18"/>
              </w:rPr>
            </w:pPr>
            <w:r w:rsidRPr="00F4335B">
              <w:rPr>
                <w:sz w:val="18"/>
                <w:szCs w:val="18"/>
              </w:rPr>
              <w:t>Australian equity (share) schemes</w:t>
            </w:r>
          </w:p>
          <w:p w14:paraId="69C1C2CD" w14:textId="01B75E71" w:rsidR="00305648" w:rsidRPr="00924DCE" w:rsidRDefault="008F3FF0" w:rsidP="008819E5">
            <w:pPr>
              <w:pStyle w:val="AHPRABulletlevel1"/>
              <w:spacing w:beforeLines="40" w:before="96"/>
              <w:cnfStyle w:val="000000000000" w:firstRow="0" w:lastRow="0" w:firstColumn="0" w:lastColumn="0" w:oddVBand="0" w:evenVBand="0" w:oddHBand="0" w:evenHBand="0" w:firstRowFirstColumn="0" w:firstRowLastColumn="0" w:lastRowFirstColumn="0" w:lastRowLastColumn="0"/>
            </w:pPr>
            <w:r w:rsidRPr="00F4335B">
              <w:rPr>
                <w:sz w:val="18"/>
                <w:szCs w:val="18"/>
              </w:rPr>
              <w:t>international</w:t>
            </w:r>
            <w:r w:rsidRPr="00924DCE">
              <w:t xml:space="preserve"> equity schemes</w:t>
            </w:r>
            <w:r w:rsidR="00F4335B">
              <w:t>.</w:t>
            </w:r>
          </w:p>
        </w:tc>
      </w:tr>
    </w:tbl>
    <w:p w14:paraId="6EAD77DF" w14:textId="0941DEFE" w:rsidR="006F2F4C" w:rsidRDefault="006F2F4C" w:rsidP="00892C7E">
      <w:pPr>
        <w:pStyle w:val="AHPRADocumentsubheading"/>
      </w:pPr>
      <w:r w:rsidRPr="00892C7E">
        <w:t>Document</w:t>
      </w:r>
      <w:r w:rsidRPr="00A61027">
        <w:t xml:space="preserve"> control</w:t>
      </w:r>
    </w:p>
    <w:tbl>
      <w:tblPr>
        <w:tblW w:w="5161" w:type="pct"/>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left w:w="0" w:type="dxa"/>
          <w:right w:w="0" w:type="dxa"/>
        </w:tblCellMar>
        <w:tblLook w:val="01E0" w:firstRow="1" w:lastRow="1" w:firstColumn="1" w:lastColumn="1" w:noHBand="0" w:noVBand="0"/>
      </w:tblPr>
      <w:tblGrid>
        <w:gridCol w:w="2330"/>
        <w:gridCol w:w="7594"/>
      </w:tblGrid>
      <w:tr w:rsidR="002F7997" w14:paraId="0A61EFC4" w14:textId="77777777" w:rsidTr="00924DCE">
        <w:trPr>
          <w:trHeight w:hRule="exact" w:val="596"/>
        </w:trPr>
        <w:tc>
          <w:tcPr>
            <w:tcW w:w="1174" w:type="pct"/>
          </w:tcPr>
          <w:p w14:paraId="65DFF919" w14:textId="520C5C67" w:rsidR="002F7997" w:rsidRPr="00884B56" w:rsidRDefault="002F7997" w:rsidP="008819E5">
            <w:pPr>
              <w:pStyle w:val="TableParagraph"/>
              <w:spacing w:beforeLines="40" w:before="96" w:line="240" w:lineRule="auto"/>
              <w:ind w:left="0"/>
              <w:mirrorIndents/>
              <w:rPr>
                <w:b/>
                <w:sz w:val="20"/>
              </w:rPr>
            </w:pPr>
            <w:r w:rsidRPr="00884B56">
              <w:rPr>
                <w:b/>
                <w:sz w:val="20"/>
              </w:rPr>
              <w:t xml:space="preserve">Approval </w:t>
            </w:r>
            <w:r w:rsidR="00F4335B">
              <w:rPr>
                <w:b/>
                <w:sz w:val="20"/>
              </w:rPr>
              <w:t>a</w:t>
            </w:r>
            <w:r w:rsidRPr="00884B56">
              <w:rPr>
                <w:b/>
                <w:sz w:val="20"/>
              </w:rPr>
              <w:t>uthority</w:t>
            </w:r>
          </w:p>
        </w:tc>
        <w:tc>
          <w:tcPr>
            <w:tcW w:w="3826" w:type="pct"/>
          </w:tcPr>
          <w:p w14:paraId="5C642EBD" w14:textId="58294863" w:rsidR="002F7997" w:rsidRPr="00884B56" w:rsidRDefault="00FD35D8" w:rsidP="008819E5">
            <w:pPr>
              <w:pStyle w:val="TableParagraph"/>
              <w:spacing w:beforeLines="40" w:before="96" w:line="240" w:lineRule="auto"/>
              <w:ind w:left="0"/>
              <w:mirrorIndents/>
              <w:rPr>
                <w:sz w:val="20"/>
              </w:rPr>
            </w:pPr>
            <w:r w:rsidRPr="00884B56">
              <w:rPr>
                <w:sz w:val="20"/>
              </w:rPr>
              <w:t>Agency Management Committee</w:t>
            </w:r>
          </w:p>
        </w:tc>
      </w:tr>
      <w:tr w:rsidR="00805264" w14:paraId="3EE294F5" w14:textId="77777777" w:rsidTr="00924DCE">
        <w:trPr>
          <w:trHeight w:hRule="exact" w:val="596"/>
        </w:trPr>
        <w:tc>
          <w:tcPr>
            <w:tcW w:w="1174" w:type="pct"/>
          </w:tcPr>
          <w:p w14:paraId="3EE294F3" w14:textId="5965B908" w:rsidR="00805264" w:rsidRPr="00884B56" w:rsidRDefault="00396704" w:rsidP="008819E5">
            <w:pPr>
              <w:pStyle w:val="TableParagraph"/>
              <w:spacing w:beforeLines="40" w:before="96" w:line="240" w:lineRule="auto"/>
              <w:ind w:left="0"/>
              <w:mirrorIndents/>
              <w:rPr>
                <w:b/>
                <w:sz w:val="20"/>
              </w:rPr>
            </w:pPr>
            <w:r w:rsidRPr="00884B56">
              <w:rPr>
                <w:b/>
                <w:sz w:val="20"/>
              </w:rPr>
              <w:t xml:space="preserve">Policy </w:t>
            </w:r>
            <w:r w:rsidR="00F4335B">
              <w:rPr>
                <w:b/>
                <w:sz w:val="20"/>
              </w:rPr>
              <w:t>o</w:t>
            </w:r>
            <w:r w:rsidRPr="00884B56">
              <w:rPr>
                <w:b/>
                <w:sz w:val="20"/>
              </w:rPr>
              <w:t>wner</w:t>
            </w:r>
          </w:p>
        </w:tc>
        <w:tc>
          <w:tcPr>
            <w:tcW w:w="3826" w:type="pct"/>
          </w:tcPr>
          <w:p w14:paraId="3EE294F4" w14:textId="77777777" w:rsidR="00805264" w:rsidRPr="00884B56" w:rsidRDefault="00396704" w:rsidP="008819E5">
            <w:pPr>
              <w:pStyle w:val="TableParagraph"/>
              <w:spacing w:beforeLines="40" w:before="96" w:line="240" w:lineRule="auto"/>
              <w:ind w:left="0"/>
              <w:mirrorIndents/>
              <w:rPr>
                <w:sz w:val="20"/>
              </w:rPr>
            </w:pPr>
            <w:r w:rsidRPr="00884B56">
              <w:rPr>
                <w:sz w:val="20"/>
              </w:rPr>
              <w:t>Chief Financial Officer</w:t>
            </w:r>
          </w:p>
        </w:tc>
      </w:tr>
      <w:tr w:rsidR="00805264" w14:paraId="3EE294F8" w14:textId="77777777" w:rsidTr="00924DCE">
        <w:trPr>
          <w:trHeight w:hRule="exact" w:val="596"/>
        </w:trPr>
        <w:tc>
          <w:tcPr>
            <w:tcW w:w="1174" w:type="pct"/>
          </w:tcPr>
          <w:p w14:paraId="3EE294F6" w14:textId="66A314AE" w:rsidR="00805264" w:rsidRPr="00884B56" w:rsidRDefault="00396704" w:rsidP="008819E5">
            <w:pPr>
              <w:pStyle w:val="TableParagraph"/>
              <w:spacing w:beforeLines="40" w:before="96" w:line="240" w:lineRule="auto"/>
              <w:ind w:left="0"/>
              <w:mirrorIndents/>
              <w:rPr>
                <w:b/>
                <w:sz w:val="20"/>
              </w:rPr>
            </w:pPr>
            <w:r w:rsidRPr="00884B56">
              <w:rPr>
                <w:b/>
                <w:sz w:val="20"/>
              </w:rPr>
              <w:t xml:space="preserve">Policy </w:t>
            </w:r>
            <w:r w:rsidR="00F4335B">
              <w:rPr>
                <w:b/>
                <w:sz w:val="20"/>
              </w:rPr>
              <w:t>n</w:t>
            </w:r>
            <w:r w:rsidRPr="00884B56">
              <w:rPr>
                <w:b/>
                <w:sz w:val="20"/>
              </w:rPr>
              <w:t>umber</w:t>
            </w:r>
          </w:p>
        </w:tc>
        <w:tc>
          <w:tcPr>
            <w:tcW w:w="3826" w:type="pct"/>
          </w:tcPr>
          <w:p w14:paraId="3EE294F7" w14:textId="77777777" w:rsidR="00805264" w:rsidRPr="00884B56" w:rsidRDefault="00396704" w:rsidP="008819E5">
            <w:pPr>
              <w:pStyle w:val="TableParagraph"/>
              <w:spacing w:beforeLines="40" w:before="96" w:line="240" w:lineRule="auto"/>
              <w:ind w:left="0"/>
              <w:mirrorIndents/>
              <w:rPr>
                <w:sz w:val="20"/>
              </w:rPr>
            </w:pPr>
            <w:r w:rsidRPr="00884B56">
              <w:rPr>
                <w:sz w:val="20"/>
              </w:rPr>
              <w:t>TBC</w:t>
            </w:r>
          </w:p>
        </w:tc>
      </w:tr>
      <w:tr w:rsidR="00805264" w14:paraId="3EE294FB" w14:textId="77777777" w:rsidTr="00924DCE">
        <w:trPr>
          <w:trHeight w:hRule="exact" w:val="596"/>
        </w:trPr>
        <w:tc>
          <w:tcPr>
            <w:tcW w:w="1174" w:type="pct"/>
          </w:tcPr>
          <w:p w14:paraId="3EE294F9" w14:textId="29491936" w:rsidR="00805264" w:rsidRPr="00884B56" w:rsidRDefault="00396704" w:rsidP="008819E5">
            <w:pPr>
              <w:pStyle w:val="TableParagraph"/>
              <w:spacing w:beforeLines="40" w:before="96" w:line="240" w:lineRule="auto"/>
              <w:ind w:left="0"/>
              <w:mirrorIndents/>
              <w:rPr>
                <w:b/>
                <w:sz w:val="20"/>
              </w:rPr>
            </w:pPr>
            <w:r w:rsidRPr="00884B56">
              <w:rPr>
                <w:b/>
                <w:sz w:val="20"/>
              </w:rPr>
              <w:t xml:space="preserve">Date </w:t>
            </w:r>
            <w:r w:rsidR="00F4335B">
              <w:rPr>
                <w:b/>
                <w:sz w:val="20"/>
              </w:rPr>
              <w:t>a</w:t>
            </w:r>
            <w:r w:rsidRPr="00884B56">
              <w:rPr>
                <w:b/>
                <w:sz w:val="20"/>
              </w:rPr>
              <w:t>pproved</w:t>
            </w:r>
          </w:p>
        </w:tc>
        <w:tc>
          <w:tcPr>
            <w:tcW w:w="3826" w:type="pct"/>
          </w:tcPr>
          <w:p w14:paraId="3EE294FA" w14:textId="77777777" w:rsidR="00805264" w:rsidRPr="00884B56" w:rsidRDefault="00396704" w:rsidP="008819E5">
            <w:pPr>
              <w:pStyle w:val="TableParagraph"/>
              <w:spacing w:beforeLines="40" w:before="96" w:line="240" w:lineRule="auto"/>
              <w:ind w:left="0"/>
              <w:mirrorIndents/>
              <w:rPr>
                <w:sz w:val="20"/>
              </w:rPr>
            </w:pPr>
            <w:r w:rsidRPr="00884B56">
              <w:rPr>
                <w:sz w:val="20"/>
              </w:rPr>
              <w:t>TBC</w:t>
            </w:r>
          </w:p>
        </w:tc>
      </w:tr>
      <w:tr w:rsidR="00805264" w14:paraId="3EE294FE" w14:textId="77777777" w:rsidTr="00924DCE">
        <w:trPr>
          <w:trHeight w:hRule="exact" w:val="593"/>
        </w:trPr>
        <w:tc>
          <w:tcPr>
            <w:tcW w:w="1174" w:type="pct"/>
          </w:tcPr>
          <w:p w14:paraId="3EE294FC" w14:textId="15C6EEC6" w:rsidR="00805264" w:rsidRPr="00884B56" w:rsidRDefault="00396704" w:rsidP="008819E5">
            <w:pPr>
              <w:pStyle w:val="TableParagraph"/>
              <w:spacing w:beforeLines="40" w:before="96" w:line="240" w:lineRule="auto"/>
              <w:ind w:left="0"/>
              <w:mirrorIndents/>
              <w:rPr>
                <w:b/>
                <w:sz w:val="20"/>
              </w:rPr>
            </w:pPr>
            <w:r w:rsidRPr="00884B56">
              <w:rPr>
                <w:b/>
                <w:sz w:val="20"/>
              </w:rPr>
              <w:t xml:space="preserve">Date </w:t>
            </w:r>
            <w:r w:rsidR="00F4335B">
              <w:rPr>
                <w:b/>
                <w:sz w:val="20"/>
              </w:rPr>
              <w:t>c</w:t>
            </w:r>
            <w:r w:rsidRPr="00884B56">
              <w:rPr>
                <w:b/>
                <w:sz w:val="20"/>
              </w:rPr>
              <w:t>ommenced</w:t>
            </w:r>
          </w:p>
        </w:tc>
        <w:tc>
          <w:tcPr>
            <w:tcW w:w="3826" w:type="pct"/>
          </w:tcPr>
          <w:p w14:paraId="3EE294FD" w14:textId="77777777" w:rsidR="00805264" w:rsidRPr="00884B56" w:rsidRDefault="00396704" w:rsidP="008819E5">
            <w:pPr>
              <w:pStyle w:val="TableParagraph"/>
              <w:spacing w:beforeLines="40" w:before="96" w:line="240" w:lineRule="auto"/>
              <w:ind w:left="0"/>
              <w:mirrorIndents/>
              <w:rPr>
                <w:sz w:val="20"/>
              </w:rPr>
            </w:pPr>
            <w:r w:rsidRPr="00884B56">
              <w:rPr>
                <w:sz w:val="20"/>
              </w:rPr>
              <w:t>TBC</w:t>
            </w:r>
          </w:p>
        </w:tc>
      </w:tr>
      <w:tr w:rsidR="00805264" w14:paraId="3EE29501" w14:textId="77777777" w:rsidTr="00924DCE">
        <w:trPr>
          <w:trHeight w:hRule="exact" w:val="596"/>
        </w:trPr>
        <w:tc>
          <w:tcPr>
            <w:tcW w:w="1174" w:type="pct"/>
          </w:tcPr>
          <w:p w14:paraId="3EE294FF" w14:textId="4F33A96A" w:rsidR="00805264" w:rsidRPr="00884B56" w:rsidRDefault="00396704" w:rsidP="008819E5">
            <w:pPr>
              <w:pStyle w:val="TableParagraph"/>
              <w:spacing w:beforeLines="40" w:before="96" w:line="240" w:lineRule="auto"/>
              <w:ind w:left="0"/>
              <w:mirrorIndents/>
              <w:rPr>
                <w:b/>
                <w:sz w:val="20"/>
              </w:rPr>
            </w:pPr>
            <w:r w:rsidRPr="00884B56">
              <w:rPr>
                <w:b/>
                <w:sz w:val="20"/>
              </w:rPr>
              <w:t xml:space="preserve">Date </w:t>
            </w:r>
            <w:r w:rsidR="00F4335B" w:rsidRPr="00884B56">
              <w:rPr>
                <w:b/>
                <w:sz w:val="20"/>
              </w:rPr>
              <w:t>last a</w:t>
            </w:r>
            <w:r w:rsidRPr="00884B56">
              <w:rPr>
                <w:b/>
                <w:sz w:val="20"/>
              </w:rPr>
              <w:t>mended</w:t>
            </w:r>
          </w:p>
        </w:tc>
        <w:tc>
          <w:tcPr>
            <w:tcW w:w="3826" w:type="pct"/>
          </w:tcPr>
          <w:p w14:paraId="3EE29500" w14:textId="77777777" w:rsidR="00805264" w:rsidRPr="00884B56" w:rsidRDefault="00396704" w:rsidP="008819E5">
            <w:pPr>
              <w:pStyle w:val="TableParagraph"/>
              <w:spacing w:beforeLines="40" w:before="96" w:line="240" w:lineRule="auto"/>
              <w:ind w:left="0"/>
              <w:mirrorIndents/>
              <w:rPr>
                <w:sz w:val="20"/>
              </w:rPr>
            </w:pPr>
            <w:r w:rsidRPr="00884B56">
              <w:rPr>
                <w:sz w:val="20"/>
              </w:rPr>
              <w:t>N/A</w:t>
            </w:r>
          </w:p>
        </w:tc>
      </w:tr>
      <w:tr w:rsidR="00805264" w14:paraId="3EE29504" w14:textId="77777777" w:rsidTr="00924DCE">
        <w:trPr>
          <w:trHeight w:hRule="exact" w:val="596"/>
        </w:trPr>
        <w:tc>
          <w:tcPr>
            <w:tcW w:w="1174" w:type="pct"/>
          </w:tcPr>
          <w:p w14:paraId="3EE29502" w14:textId="23F7D74C" w:rsidR="00805264" w:rsidRPr="00884B56" w:rsidRDefault="00396704" w:rsidP="008819E5">
            <w:pPr>
              <w:pStyle w:val="TableParagraph"/>
              <w:spacing w:beforeLines="40" w:before="96" w:line="240" w:lineRule="auto"/>
              <w:ind w:left="0"/>
              <w:mirrorIndents/>
              <w:rPr>
                <w:b/>
                <w:sz w:val="20"/>
              </w:rPr>
            </w:pPr>
            <w:r w:rsidRPr="00884B56">
              <w:rPr>
                <w:b/>
                <w:sz w:val="20"/>
              </w:rPr>
              <w:t xml:space="preserve">Date for </w:t>
            </w:r>
            <w:r w:rsidR="00F4335B">
              <w:rPr>
                <w:b/>
                <w:sz w:val="20"/>
              </w:rPr>
              <w:t>r</w:t>
            </w:r>
            <w:r w:rsidRPr="00884B56">
              <w:rPr>
                <w:b/>
                <w:sz w:val="20"/>
              </w:rPr>
              <w:t>eview</w:t>
            </w:r>
          </w:p>
        </w:tc>
        <w:tc>
          <w:tcPr>
            <w:tcW w:w="3826" w:type="pct"/>
          </w:tcPr>
          <w:p w14:paraId="3EE29503" w14:textId="1D2BF8B9" w:rsidR="00805264" w:rsidRPr="00884B56" w:rsidRDefault="001B5AEC" w:rsidP="008819E5">
            <w:pPr>
              <w:pStyle w:val="TableParagraph"/>
              <w:spacing w:beforeLines="40" w:before="96" w:line="240" w:lineRule="auto"/>
              <w:ind w:left="0"/>
              <w:mirrorIndents/>
              <w:rPr>
                <w:sz w:val="20"/>
              </w:rPr>
            </w:pPr>
            <w:r>
              <w:rPr>
                <w:sz w:val="20"/>
              </w:rPr>
              <w:t>Dec</w:t>
            </w:r>
            <w:r w:rsidRPr="00884B56">
              <w:rPr>
                <w:sz w:val="20"/>
              </w:rPr>
              <w:t xml:space="preserve"> </w:t>
            </w:r>
            <w:r w:rsidR="00396704" w:rsidRPr="00884B56">
              <w:rPr>
                <w:sz w:val="20"/>
              </w:rPr>
              <w:t>2022</w:t>
            </w:r>
          </w:p>
        </w:tc>
      </w:tr>
      <w:tr w:rsidR="00805264" w14:paraId="3EE29507" w14:textId="77777777" w:rsidTr="00924DCE">
        <w:trPr>
          <w:trHeight w:hRule="exact" w:val="596"/>
        </w:trPr>
        <w:tc>
          <w:tcPr>
            <w:tcW w:w="1174" w:type="pct"/>
          </w:tcPr>
          <w:p w14:paraId="3EE29505" w14:textId="2A029FD5" w:rsidR="00805264" w:rsidRPr="00884B56" w:rsidRDefault="00396704" w:rsidP="008819E5">
            <w:pPr>
              <w:pStyle w:val="TableParagraph"/>
              <w:spacing w:beforeLines="40" w:before="96" w:line="240" w:lineRule="auto"/>
              <w:ind w:left="0"/>
              <w:mirrorIndents/>
              <w:rPr>
                <w:b/>
                <w:sz w:val="20"/>
              </w:rPr>
            </w:pPr>
            <w:r w:rsidRPr="00884B56">
              <w:rPr>
                <w:b/>
                <w:sz w:val="20"/>
              </w:rPr>
              <w:t xml:space="preserve">Policy </w:t>
            </w:r>
            <w:r w:rsidR="00F4335B">
              <w:rPr>
                <w:b/>
                <w:sz w:val="20"/>
              </w:rPr>
              <w:t>s</w:t>
            </w:r>
            <w:r w:rsidRPr="00884B56">
              <w:rPr>
                <w:b/>
                <w:sz w:val="20"/>
              </w:rPr>
              <w:t>ponsor</w:t>
            </w:r>
          </w:p>
        </w:tc>
        <w:tc>
          <w:tcPr>
            <w:tcW w:w="3826" w:type="pct"/>
          </w:tcPr>
          <w:p w14:paraId="3EE29506" w14:textId="77777777" w:rsidR="00805264" w:rsidRPr="00884B56" w:rsidRDefault="00396704" w:rsidP="008819E5">
            <w:pPr>
              <w:pStyle w:val="TableParagraph"/>
              <w:spacing w:beforeLines="40" w:before="96" w:line="240" w:lineRule="auto"/>
              <w:ind w:left="0"/>
              <w:mirrorIndents/>
              <w:rPr>
                <w:sz w:val="20"/>
              </w:rPr>
            </w:pPr>
            <w:r w:rsidRPr="00884B56">
              <w:rPr>
                <w:sz w:val="20"/>
              </w:rPr>
              <w:t>Chief Financial Officer</w:t>
            </w:r>
          </w:p>
        </w:tc>
      </w:tr>
      <w:tr w:rsidR="00805264" w14:paraId="3EE2950A" w14:textId="77777777" w:rsidTr="008819E5">
        <w:trPr>
          <w:trHeight w:hRule="exact" w:val="3308"/>
        </w:trPr>
        <w:tc>
          <w:tcPr>
            <w:tcW w:w="1174" w:type="pct"/>
          </w:tcPr>
          <w:p w14:paraId="3EE29508" w14:textId="2B7EA43A" w:rsidR="00805264" w:rsidRPr="00884B56" w:rsidRDefault="00396704" w:rsidP="008819E5">
            <w:pPr>
              <w:pStyle w:val="TableParagraph"/>
              <w:spacing w:beforeLines="40" w:before="96" w:line="240" w:lineRule="auto"/>
              <w:ind w:left="0"/>
              <w:mirrorIndents/>
              <w:rPr>
                <w:b/>
                <w:sz w:val="20"/>
              </w:rPr>
            </w:pPr>
            <w:r w:rsidRPr="00884B56">
              <w:rPr>
                <w:b/>
                <w:sz w:val="20"/>
              </w:rPr>
              <w:t xml:space="preserve">Amendment </w:t>
            </w:r>
            <w:r w:rsidR="00F4335B">
              <w:rPr>
                <w:b/>
                <w:sz w:val="20"/>
              </w:rPr>
              <w:t>h</w:t>
            </w:r>
            <w:r w:rsidRPr="00884B56">
              <w:rPr>
                <w:b/>
                <w:sz w:val="20"/>
              </w:rPr>
              <w:t>istory</w:t>
            </w:r>
          </w:p>
        </w:tc>
        <w:tc>
          <w:tcPr>
            <w:tcW w:w="3826" w:type="pct"/>
          </w:tcPr>
          <w:p w14:paraId="431EA1A5" w14:textId="2095011B" w:rsidR="002833B0" w:rsidRPr="00924DCE" w:rsidRDefault="002833B0" w:rsidP="008819E5">
            <w:pPr>
              <w:pStyle w:val="TableParagraph"/>
              <w:spacing w:beforeLines="40" w:before="96" w:line="249" w:lineRule="auto"/>
              <w:ind w:left="0"/>
              <w:mirrorIndents/>
              <w:rPr>
                <w:i/>
                <w:iCs/>
                <w:sz w:val="20"/>
              </w:rPr>
            </w:pPr>
            <w:r w:rsidRPr="00924DCE">
              <w:rPr>
                <w:i/>
                <w:iCs/>
                <w:sz w:val="20"/>
              </w:rPr>
              <w:t>Amended principles</w:t>
            </w:r>
            <w:r w:rsidR="000F7936" w:rsidRPr="00924DCE">
              <w:rPr>
                <w:i/>
                <w:iCs/>
                <w:sz w:val="20"/>
              </w:rPr>
              <w:t xml:space="preserve"> for consistency with Instrument of Delegations and consistency in corporate policy</w:t>
            </w:r>
            <w:r w:rsidR="007D5024" w:rsidRPr="00924DCE">
              <w:rPr>
                <w:i/>
                <w:iCs/>
                <w:sz w:val="20"/>
              </w:rPr>
              <w:t xml:space="preserve">, and inclusion of </w:t>
            </w:r>
            <w:proofErr w:type="spellStart"/>
            <w:r w:rsidR="007D5024" w:rsidRPr="00924DCE">
              <w:rPr>
                <w:i/>
                <w:iCs/>
                <w:sz w:val="20"/>
              </w:rPr>
              <w:t>CoI</w:t>
            </w:r>
            <w:proofErr w:type="spellEnd"/>
            <w:r w:rsidR="007D5024" w:rsidRPr="00924DCE">
              <w:rPr>
                <w:i/>
                <w:iCs/>
                <w:sz w:val="20"/>
              </w:rPr>
              <w:t xml:space="preserve"> and ESG principle</w:t>
            </w:r>
            <w:r w:rsidR="009A40CC">
              <w:rPr>
                <w:i/>
                <w:iCs/>
                <w:sz w:val="20"/>
              </w:rPr>
              <w:t>s</w:t>
            </w:r>
            <w:r w:rsidR="000F7936" w:rsidRPr="00924DCE">
              <w:rPr>
                <w:i/>
                <w:iCs/>
                <w:sz w:val="20"/>
              </w:rPr>
              <w:t xml:space="preserve">  </w:t>
            </w:r>
          </w:p>
          <w:p w14:paraId="092C1894" w14:textId="77777777" w:rsidR="002833B0" w:rsidRPr="00924DCE" w:rsidRDefault="002833B0" w:rsidP="008819E5">
            <w:pPr>
              <w:pStyle w:val="TableParagraph"/>
              <w:spacing w:beforeLines="40" w:before="96" w:line="249" w:lineRule="auto"/>
              <w:ind w:left="0"/>
              <w:mirrorIndents/>
              <w:rPr>
                <w:i/>
                <w:iCs/>
                <w:sz w:val="20"/>
              </w:rPr>
            </w:pPr>
            <w:r w:rsidRPr="00924DCE">
              <w:rPr>
                <w:i/>
                <w:iCs/>
                <w:sz w:val="20"/>
              </w:rPr>
              <w:t>Amended objectives and strategies to allow investment in marked to market assets</w:t>
            </w:r>
          </w:p>
          <w:p w14:paraId="3FB4EB65" w14:textId="5A36878E" w:rsidR="00805264" w:rsidRPr="00924DCE" w:rsidRDefault="002833B0" w:rsidP="008819E5">
            <w:pPr>
              <w:pStyle w:val="TableParagraph"/>
              <w:spacing w:beforeLines="40" w:before="96" w:line="249" w:lineRule="auto"/>
              <w:ind w:left="0"/>
              <w:mirrorIndents/>
              <w:rPr>
                <w:i/>
                <w:iCs/>
                <w:sz w:val="20"/>
              </w:rPr>
            </w:pPr>
            <w:r w:rsidRPr="00924DCE">
              <w:rPr>
                <w:i/>
                <w:iCs/>
                <w:sz w:val="20"/>
              </w:rPr>
              <w:t>Added investment risks and controls</w:t>
            </w:r>
          </w:p>
          <w:p w14:paraId="0A709A83" w14:textId="77777777" w:rsidR="0019303E" w:rsidRPr="00924DCE" w:rsidRDefault="0019303E" w:rsidP="008819E5">
            <w:pPr>
              <w:pStyle w:val="TableParagraph"/>
              <w:spacing w:beforeLines="40" w:before="96" w:line="249" w:lineRule="auto"/>
              <w:ind w:left="0"/>
              <w:mirrorIndents/>
              <w:rPr>
                <w:i/>
                <w:iCs/>
                <w:sz w:val="20"/>
              </w:rPr>
            </w:pPr>
            <w:r w:rsidRPr="00924DCE">
              <w:rPr>
                <w:i/>
                <w:iCs/>
                <w:sz w:val="20"/>
              </w:rPr>
              <w:t xml:space="preserve">Amend </w:t>
            </w:r>
            <w:r w:rsidR="00860331" w:rsidRPr="00924DCE">
              <w:rPr>
                <w:i/>
                <w:iCs/>
                <w:sz w:val="20"/>
              </w:rPr>
              <w:t xml:space="preserve">SAA </w:t>
            </w:r>
            <w:r w:rsidR="00463FA4" w:rsidRPr="00924DCE">
              <w:rPr>
                <w:i/>
                <w:iCs/>
                <w:sz w:val="20"/>
              </w:rPr>
              <w:t>tables</w:t>
            </w:r>
            <w:r w:rsidR="00324B61" w:rsidRPr="00924DCE">
              <w:rPr>
                <w:i/>
                <w:iCs/>
                <w:sz w:val="20"/>
              </w:rPr>
              <w:t xml:space="preserve"> and </w:t>
            </w:r>
            <w:r w:rsidR="00F805D1" w:rsidRPr="00924DCE">
              <w:rPr>
                <w:i/>
                <w:iCs/>
                <w:sz w:val="20"/>
              </w:rPr>
              <w:t xml:space="preserve">edits </w:t>
            </w:r>
            <w:r w:rsidR="00463FA4" w:rsidRPr="00924DCE">
              <w:rPr>
                <w:i/>
                <w:iCs/>
                <w:sz w:val="20"/>
              </w:rPr>
              <w:t>in Appendix 1 to reflect policy changes</w:t>
            </w:r>
            <w:r w:rsidR="00651241" w:rsidRPr="00924DCE">
              <w:rPr>
                <w:i/>
                <w:iCs/>
                <w:sz w:val="20"/>
              </w:rPr>
              <w:t xml:space="preserve">, remove barriers to optimize investment allocation and </w:t>
            </w:r>
            <w:r w:rsidR="00324B61" w:rsidRPr="00924DCE">
              <w:rPr>
                <w:i/>
                <w:iCs/>
                <w:sz w:val="20"/>
              </w:rPr>
              <w:t xml:space="preserve">improve clarity for the </w:t>
            </w:r>
            <w:r w:rsidR="00651241" w:rsidRPr="00924DCE">
              <w:rPr>
                <w:i/>
                <w:iCs/>
                <w:sz w:val="20"/>
              </w:rPr>
              <w:t>readers</w:t>
            </w:r>
          </w:p>
          <w:p w14:paraId="179912B8" w14:textId="77777777" w:rsidR="00866870" w:rsidRDefault="00866870" w:rsidP="00892C7E">
            <w:pPr>
              <w:pStyle w:val="TableParagraph"/>
              <w:spacing w:after="200" w:line="240" w:lineRule="auto"/>
              <w:ind w:left="0"/>
              <w:mirrorIndents/>
              <w:rPr>
                <w:i/>
                <w:iCs/>
                <w:sz w:val="20"/>
              </w:rPr>
            </w:pPr>
            <w:r w:rsidRPr="00924DCE">
              <w:rPr>
                <w:i/>
                <w:iCs/>
                <w:sz w:val="20"/>
              </w:rPr>
              <w:t xml:space="preserve">Amended for FARMC feedback and independent investment advice </w:t>
            </w:r>
            <w:r w:rsidR="001B5AEC" w:rsidRPr="00924DCE">
              <w:rPr>
                <w:i/>
                <w:iCs/>
                <w:sz w:val="20"/>
              </w:rPr>
              <w:t>from Frontier</w:t>
            </w:r>
          </w:p>
          <w:p w14:paraId="666FE572" w14:textId="77777777" w:rsidR="00163C24" w:rsidRPr="00892C7E" w:rsidRDefault="00163C24" w:rsidP="00892C7E">
            <w:pPr>
              <w:pStyle w:val="AHPRABulletlevel1"/>
              <w:ind w:left="369" w:hanging="369"/>
            </w:pPr>
            <w:r w:rsidRPr="00892C7E">
              <w:t>Clarify the method of investment is via units in managed fund/s</w:t>
            </w:r>
          </w:p>
          <w:p w14:paraId="6DC246FD" w14:textId="77777777" w:rsidR="00163C24" w:rsidRPr="00892C7E" w:rsidRDefault="00163C24" w:rsidP="00892C7E">
            <w:pPr>
              <w:pStyle w:val="AHPRABulletlevel1"/>
              <w:ind w:left="369" w:hanging="369"/>
            </w:pPr>
            <w:r w:rsidRPr="00892C7E">
              <w:t>Simply the financial assets into working capital and investing capital</w:t>
            </w:r>
          </w:p>
          <w:p w14:paraId="3EE29509" w14:textId="1DD1A3E4" w:rsidR="00163C24" w:rsidRPr="00884B56" w:rsidRDefault="00163C24" w:rsidP="00892C7E">
            <w:pPr>
              <w:pStyle w:val="AHPRABulletlevel1"/>
              <w:ind w:left="369" w:hanging="369"/>
            </w:pPr>
            <w:r w:rsidRPr="00892C7E">
              <w:t>Clarify</w:t>
            </w:r>
            <w:r>
              <w:t xml:space="preserve"> the environmental, social and governance Risk controls </w:t>
            </w:r>
          </w:p>
        </w:tc>
      </w:tr>
    </w:tbl>
    <w:p w14:paraId="5FC0E615" w14:textId="1211D8A3" w:rsidR="00F27C03" w:rsidRPr="004A56D5" w:rsidRDefault="00F27C03" w:rsidP="008819E5">
      <w:pPr>
        <w:spacing w:beforeLines="40" w:before="96"/>
        <w:rPr>
          <w:sz w:val="18"/>
        </w:rPr>
      </w:pPr>
      <w:bookmarkStart w:id="4" w:name="AHPRA_Investment_Allocations_-_Appendix_"/>
      <w:bookmarkStart w:id="5" w:name="Investment_allocation"/>
      <w:bookmarkEnd w:id="4"/>
      <w:bookmarkEnd w:id="5"/>
    </w:p>
    <w:sectPr w:rsidR="00F27C03" w:rsidRPr="004A56D5" w:rsidSect="00AF061B">
      <w:headerReference w:type="even" r:id="rId19"/>
      <w:headerReference w:type="default" r:id="rId20"/>
      <w:footerReference w:type="even" r:id="rId21"/>
      <w:footerReference w:type="default" r:id="rId22"/>
      <w:headerReference w:type="first" r:id="rId23"/>
      <w:footerReference w:type="first" r:id="rId24"/>
      <w:pgSz w:w="11900" w:h="16850"/>
      <w:pgMar w:top="1300" w:right="1140" w:bottom="280" w:left="11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9E509" w14:textId="77777777" w:rsidR="00411775" w:rsidRDefault="00411775" w:rsidP="00AC5DA6">
      <w:r>
        <w:separator/>
      </w:r>
    </w:p>
  </w:endnote>
  <w:endnote w:type="continuationSeparator" w:id="0">
    <w:p w14:paraId="7FA42728" w14:textId="77777777" w:rsidR="00411775" w:rsidRDefault="00411775" w:rsidP="00AC5DA6">
      <w:r>
        <w:continuationSeparator/>
      </w:r>
    </w:p>
  </w:endnote>
  <w:endnote w:type="continuationNotice" w:id="1">
    <w:p w14:paraId="45317A74" w14:textId="77777777" w:rsidR="00411775" w:rsidRDefault="00411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00AF" w14:textId="77777777" w:rsidR="000E191D" w:rsidRDefault="000E1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0782347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2F9BB227" w14:textId="3B4220DC" w:rsidR="00CF10D3" w:rsidRPr="00F4335B" w:rsidRDefault="00922745" w:rsidP="00F4335B">
            <w:pPr>
              <w:pStyle w:val="Footer"/>
              <w:jc w:val="right"/>
              <w:rPr>
                <w:sz w:val="16"/>
                <w:szCs w:val="16"/>
              </w:rPr>
            </w:pPr>
            <w:r w:rsidRPr="003A100C">
              <w:rPr>
                <w:sz w:val="16"/>
                <w:szCs w:val="16"/>
              </w:rPr>
              <w:t xml:space="preserve">Page </w:t>
            </w:r>
            <w:r w:rsidRPr="003A100C">
              <w:rPr>
                <w:b/>
                <w:bCs/>
                <w:sz w:val="16"/>
                <w:szCs w:val="16"/>
              </w:rPr>
              <w:fldChar w:fldCharType="begin"/>
            </w:r>
            <w:r w:rsidRPr="003A100C">
              <w:rPr>
                <w:b/>
                <w:bCs/>
                <w:sz w:val="16"/>
                <w:szCs w:val="16"/>
              </w:rPr>
              <w:instrText xml:space="preserve"> PAGE </w:instrText>
            </w:r>
            <w:r w:rsidRPr="003A100C">
              <w:rPr>
                <w:b/>
                <w:bCs/>
                <w:sz w:val="16"/>
                <w:szCs w:val="16"/>
              </w:rPr>
              <w:fldChar w:fldCharType="separate"/>
            </w:r>
            <w:r w:rsidRPr="003A100C">
              <w:rPr>
                <w:b/>
                <w:bCs/>
                <w:noProof/>
                <w:sz w:val="16"/>
                <w:szCs w:val="16"/>
              </w:rPr>
              <w:t>2</w:t>
            </w:r>
            <w:r w:rsidRPr="003A100C">
              <w:rPr>
                <w:b/>
                <w:bCs/>
                <w:sz w:val="16"/>
                <w:szCs w:val="16"/>
              </w:rPr>
              <w:fldChar w:fldCharType="end"/>
            </w:r>
            <w:r w:rsidRPr="003A100C">
              <w:rPr>
                <w:sz w:val="16"/>
                <w:szCs w:val="16"/>
              </w:rPr>
              <w:t xml:space="preserve"> of </w:t>
            </w:r>
            <w:r w:rsidRPr="003A100C">
              <w:rPr>
                <w:b/>
                <w:bCs/>
                <w:sz w:val="16"/>
                <w:szCs w:val="16"/>
              </w:rPr>
              <w:fldChar w:fldCharType="begin"/>
            </w:r>
            <w:r w:rsidRPr="003A100C">
              <w:rPr>
                <w:b/>
                <w:bCs/>
                <w:sz w:val="16"/>
                <w:szCs w:val="16"/>
              </w:rPr>
              <w:instrText xml:space="preserve"> NUMPAGES  </w:instrText>
            </w:r>
            <w:r w:rsidRPr="003A100C">
              <w:rPr>
                <w:b/>
                <w:bCs/>
                <w:sz w:val="16"/>
                <w:szCs w:val="16"/>
              </w:rPr>
              <w:fldChar w:fldCharType="separate"/>
            </w:r>
            <w:r w:rsidRPr="003A100C">
              <w:rPr>
                <w:b/>
                <w:bCs/>
                <w:noProof/>
                <w:sz w:val="16"/>
                <w:szCs w:val="16"/>
              </w:rPr>
              <w:t>2</w:t>
            </w:r>
            <w:r w:rsidRPr="003A100C">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F4A6C" w14:textId="77777777" w:rsidR="000E191D" w:rsidRDefault="000E1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31B1A" w14:textId="77777777" w:rsidR="00411775" w:rsidRDefault="00411775" w:rsidP="00AC5DA6">
      <w:r>
        <w:separator/>
      </w:r>
    </w:p>
  </w:footnote>
  <w:footnote w:type="continuationSeparator" w:id="0">
    <w:p w14:paraId="5E040540" w14:textId="77777777" w:rsidR="00411775" w:rsidRDefault="00411775" w:rsidP="00AC5DA6">
      <w:r>
        <w:continuationSeparator/>
      </w:r>
    </w:p>
  </w:footnote>
  <w:footnote w:type="continuationNotice" w:id="1">
    <w:p w14:paraId="4FA7668C" w14:textId="77777777" w:rsidR="00411775" w:rsidRDefault="00411775"/>
  </w:footnote>
  <w:footnote w:id="2">
    <w:p w14:paraId="4B7C2C71" w14:textId="77777777" w:rsidR="00F967B8" w:rsidRPr="00A36B1B" w:rsidRDefault="00F967B8" w:rsidP="00F967B8">
      <w:pPr>
        <w:pStyle w:val="FootnoteText"/>
        <w:rPr>
          <w:sz w:val="16"/>
          <w:szCs w:val="16"/>
        </w:rPr>
      </w:pPr>
      <w:r w:rsidRPr="00A36B1B">
        <w:rPr>
          <w:rStyle w:val="FootnoteReference"/>
          <w:sz w:val="16"/>
          <w:szCs w:val="16"/>
        </w:rPr>
        <w:footnoteRef/>
      </w:r>
      <w:r w:rsidRPr="00A36B1B">
        <w:rPr>
          <w:sz w:val="16"/>
          <w:szCs w:val="16"/>
        </w:rPr>
        <w:t xml:space="preserve"> in accordance with</w:t>
      </w:r>
      <w:r>
        <w:rPr>
          <w:sz w:val="16"/>
          <w:szCs w:val="16"/>
        </w:rPr>
        <w:t xml:space="preserve"> </w:t>
      </w:r>
      <w:hyperlink r:id="rId1" w:history="1">
        <w:r>
          <w:rPr>
            <w:rStyle w:val="Hyperlink"/>
            <w:sz w:val="16"/>
            <w:szCs w:val="16"/>
          </w:rPr>
          <w:t xml:space="preserve">AASB 9 Financial Instruments </w:t>
        </w:r>
      </w:hyperlink>
      <w:r>
        <w:rPr>
          <w:sz w:val="16"/>
          <w:szCs w:val="16"/>
        </w:rPr>
        <w:t xml:space="preserve">  </w:t>
      </w:r>
      <w:r w:rsidRPr="008723F4">
        <w:rPr>
          <w:sz w:val="16"/>
          <w:szCs w:val="16"/>
        </w:rPr>
        <w:t>5.4</w:t>
      </w:r>
      <w:r w:rsidRPr="000C038F">
        <w:rPr>
          <w:sz w:val="16"/>
          <w:szCs w:val="16"/>
        </w:rPr>
        <w:t xml:space="preserve"> Fair value measurement</w:t>
      </w:r>
      <w:r w:rsidRPr="008723F4">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F806B" w14:textId="77777777" w:rsidR="000E191D" w:rsidRDefault="000E1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8A8D" w14:textId="77777777" w:rsidR="000E191D" w:rsidRDefault="000E1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6D796" w14:textId="329E67EB" w:rsidR="00AF061B" w:rsidRDefault="00AF061B">
    <w:pPr>
      <w:pStyle w:val="Header"/>
    </w:pPr>
    <w:bookmarkStart w:id="6" w:name="_GoBack"/>
    <w:r>
      <w:rPr>
        <w:rFonts w:ascii="Times New Roman"/>
        <w:noProof/>
      </w:rPr>
      <w:drawing>
        <wp:anchor distT="0" distB="0" distL="114300" distR="114300" simplePos="0" relativeHeight="251658240" behindDoc="0" locked="0" layoutInCell="1" allowOverlap="1" wp14:anchorId="02057B2A" wp14:editId="3B43255D">
          <wp:simplePos x="0" y="0"/>
          <wp:positionH relativeFrom="column">
            <wp:posOffset>3857625</wp:posOffset>
          </wp:positionH>
          <wp:positionV relativeFrom="paragraph">
            <wp:posOffset>-95250</wp:posOffset>
          </wp:positionV>
          <wp:extent cx="2196056" cy="1010983"/>
          <wp:effectExtent l="0" t="0" r="0" b="0"/>
          <wp:wrapSquare wrapText="bothSides"/>
          <wp:docPr id="1" name="image1.jpeg" descr="The Australian Health Practitioner Regulation Agency (Ahpra)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6056" cy="1010983"/>
                  </a:xfrm>
                  <a:prstGeom prst="rect">
                    <a:avLst/>
                  </a:prstGeom>
                </pic:spPr>
              </pic:pic>
            </a:graphicData>
          </a:graphic>
          <wp14:sizeRelH relativeFrom="page">
            <wp14:pctWidth>0</wp14:pctWidth>
          </wp14:sizeRelH>
          <wp14:sizeRelV relativeFrom="page">
            <wp14:pctHeight>0</wp14:pctHeight>
          </wp14:sizeRelV>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15E"/>
    <w:multiLevelType w:val="hybridMultilevel"/>
    <w:tmpl w:val="76F4FF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320678"/>
    <w:multiLevelType w:val="hybridMultilevel"/>
    <w:tmpl w:val="8EE2E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5B3674"/>
    <w:multiLevelType w:val="multilevel"/>
    <w:tmpl w:val="A0347692"/>
    <w:styleLink w:val="AHPRABullets"/>
    <w:lvl w:ilvl="0">
      <w:start w:val="1"/>
      <w:numFmt w:val="bullet"/>
      <w:pStyle w:val="BodyTextBullets"/>
      <w:lvlText w:val=""/>
      <w:lvlJc w:val="left"/>
      <w:pPr>
        <w:ind w:left="369" w:hanging="369"/>
      </w:pPr>
      <w:rPr>
        <w:rFonts w:ascii="Symbol" w:hAnsi="Symbol" w:hint="default"/>
      </w:rPr>
    </w:lvl>
    <w:lvl w:ilvl="1">
      <w:start w:val="1"/>
      <w:numFmt w:val="bullet"/>
      <w:pStyle w:val="BodyTextBullets2"/>
      <w:lvlText w:val=""/>
      <w:lvlJc w:val="left"/>
      <w:pPr>
        <w:ind w:left="737" w:hanging="368"/>
      </w:pPr>
      <w:rPr>
        <w:rFonts w:ascii="Symbol" w:hAnsi="Symbol" w:hint="default"/>
        <w:color w:val="auto"/>
      </w:rPr>
    </w:lvl>
    <w:lvl w:ilvl="2">
      <w:start w:val="1"/>
      <w:numFmt w:val="bullet"/>
      <w:pStyle w:val="BodyTextBullets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1E056B50"/>
    <w:multiLevelType w:val="multilevel"/>
    <w:tmpl w:val="50F890D6"/>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134"/>
        </w:tabs>
        <w:ind w:left="1134" w:hanging="1134"/>
      </w:pPr>
      <w:rPr>
        <w:rFonts w:hint="default"/>
        <w:b/>
        <w:color w:val="auto"/>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8" w15:restartNumberingAfterBreak="0">
    <w:nsid w:val="1FCB5BE0"/>
    <w:multiLevelType w:val="multilevel"/>
    <w:tmpl w:val="957E7A6A"/>
    <w:styleLink w:val="AHPRAListBullets"/>
    <w:lvl w:ilvl="0">
      <w:start w:val="1"/>
      <w:numFmt w:val="bullet"/>
      <w:pStyle w:val="ListBullet1a"/>
      <w:lvlText w:val=""/>
      <w:lvlJc w:val="left"/>
      <w:pPr>
        <w:ind w:left="737" w:hanging="368"/>
      </w:pPr>
      <w:rPr>
        <w:rFonts w:ascii="Symbol" w:hAnsi="Symbol" w:hint="default"/>
      </w:rPr>
    </w:lvl>
    <w:lvl w:ilvl="1">
      <w:start w:val="1"/>
      <w:numFmt w:val="bullet"/>
      <w:lvlText w:val=""/>
      <w:lvlJc w:val="left"/>
      <w:pPr>
        <w:ind w:left="1389" w:hanging="368"/>
      </w:pPr>
      <w:rPr>
        <w:rFonts w:ascii="Symbol" w:hAnsi="Symbol" w:hint="default"/>
        <w:color w:val="auto"/>
      </w:rPr>
    </w:lvl>
    <w:lvl w:ilvl="2">
      <w:start w:val="1"/>
      <w:numFmt w:val="bullet"/>
      <w:lvlText w:val=""/>
      <w:lvlJc w:val="left"/>
      <w:pPr>
        <w:ind w:left="2240" w:hanging="369"/>
      </w:pPr>
      <w:rPr>
        <w:rFonts w:ascii="Symbol" w:hAnsi="Symbol" w:hint="default"/>
      </w:rPr>
    </w:lvl>
    <w:lvl w:ilvl="3">
      <w:start w:val="1"/>
      <w:numFmt w:val="bullet"/>
      <w:pStyle w:val="ListBullet1b"/>
      <w:lvlText w:val=""/>
      <w:lvlJc w:val="left"/>
      <w:pPr>
        <w:ind w:left="1021" w:hanging="284"/>
      </w:pPr>
      <w:rPr>
        <w:rFonts w:ascii="Symbol" w:hAnsi="Symbol"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bullet"/>
      <w:pStyle w:val="ListBullet1c"/>
      <w:lvlText w:val="o"/>
      <w:lvlJc w:val="left"/>
      <w:pPr>
        <w:ind w:left="1389" w:hanging="368"/>
      </w:pPr>
      <w:rPr>
        <w:rFonts w:ascii="Courier New" w:hAnsi="Courier New"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9" w15:restartNumberingAfterBreak="0">
    <w:nsid w:val="2DDF0201"/>
    <w:multiLevelType w:val="hybridMultilevel"/>
    <w:tmpl w:val="2F28865A"/>
    <w:lvl w:ilvl="0" w:tplc="8F10EDBE">
      <w:start w:val="1"/>
      <w:numFmt w:val="bullet"/>
      <w:pStyle w:val="AHPRABulletlevel1last"/>
      <w:lvlText w:val=""/>
      <w:lvlJc w:val="left"/>
      <w:pPr>
        <w:ind w:left="1458" w:hanging="360"/>
      </w:pPr>
      <w:rPr>
        <w:rFonts w:ascii="Symbol" w:hAnsi="Symbol" w:hint="default"/>
      </w:rPr>
    </w:lvl>
    <w:lvl w:ilvl="1" w:tplc="0C090003" w:tentative="1">
      <w:start w:val="1"/>
      <w:numFmt w:val="bullet"/>
      <w:lvlText w:val="o"/>
      <w:lvlJc w:val="left"/>
      <w:pPr>
        <w:ind w:left="2178" w:hanging="360"/>
      </w:pPr>
      <w:rPr>
        <w:rFonts w:ascii="Courier New" w:hAnsi="Courier New" w:cs="Courier New" w:hint="default"/>
      </w:rPr>
    </w:lvl>
    <w:lvl w:ilvl="2" w:tplc="0C090005" w:tentative="1">
      <w:start w:val="1"/>
      <w:numFmt w:val="bullet"/>
      <w:lvlText w:val=""/>
      <w:lvlJc w:val="left"/>
      <w:pPr>
        <w:ind w:left="2898" w:hanging="360"/>
      </w:pPr>
      <w:rPr>
        <w:rFonts w:ascii="Wingdings" w:hAnsi="Wingdings" w:hint="default"/>
      </w:rPr>
    </w:lvl>
    <w:lvl w:ilvl="3" w:tplc="0C090001" w:tentative="1">
      <w:start w:val="1"/>
      <w:numFmt w:val="bullet"/>
      <w:lvlText w:val=""/>
      <w:lvlJc w:val="left"/>
      <w:pPr>
        <w:ind w:left="3618" w:hanging="360"/>
      </w:pPr>
      <w:rPr>
        <w:rFonts w:ascii="Symbol" w:hAnsi="Symbol" w:hint="default"/>
      </w:rPr>
    </w:lvl>
    <w:lvl w:ilvl="4" w:tplc="0C090003" w:tentative="1">
      <w:start w:val="1"/>
      <w:numFmt w:val="bullet"/>
      <w:lvlText w:val="o"/>
      <w:lvlJc w:val="left"/>
      <w:pPr>
        <w:ind w:left="4338" w:hanging="360"/>
      </w:pPr>
      <w:rPr>
        <w:rFonts w:ascii="Courier New" w:hAnsi="Courier New" w:cs="Courier New" w:hint="default"/>
      </w:rPr>
    </w:lvl>
    <w:lvl w:ilvl="5" w:tplc="0C090005" w:tentative="1">
      <w:start w:val="1"/>
      <w:numFmt w:val="bullet"/>
      <w:lvlText w:val=""/>
      <w:lvlJc w:val="left"/>
      <w:pPr>
        <w:ind w:left="5058" w:hanging="360"/>
      </w:pPr>
      <w:rPr>
        <w:rFonts w:ascii="Wingdings" w:hAnsi="Wingdings" w:hint="default"/>
      </w:rPr>
    </w:lvl>
    <w:lvl w:ilvl="6" w:tplc="0C090001" w:tentative="1">
      <w:start w:val="1"/>
      <w:numFmt w:val="bullet"/>
      <w:lvlText w:val=""/>
      <w:lvlJc w:val="left"/>
      <w:pPr>
        <w:ind w:left="5778" w:hanging="360"/>
      </w:pPr>
      <w:rPr>
        <w:rFonts w:ascii="Symbol" w:hAnsi="Symbol" w:hint="default"/>
      </w:rPr>
    </w:lvl>
    <w:lvl w:ilvl="7" w:tplc="0C090003" w:tentative="1">
      <w:start w:val="1"/>
      <w:numFmt w:val="bullet"/>
      <w:lvlText w:val="o"/>
      <w:lvlJc w:val="left"/>
      <w:pPr>
        <w:ind w:left="6498" w:hanging="360"/>
      </w:pPr>
      <w:rPr>
        <w:rFonts w:ascii="Courier New" w:hAnsi="Courier New" w:cs="Courier New" w:hint="default"/>
      </w:rPr>
    </w:lvl>
    <w:lvl w:ilvl="8" w:tplc="0C090005" w:tentative="1">
      <w:start w:val="1"/>
      <w:numFmt w:val="bullet"/>
      <w:lvlText w:val=""/>
      <w:lvlJc w:val="left"/>
      <w:pPr>
        <w:ind w:left="7218" w:hanging="360"/>
      </w:pPr>
      <w:rPr>
        <w:rFonts w:ascii="Wingdings" w:hAnsi="Wingdings" w:hint="default"/>
      </w:rPr>
    </w:lvl>
  </w:abstractNum>
  <w:abstractNum w:abstractNumId="10" w15:restartNumberingAfterBreak="0">
    <w:nsid w:val="446D3A6A"/>
    <w:multiLevelType w:val="hybridMultilevel"/>
    <w:tmpl w:val="544C568C"/>
    <w:lvl w:ilvl="0" w:tplc="372CF4F0">
      <w:start w:val="1"/>
      <w:numFmt w:val="bullet"/>
      <w:pStyle w:val="Bullet1"/>
      <w:lvlText w:val=""/>
      <w:lvlJc w:val="left"/>
      <w:pPr>
        <w:tabs>
          <w:tab w:val="num" w:pos="283"/>
        </w:tabs>
        <w:ind w:left="283" w:hanging="283"/>
      </w:pPr>
      <w:rPr>
        <w:rFonts w:ascii="Symbol" w:hAnsi="Symbol" w:hint="default"/>
        <w:b w:val="0"/>
        <w:i w:val="0"/>
        <w:vanish w:val="0"/>
        <w:color w:val="auto"/>
        <w:sz w:val="20"/>
        <w:szCs w:val="20"/>
      </w:rPr>
    </w:lvl>
    <w:lvl w:ilvl="1" w:tplc="4E521BF8">
      <w:start w:val="1"/>
      <w:numFmt w:val="bullet"/>
      <w:pStyle w:val="Bullet2"/>
      <w:lvlText w:val="–"/>
      <w:lvlJc w:val="left"/>
      <w:pPr>
        <w:tabs>
          <w:tab w:val="num" w:pos="567"/>
        </w:tabs>
        <w:ind w:left="567" w:hanging="284"/>
      </w:pPr>
      <w:rPr>
        <w:rFonts w:ascii="Calibri" w:hAnsi="Calibri" w:hint="default"/>
        <w:b w:val="0"/>
        <w:i w:val="0"/>
        <w:vanish w:val="0"/>
        <w:color w:val="auto"/>
        <w:sz w:val="22"/>
      </w:rPr>
    </w:lvl>
    <w:lvl w:ilvl="2" w:tplc="524ECEBC">
      <w:start w:val="1"/>
      <w:numFmt w:val="bullet"/>
      <w:pStyle w:val="Bullet3"/>
      <w:lvlText w:val=""/>
      <w:lvlJc w:val="left"/>
      <w:pPr>
        <w:tabs>
          <w:tab w:val="num" w:pos="850"/>
        </w:tabs>
        <w:ind w:left="850" w:hanging="283"/>
      </w:pPr>
      <w:rPr>
        <w:rFonts w:ascii="Symbol" w:hAnsi="Symbol" w:hint="default"/>
        <w:b w:val="0"/>
        <w:i w:val="0"/>
        <w:vanish w:val="0"/>
        <w:color w:val="auto"/>
        <w:sz w:val="20"/>
        <w:szCs w:val="20"/>
      </w:rPr>
    </w:lvl>
    <w:lvl w:ilvl="3" w:tplc="B98809BC">
      <w:start w:val="1"/>
      <w:numFmt w:val="bullet"/>
      <w:lvlText w:val=""/>
      <w:lvlJc w:val="left"/>
      <w:pPr>
        <w:tabs>
          <w:tab w:val="num" w:pos="1134"/>
        </w:tabs>
        <w:ind w:left="1134" w:hanging="284"/>
      </w:pPr>
      <w:rPr>
        <w:rFonts w:ascii="Symbol" w:hAnsi="Symbol" w:hint="default"/>
        <w:b w:val="0"/>
        <w:i w:val="0"/>
        <w:vanish w:val="0"/>
        <w:color w:val="auto"/>
        <w:sz w:val="22"/>
      </w:rPr>
    </w:lvl>
    <w:lvl w:ilvl="4" w:tplc="C4D84168">
      <w:start w:val="1"/>
      <w:numFmt w:val="bullet"/>
      <w:pStyle w:val="Heading5"/>
      <w:lvlText w:val=""/>
      <w:lvlJc w:val="left"/>
      <w:pPr>
        <w:tabs>
          <w:tab w:val="num" w:pos="1417"/>
        </w:tabs>
        <w:ind w:left="1417" w:hanging="283"/>
      </w:pPr>
      <w:rPr>
        <w:rFonts w:ascii="Symbol" w:hAnsi="Symbol" w:hint="default"/>
        <w:b w:val="0"/>
        <w:i w:val="0"/>
        <w:vanish w:val="0"/>
        <w:color w:val="auto"/>
        <w:sz w:val="22"/>
      </w:rPr>
    </w:lvl>
    <w:lvl w:ilvl="5" w:tplc="8EB89BB6">
      <w:start w:val="1"/>
      <w:numFmt w:val="bullet"/>
      <w:pStyle w:val="Heading6"/>
      <w:lvlText w:val=""/>
      <w:lvlJc w:val="left"/>
      <w:pPr>
        <w:tabs>
          <w:tab w:val="num" w:pos="1701"/>
        </w:tabs>
        <w:ind w:left="1701" w:hanging="284"/>
      </w:pPr>
      <w:rPr>
        <w:rFonts w:ascii="Symbol" w:hAnsi="Symbol" w:hint="default"/>
        <w:b w:val="0"/>
        <w:i w:val="0"/>
        <w:vanish w:val="0"/>
        <w:color w:val="auto"/>
        <w:sz w:val="22"/>
      </w:rPr>
    </w:lvl>
    <w:lvl w:ilvl="6" w:tplc="0E644D0C">
      <w:start w:val="1"/>
      <w:numFmt w:val="bullet"/>
      <w:pStyle w:val="Heading7"/>
      <w:lvlText w:val=""/>
      <w:lvlJc w:val="left"/>
      <w:pPr>
        <w:tabs>
          <w:tab w:val="num" w:pos="1984"/>
        </w:tabs>
        <w:ind w:left="1984" w:hanging="283"/>
      </w:pPr>
      <w:rPr>
        <w:rFonts w:ascii="Symbol" w:hAnsi="Symbol" w:hint="default"/>
        <w:b w:val="0"/>
        <w:i w:val="0"/>
        <w:vanish w:val="0"/>
        <w:color w:val="auto"/>
        <w:sz w:val="22"/>
      </w:rPr>
    </w:lvl>
    <w:lvl w:ilvl="7" w:tplc="3702B44C">
      <w:start w:val="1"/>
      <w:numFmt w:val="bullet"/>
      <w:pStyle w:val="Heading8"/>
      <w:lvlText w:val=""/>
      <w:lvlJc w:val="left"/>
      <w:pPr>
        <w:tabs>
          <w:tab w:val="num" w:pos="2268"/>
        </w:tabs>
        <w:ind w:left="2268" w:hanging="284"/>
      </w:pPr>
      <w:rPr>
        <w:rFonts w:ascii="Symbol" w:hAnsi="Symbol" w:hint="default"/>
        <w:b w:val="0"/>
        <w:i w:val="0"/>
        <w:vanish w:val="0"/>
        <w:color w:val="auto"/>
        <w:sz w:val="22"/>
      </w:rPr>
    </w:lvl>
    <w:lvl w:ilvl="8" w:tplc="489A9B60">
      <w:start w:val="1"/>
      <w:numFmt w:val="bullet"/>
      <w:pStyle w:val="Heading9"/>
      <w:lvlText w:val=""/>
      <w:lvlJc w:val="left"/>
      <w:pPr>
        <w:tabs>
          <w:tab w:val="num" w:pos="2551"/>
        </w:tabs>
        <w:ind w:left="2551" w:hanging="283"/>
      </w:pPr>
      <w:rPr>
        <w:rFonts w:ascii="Symbol" w:hAnsi="Symbol" w:hint="default"/>
        <w:b w:val="0"/>
        <w:i w:val="0"/>
        <w:vanish w:val="0"/>
        <w:color w:val="auto"/>
        <w:sz w:val="22"/>
      </w:rPr>
    </w:lvl>
  </w:abstractNum>
  <w:abstractNum w:abstractNumId="11" w15:restartNumberingAfterBreak="0">
    <w:nsid w:val="48192FC6"/>
    <w:multiLevelType w:val="hybridMultilevel"/>
    <w:tmpl w:val="1786B2CA"/>
    <w:lvl w:ilvl="0" w:tplc="9D10E93C">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B73EB"/>
    <w:multiLevelType w:val="hybridMultilevel"/>
    <w:tmpl w:val="9F20F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B8694E"/>
    <w:multiLevelType w:val="hybridMultilevel"/>
    <w:tmpl w:val="6046BA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3F74B5"/>
    <w:multiLevelType w:val="hybridMultilevel"/>
    <w:tmpl w:val="0FB60C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start w:val="1"/>
      <w:numFmt w:val="bullet"/>
      <w:lvlText w:val="o"/>
      <w:lvlJc w:val="left"/>
      <w:pPr>
        <w:ind w:left="1440" w:hanging="360"/>
      </w:pPr>
      <w:rPr>
        <w:rFonts w:ascii="Courier New" w:hAnsi="Courier New" w:cs="Courier New" w:hint="default"/>
      </w:rPr>
    </w:lvl>
    <w:lvl w:ilvl="2" w:tplc="3E7C8AA8">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17" w15:restartNumberingAfterBreak="0">
    <w:nsid w:val="7C731660"/>
    <w:multiLevelType w:val="multilevel"/>
    <w:tmpl w:val="C4183F12"/>
    <w:numStyleLink w:val="AHPRANumberedlist"/>
  </w:abstractNum>
  <w:num w:numId="1">
    <w:abstractNumId w:val="10"/>
  </w:num>
  <w:num w:numId="2">
    <w:abstractNumId w:val="13"/>
  </w:num>
  <w:num w:numId="3">
    <w:abstractNumId w:val="15"/>
  </w:num>
  <w:num w:numId="4">
    <w:abstractNumId w:val="12"/>
  </w:num>
  <w:num w:numId="5">
    <w:abstractNumId w:val="1"/>
  </w:num>
  <w:num w:numId="6">
    <w:abstractNumId w:val="16"/>
  </w:num>
  <w:num w:numId="7">
    <w:abstractNumId w:val="14"/>
  </w:num>
  <w:num w:numId="8">
    <w:abstractNumId w:val="3"/>
  </w:num>
  <w:num w:numId="9">
    <w:abstractNumId w:val="7"/>
  </w:num>
  <w:num w:numId="10">
    <w:abstractNumId w:val="8"/>
  </w:num>
  <w:num w:numId="11">
    <w:abstractNumId w:val="6"/>
  </w:num>
  <w:num w:numId="12">
    <w:abstractNumId w:val="4"/>
  </w:num>
  <w:num w:numId="13">
    <w:abstractNumId w:val="17"/>
  </w:num>
  <w:num w:numId="14">
    <w:abstractNumId w:val="11"/>
  </w:num>
  <w:num w:numId="15">
    <w:abstractNumId w:val="3"/>
  </w:num>
  <w:num w:numId="16">
    <w:abstractNumId w:val="8"/>
  </w:num>
  <w:num w:numId="17">
    <w:abstractNumId w:val="9"/>
  </w:num>
  <w:num w:numId="18">
    <w:abstractNumId w:val="0"/>
  </w:num>
  <w:num w:numId="19">
    <w:abstractNumId w:val="2"/>
  </w:num>
  <w:num w:numId="20">
    <w:abstractNumId w:val="5"/>
    <w:lvlOverride w:ilvl="1">
      <w:lvl w:ilvl="1">
        <w:start w:val="1"/>
        <w:numFmt w:val="decimal"/>
        <w:pStyle w:val="AHPRANumberedsubheadinglevel2"/>
        <w:lvlText w:val="%1.%2"/>
        <w:lvlJc w:val="left"/>
        <w:pPr>
          <w:ind w:left="369" w:hanging="369"/>
        </w:pPr>
        <w:rPr>
          <w:rFonts w:ascii="Arial" w:hAnsi="Arial" w:hint="default"/>
          <w:b w:val="0"/>
          <w:bCs w:val="0"/>
          <w:i w:val="0"/>
          <w:color w:val="auto"/>
          <w:sz w:val="20"/>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64"/>
    <w:rsid w:val="00000F9C"/>
    <w:rsid w:val="0000336B"/>
    <w:rsid w:val="00004A54"/>
    <w:rsid w:val="00012AF9"/>
    <w:rsid w:val="000279E1"/>
    <w:rsid w:val="00027C7D"/>
    <w:rsid w:val="00032163"/>
    <w:rsid w:val="0003525F"/>
    <w:rsid w:val="00037C7B"/>
    <w:rsid w:val="00037E33"/>
    <w:rsid w:val="00041CB3"/>
    <w:rsid w:val="00044665"/>
    <w:rsid w:val="0004520A"/>
    <w:rsid w:val="000507D1"/>
    <w:rsid w:val="00052C4B"/>
    <w:rsid w:val="0005682E"/>
    <w:rsid w:val="000620CB"/>
    <w:rsid w:val="00073970"/>
    <w:rsid w:val="00074523"/>
    <w:rsid w:val="00074980"/>
    <w:rsid w:val="0008038C"/>
    <w:rsid w:val="00083676"/>
    <w:rsid w:val="00083EBA"/>
    <w:rsid w:val="00084F23"/>
    <w:rsid w:val="0009231D"/>
    <w:rsid w:val="0009416A"/>
    <w:rsid w:val="00096AB3"/>
    <w:rsid w:val="000B33C1"/>
    <w:rsid w:val="000C2C21"/>
    <w:rsid w:val="000D0245"/>
    <w:rsid w:val="000D4897"/>
    <w:rsid w:val="000D777C"/>
    <w:rsid w:val="000E1331"/>
    <w:rsid w:val="000E191D"/>
    <w:rsid w:val="000E2336"/>
    <w:rsid w:val="000E26C6"/>
    <w:rsid w:val="000E3C58"/>
    <w:rsid w:val="000E5E68"/>
    <w:rsid w:val="000E7D44"/>
    <w:rsid w:val="000F0F03"/>
    <w:rsid w:val="000F288B"/>
    <w:rsid w:val="000F42B3"/>
    <w:rsid w:val="000F4B9C"/>
    <w:rsid w:val="000F6323"/>
    <w:rsid w:val="000F6EF1"/>
    <w:rsid w:val="000F7305"/>
    <w:rsid w:val="000F7936"/>
    <w:rsid w:val="001009EB"/>
    <w:rsid w:val="001019BB"/>
    <w:rsid w:val="001026E7"/>
    <w:rsid w:val="0010295C"/>
    <w:rsid w:val="00102C0E"/>
    <w:rsid w:val="001050C5"/>
    <w:rsid w:val="00107E66"/>
    <w:rsid w:val="0011042F"/>
    <w:rsid w:val="00113962"/>
    <w:rsid w:val="001169ED"/>
    <w:rsid w:val="00117824"/>
    <w:rsid w:val="0012421C"/>
    <w:rsid w:val="001267D1"/>
    <w:rsid w:val="00126CA7"/>
    <w:rsid w:val="00131CA6"/>
    <w:rsid w:val="00132F3D"/>
    <w:rsid w:val="00136A10"/>
    <w:rsid w:val="001465EE"/>
    <w:rsid w:val="00147095"/>
    <w:rsid w:val="00155280"/>
    <w:rsid w:val="00156D19"/>
    <w:rsid w:val="0015759B"/>
    <w:rsid w:val="00160744"/>
    <w:rsid w:val="00162E11"/>
    <w:rsid w:val="00163C24"/>
    <w:rsid w:val="0016544A"/>
    <w:rsid w:val="00165C9B"/>
    <w:rsid w:val="00166C42"/>
    <w:rsid w:val="001707B3"/>
    <w:rsid w:val="0017112D"/>
    <w:rsid w:val="00171967"/>
    <w:rsid w:val="00175F9D"/>
    <w:rsid w:val="001763CF"/>
    <w:rsid w:val="00176CA6"/>
    <w:rsid w:val="001801AA"/>
    <w:rsid w:val="00186C46"/>
    <w:rsid w:val="00192284"/>
    <w:rsid w:val="0019303E"/>
    <w:rsid w:val="0019457C"/>
    <w:rsid w:val="001A50F6"/>
    <w:rsid w:val="001A63DE"/>
    <w:rsid w:val="001B1633"/>
    <w:rsid w:val="001B18E7"/>
    <w:rsid w:val="001B5AEC"/>
    <w:rsid w:val="001C069E"/>
    <w:rsid w:val="001C07A9"/>
    <w:rsid w:val="001C4C71"/>
    <w:rsid w:val="001D2B08"/>
    <w:rsid w:val="001D2EEF"/>
    <w:rsid w:val="001D3ED5"/>
    <w:rsid w:val="001D5C1C"/>
    <w:rsid w:val="001E18B9"/>
    <w:rsid w:val="001E2A20"/>
    <w:rsid w:val="001F21D2"/>
    <w:rsid w:val="001F3E04"/>
    <w:rsid w:val="001F5E11"/>
    <w:rsid w:val="00203BB1"/>
    <w:rsid w:val="00203FD9"/>
    <w:rsid w:val="00213034"/>
    <w:rsid w:val="0021312A"/>
    <w:rsid w:val="00215979"/>
    <w:rsid w:val="00220E0D"/>
    <w:rsid w:val="00235083"/>
    <w:rsid w:val="0023545E"/>
    <w:rsid w:val="0024588F"/>
    <w:rsid w:val="00274CA5"/>
    <w:rsid w:val="00281BEE"/>
    <w:rsid w:val="002833B0"/>
    <w:rsid w:val="00285A6F"/>
    <w:rsid w:val="00292404"/>
    <w:rsid w:val="00292507"/>
    <w:rsid w:val="0029301D"/>
    <w:rsid w:val="00293047"/>
    <w:rsid w:val="00293F9C"/>
    <w:rsid w:val="0029437A"/>
    <w:rsid w:val="00296618"/>
    <w:rsid w:val="002A11D0"/>
    <w:rsid w:val="002A359C"/>
    <w:rsid w:val="002B1E2F"/>
    <w:rsid w:val="002B1EA8"/>
    <w:rsid w:val="002B25DE"/>
    <w:rsid w:val="002B3A9C"/>
    <w:rsid w:val="002C0042"/>
    <w:rsid w:val="002C5FC4"/>
    <w:rsid w:val="002D249E"/>
    <w:rsid w:val="002D650A"/>
    <w:rsid w:val="002E1D56"/>
    <w:rsid w:val="002F0A13"/>
    <w:rsid w:val="002F1338"/>
    <w:rsid w:val="002F378A"/>
    <w:rsid w:val="002F78C4"/>
    <w:rsid w:val="002F7997"/>
    <w:rsid w:val="00301A14"/>
    <w:rsid w:val="00305648"/>
    <w:rsid w:val="003123EF"/>
    <w:rsid w:val="0031427B"/>
    <w:rsid w:val="00314E6E"/>
    <w:rsid w:val="00320C3E"/>
    <w:rsid w:val="00321281"/>
    <w:rsid w:val="0032183C"/>
    <w:rsid w:val="00322B78"/>
    <w:rsid w:val="003232F6"/>
    <w:rsid w:val="00324B61"/>
    <w:rsid w:val="003261D7"/>
    <w:rsid w:val="0033052F"/>
    <w:rsid w:val="00334AFF"/>
    <w:rsid w:val="00337205"/>
    <w:rsid w:val="00337EFF"/>
    <w:rsid w:val="003401F0"/>
    <w:rsid w:val="00341A0F"/>
    <w:rsid w:val="003534AC"/>
    <w:rsid w:val="00355AA5"/>
    <w:rsid w:val="00381954"/>
    <w:rsid w:val="003835EF"/>
    <w:rsid w:val="00396704"/>
    <w:rsid w:val="003A100C"/>
    <w:rsid w:val="003A1442"/>
    <w:rsid w:val="003A631E"/>
    <w:rsid w:val="003A64C8"/>
    <w:rsid w:val="003A7479"/>
    <w:rsid w:val="003B11D1"/>
    <w:rsid w:val="003B2D85"/>
    <w:rsid w:val="003C0950"/>
    <w:rsid w:val="003C26CB"/>
    <w:rsid w:val="003C7D0B"/>
    <w:rsid w:val="003D0256"/>
    <w:rsid w:val="003D0647"/>
    <w:rsid w:val="003D0948"/>
    <w:rsid w:val="003D1B72"/>
    <w:rsid w:val="003D2F6A"/>
    <w:rsid w:val="003E28B4"/>
    <w:rsid w:val="003E6050"/>
    <w:rsid w:val="003E6065"/>
    <w:rsid w:val="003F015A"/>
    <w:rsid w:val="004031C2"/>
    <w:rsid w:val="00411775"/>
    <w:rsid w:val="004145DC"/>
    <w:rsid w:val="004152D0"/>
    <w:rsid w:val="0043438F"/>
    <w:rsid w:val="00443B8B"/>
    <w:rsid w:val="0044545F"/>
    <w:rsid w:val="00447D55"/>
    <w:rsid w:val="00447FF2"/>
    <w:rsid w:val="00451F73"/>
    <w:rsid w:val="004547D0"/>
    <w:rsid w:val="00454D6D"/>
    <w:rsid w:val="004555CA"/>
    <w:rsid w:val="00460C96"/>
    <w:rsid w:val="00463FA4"/>
    <w:rsid w:val="0046679C"/>
    <w:rsid w:val="004709B5"/>
    <w:rsid w:val="004724D2"/>
    <w:rsid w:val="00482178"/>
    <w:rsid w:val="00495FF5"/>
    <w:rsid w:val="004A2617"/>
    <w:rsid w:val="004A2C9E"/>
    <w:rsid w:val="004A56D5"/>
    <w:rsid w:val="004A6460"/>
    <w:rsid w:val="004A7396"/>
    <w:rsid w:val="004A7A0C"/>
    <w:rsid w:val="004B4939"/>
    <w:rsid w:val="004B5133"/>
    <w:rsid w:val="004B780E"/>
    <w:rsid w:val="004C2D64"/>
    <w:rsid w:val="004C7287"/>
    <w:rsid w:val="004C766A"/>
    <w:rsid w:val="004D4145"/>
    <w:rsid w:val="004D7319"/>
    <w:rsid w:val="004E250E"/>
    <w:rsid w:val="004E5026"/>
    <w:rsid w:val="004E5D8C"/>
    <w:rsid w:val="004E7033"/>
    <w:rsid w:val="004F2432"/>
    <w:rsid w:val="004F2B02"/>
    <w:rsid w:val="004F3432"/>
    <w:rsid w:val="004F4A55"/>
    <w:rsid w:val="004F7E58"/>
    <w:rsid w:val="00511B01"/>
    <w:rsid w:val="00514588"/>
    <w:rsid w:val="005155C3"/>
    <w:rsid w:val="00517A2C"/>
    <w:rsid w:val="00517DE6"/>
    <w:rsid w:val="005221E2"/>
    <w:rsid w:val="00524515"/>
    <w:rsid w:val="00524676"/>
    <w:rsid w:val="005307BD"/>
    <w:rsid w:val="00534B37"/>
    <w:rsid w:val="005360C8"/>
    <w:rsid w:val="00540911"/>
    <w:rsid w:val="00541D43"/>
    <w:rsid w:val="00541F05"/>
    <w:rsid w:val="005430BF"/>
    <w:rsid w:val="00552532"/>
    <w:rsid w:val="005547B8"/>
    <w:rsid w:val="005548A3"/>
    <w:rsid w:val="005554DE"/>
    <w:rsid w:val="00556066"/>
    <w:rsid w:val="0056325F"/>
    <w:rsid w:val="005634AE"/>
    <w:rsid w:val="00565E5A"/>
    <w:rsid w:val="0056728D"/>
    <w:rsid w:val="00570338"/>
    <w:rsid w:val="005854F2"/>
    <w:rsid w:val="00591D4B"/>
    <w:rsid w:val="005A0F00"/>
    <w:rsid w:val="005A2EB0"/>
    <w:rsid w:val="005A6216"/>
    <w:rsid w:val="005A7F7E"/>
    <w:rsid w:val="005B002E"/>
    <w:rsid w:val="005B55B7"/>
    <w:rsid w:val="005D7685"/>
    <w:rsid w:val="005E2FAD"/>
    <w:rsid w:val="005F0DA7"/>
    <w:rsid w:val="005F2220"/>
    <w:rsid w:val="005F516F"/>
    <w:rsid w:val="0060795E"/>
    <w:rsid w:val="00610034"/>
    <w:rsid w:val="0062435B"/>
    <w:rsid w:val="00630A64"/>
    <w:rsid w:val="00637F37"/>
    <w:rsid w:val="00644450"/>
    <w:rsid w:val="00650AB9"/>
    <w:rsid w:val="00651241"/>
    <w:rsid w:val="006524D7"/>
    <w:rsid w:val="0065481C"/>
    <w:rsid w:val="00656F63"/>
    <w:rsid w:val="00657D1E"/>
    <w:rsid w:val="0066178B"/>
    <w:rsid w:val="006740C7"/>
    <w:rsid w:val="0067591D"/>
    <w:rsid w:val="00683684"/>
    <w:rsid w:val="00683D1F"/>
    <w:rsid w:val="006852D5"/>
    <w:rsid w:val="00691571"/>
    <w:rsid w:val="00693D2B"/>
    <w:rsid w:val="006966AE"/>
    <w:rsid w:val="006A022A"/>
    <w:rsid w:val="006A1BD2"/>
    <w:rsid w:val="006A1D21"/>
    <w:rsid w:val="006A69F3"/>
    <w:rsid w:val="006A7A73"/>
    <w:rsid w:val="006B431E"/>
    <w:rsid w:val="006B446A"/>
    <w:rsid w:val="006B4878"/>
    <w:rsid w:val="006B7FFB"/>
    <w:rsid w:val="006C17FD"/>
    <w:rsid w:val="006D0C7D"/>
    <w:rsid w:val="006D3B82"/>
    <w:rsid w:val="006D48B6"/>
    <w:rsid w:val="006D552B"/>
    <w:rsid w:val="006E0CE7"/>
    <w:rsid w:val="006E3BCF"/>
    <w:rsid w:val="006E4D6A"/>
    <w:rsid w:val="006E6405"/>
    <w:rsid w:val="006F28DC"/>
    <w:rsid w:val="006F2F4C"/>
    <w:rsid w:val="006F42EC"/>
    <w:rsid w:val="006F44C2"/>
    <w:rsid w:val="007035DB"/>
    <w:rsid w:val="007059D6"/>
    <w:rsid w:val="007072ED"/>
    <w:rsid w:val="00710530"/>
    <w:rsid w:val="00713DE2"/>
    <w:rsid w:val="00721F32"/>
    <w:rsid w:val="0072423B"/>
    <w:rsid w:val="0072438A"/>
    <w:rsid w:val="00726D9B"/>
    <w:rsid w:val="00727275"/>
    <w:rsid w:val="00733DD2"/>
    <w:rsid w:val="00737CB3"/>
    <w:rsid w:val="007466C2"/>
    <w:rsid w:val="00746DAA"/>
    <w:rsid w:val="00747961"/>
    <w:rsid w:val="00756C48"/>
    <w:rsid w:val="00760FF8"/>
    <w:rsid w:val="00761855"/>
    <w:rsid w:val="00762599"/>
    <w:rsid w:val="00762758"/>
    <w:rsid w:val="00762B6D"/>
    <w:rsid w:val="0076440F"/>
    <w:rsid w:val="00775265"/>
    <w:rsid w:val="00782AE6"/>
    <w:rsid w:val="007844FC"/>
    <w:rsid w:val="00792A0C"/>
    <w:rsid w:val="00792F7B"/>
    <w:rsid w:val="00793412"/>
    <w:rsid w:val="00794C03"/>
    <w:rsid w:val="00797CD4"/>
    <w:rsid w:val="00797D19"/>
    <w:rsid w:val="007A3FC0"/>
    <w:rsid w:val="007A5EE0"/>
    <w:rsid w:val="007B1884"/>
    <w:rsid w:val="007B2130"/>
    <w:rsid w:val="007B26ED"/>
    <w:rsid w:val="007C0850"/>
    <w:rsid w:val="007C4E16"/>
    <w:rsid w:val="007C5B45"/>
    <w:rsid w:val="007C6B63"/>
    <w:rsid w:val="007D41E4"/>
    <w:rsid w:val="007D5024"/>
    <w:rsid w:val="007E15D7"/>
    <w:rsid w:val="007E4DC6"/>
    <w:rsid w:val="007F17A7"/>
    <w:rsid w:val="007F4ED1"/>
    <w:rsid w:val="00805264"/>
    <w:rsid w:val="00807B74"/>
    <w:rsid w:val="00811123"/>
    <w:rsid w:val="0081305C"/>
    <w:rsid w:val="00813ECC"/>
    <w:rsid w:val="008219AB"/>
    <w:rsid w:val="008230DA"/>
    <w:rsid w:val="0082620B"/>
    <w:rsid w:val="00833003"/>
    <w:rsid w:val="00841640"/>
    <w:rsid w:val="008528D1"/>
    <w:rsid w:val="008532F7"/>
    <w:rsid w:val="00860331"/>
    <w:rsid w:val="00860C14"/>
    <w:rsid w:val="00866870"/>
    <w:rsid w:val="008678D6"/>
    <w:rsid w:val="00872DE5"/>
    <w:rsid w:val="00873558"/>
    <w:rsid w:val="008819E5"/>
    <w:rsid w:val="008841F9"/>
    <w:rsid w:val="00884B56"/>
    <w:rsid w:val="00885708"/>
    <w:rsid w:val="00885E4D"/>
    <w:rsid w:val="00887AC3"/>
    <w:rsid w:val="0089021B"/>
    <w:rsid w:val="00890891"/>
    <w:rsid w:val="00892C7E"/>
    <w:rsid w:val="00894649"/>
    <w:rsid w:val="00894E99"/>
    <w:rsid w:val="008A16CF"/>
    <w:rsid w:val="008A6B32"/>
    <w:rsid w:val="008B0305"/>
    <w:rsid w:val="008B2BAB"/>
    <w:rsid w:val="008B5DB4"/>
    <w:rsid w:val="008C6BC3"/>
    <w:rsid w:val="008D36DA"/>
    <w:rsid w:val="008E7A41"/>
    <w:rsid w:val="008F240D"/>
    <w:rsid w:val="008F2C31"/>
    <w:rsid w:val="008F3716"/>
    <w:rsid w:val="008F3FF0"/>
    <w:rsid w:val="008F4B66"/>
    <w:rsid w:val="008F6441"/>
    <w:rsid w:val="008F7FF1"/>
    <w:rsid w:val="009022CA"/>
    <w:rsid w:val="00906A9D"/>
    <w:rsid w:val="00906FA0"/>
    <w:rsid w:val="009107E0"/>
    <w:rsid w:val="009147C1"/>
    <w:rsid w:val="009154ED"/>
    <w:rsid w:val="009174F8"/>
    <w:rsid w:val="00920CFD"/>
    <w:rsid w:val="00922745"/>
    <w:rsid w:val="00924DCE"/>
    <w:rsid w:val="00927446"/>
    <w:rsid w:val="00927B29"/>
    <w:rsid w:val="00927E24"/>
    <w:rsid w:val="00933E82"/>
    <w:rsid w:val="00934E71"/>
    <w:rsid w:val="00941690"/>
    <w:rsid w:val="00941ADA"/>
    <w:rsid w:val="009459C6"/>
    <w:rsid w:val="00956E5E"/>
    <w:rsid w:val="00957285"/>
    <w:rsid w:val="00961C66"/>
    <w:rsid w:val="009672E7"/>
    <w:rsid w:val="00967B95"/>
    <w:rsid w:val="0097394F"/>
    <w:rsid w:val="0097662F"/>
    <w:rsid w:val="0098380F"/>
    <w:rsid w:val="00983A15"/>
    <w:rsid w:val="009902F1"/>
    <w:rsid w:val="00993046"/>
    <w:rsid w:val="009A30E9"/>
    <w:rsid w:val="009A40CC"/>
    <w:rsid w:val="009A4AE0"/>
    <w:rsid w:val="009A6229"/>
    <w:rsid w:val="009A6A06"/>
    <w:rsid w:val="009B3087"/>
    <w:rsid w:val="009B34C7"/>
    <w:rsid w:val="009B3B9B"/>
    <w:rsid w:val="009C26F4"/>
    <w:rsid w:val="009C4670"/>
    <w:rsid w:val="009D08A2"/>
    <w:rsid w:val="009D0CC8"/>
    <w:rsid w:val="009D3BF2"/>
    <w:rsid w:val="009D3E47"/>
    <w:rsid w:val="009E6A2E"/>
    <w:rsid w:val="009E6EDB"/>
    <w:rsid w:val="009F25C7"/>
    <w:rsid w:val="009F26C6"/>
    <w:rsid w:val="00A01197"/>
    <w:rsid w:val="00A019A5"/>
    <w:rsid w:val="00A05F16"/>
    <w:rsid w:val="00A13FB6"/>
    <w:rsid w:val="00A15F3A"/>
    <w:rsid w:val="00A4261C"/>
    <w:rsid w:val="00A52CA7"/>
    <w:rsid w:val="00A61027"/>
    <w:rsid w:val="00A67FD8"/>
    <w:rsid w:val="00A72472"/>
    <w:rsid w:val="00A74A16"/>
    <w:rsid w:val="00A7598F"/>
    <w:rsid w:val="00A80195"/>
    <w:rsid w:val="00AA11C9"/>
    <w:rsid w:val="00AA1C8A"/>
    <w:rsid w:val="00AA34DE"/>
    <w:rsid w:val="00AA6A1B"/>
    <w:rsid w:val="00AB03E2"/>
    <w:rsid w:val="00AB1AA1"/>
    <w:rsid w:val="00AB1C7E"/>
    <w:rsid w:val="00AB3F69"/>
    <w:rsid w:val="00AB5D94"/>
    <w:rsid w:val="00AC040C"/>
    <w:rsid w:val="00AC5DA6"/>
    <w:rsid w:val="00AC738A"/>
    <w:rsid w:val="00AE0D5A"/>
    <w:rsid w:val="00AE2E52"/>
    <w:rsid w:val="00AE3F2D"/>
    <w:rsid w:val="00AE455D"/>
    <w:rsid w:val="00AF061B"/>
    <w:rsid w:val="00AF4435"/>
    <w:rsid w:val="00AF5126"/>
    <w:rsid w:val="00B015AF"/>
    <w:rsid w:val="00B02194"/>
    <w:rsid w:val="00B03B93"/>
    <w:rsid w:val="00B05730"/>
    <w:rsid w:val="00B06FA7"/>
    <w:rsid w:val="00B075A4"/>
    <w:rsid w:val="00B1026E"/>
    <w:rsid w:val="00B111D5"/>
    <w:rsid w:val="00B141BC"/>
    <w:rsid w:val="00B202B0"/>
    <w:rsid w:val="00B2128D"/>
    <w:rsid w:val="00B212F8"/>
    <w:rsid w:val="00B21E72"/>
    <w:rsid w:val="00B226CB"/>
    <w:rsid w:val="00B26129"/>
    <w:rsid w:val="00B26F00"/>
    <w:rsid w:val="00B305E5"/>
    <w:rsid w:val="00B33CC9"/>
    <w:rsid w:val="00B43485"/>
    <w:rsid w:val="00B4707E"/>
    <w:rsid w:val="00B52E54"/>
    <w:rsid w:val="00B54E23"/>
    <w:rsid w:val="00B560BC"/>
    <w:rsid w:val="00B62733"/>
    <w:rsid w:val="00B67F40"/>
    <w:rsid w:val="00B71212"/>
    <w:rsid w:val="00B73D1B"/>
    <w:rsid w:val="00B82227"/>
    <w:rsid w:val="00B828D3"/>
    <w:rsid w:val="00B845D2"/>
    <w:rsid w:val="00B849F8"/>
    <w:rsid w:val="00B84AFE"/>
    <w:rsid w:val="00B91DDE"/>
    <w:rsid w:val="00BA5439"/>
    <w:rsid w:val="00BA653B"/>
    <w:rsid w:val="00BA66AD"/>
    <w:rsid w:val="00BA771C"/>
    <w:rsid w:val="00BA7BF8"/>
    <w:rsid w:val="00BB23FF"/>
    <w:rsid w:val="00BB25CA"/>
    <w:rsid w:val="00BB3739"/>
    <w:rsid w:val="00BB5A91"/>
    <w:rsid w:val="00BB5DFB"/>
    <w:rsid w:val="00BB6B67"/>
    <w:rsid w:val="00BC0CE7"/>
    <w:rsid w:val="00BD2BB7"/>
    <w:rsid w:val="00BD2D49"/>
    <w:rsid w:val="00BD4F7B"/>
    <w:rsid w:val="00BD614D"/>
    <w:rsid w:val="00BE1A02"/>
    <w:rsid w:val="00BE6EBB"/>
    <w:rsid w:val="00BE7ACE"/>
    <w:rsid w:val="00BE7F20"/>
    <w:rsid w:val="00BF0DF9"/>
    <w:rsid w:val="00BF5E47"/>
    <w:rsid w:val="00C11D7D"/>
    <w:rsid w:val="00C12F20"/>
    <w:rsid w:val="00C16B0C"/>
    <w:rsid w:val="00C16BA3"/>
    <w:rsid w:val="00C2188F"/>
    <w:rsid w:val="00C2237A"/>
    <w:rsid w:val="00C22876"/>
    <w:rsid w:val="00C32805"/>
    <w:rsid w:val="00C3292C"/>
    <w:rsid w:val="00C3310C"/>
    <w:rsid w:val="00C42F40"/>
    <w:rsid w:val="00C43B72"/>
    <w:rsid w:val="00C519B5"/>
    <w:rsid w:val="00C568C1"/>
    <w:rsid w:val="00C5707F"/>
    <w:rsid w:val="00C57E4E"/>
    <w:rsid w:val="00C61BDE"/>
    <w:rsid w:val="00C67186"/>
    <w:rsid w:val="00C70DD8"/>
    <w:rsid w:val="00C7107D"/>
    <w:rsid w:val="00C74790"/>
    <w:rsid w:val="00C85241"/>
    <w:rsid w:val="00C855E7"/>
    <w:rsid w:val="00C85A48"/>
    <w:rsid w:val="00C92C2D"/>
    <w:rsid w:val="00C92DAB"/>
    <w:rsid w:val="00C96780"/>
    <w:rsid w:val="00C967FE"/>
    <w:rsid w:val="00CA3244"/>
    <w:rsid w:val="00CA4574"/>
    <w:rsid w:val="00CB0C9F"/>
    <w:rsid w:val="00CB12FF"/>
    <w:rsid w:val="00CB1699"/>
    <w:rsid w:val="00CB2A34"/>
    <w:rsid w:val="00CC06C6"/>
    <w:rsid w:val="00CD2C61"/>
    <w:rsid w:val="00CD70E5"/>
    <w:rsid w:val="00CE1352"/>
    <w:rsid w:val="00CE2F55"/>
    <w:rsid w:val="00CE5A08"/>
    <w:rsid w:val="00CE6A42"/>
    <w:rsid w:val="00CF10D3"/>
    <w:rsid w:val="00D00922"/>
    <w:rsid w:val="00D01863"/>
    <w:rsid w:val="00D05FD1"/>
    <w:rsid w:val="00D15247"/>
    <w:rsid w:val="00D307EA"/>
    <w:rsid w:val="00D33E8F"/>
    <w:rsid w:val="00D3559B"/>
    <w:rsid w:val="00D35720"/>
    <w:rsid w:val="00D404C5"/>
    <w:rsid w:val="00D41969"/>
    <w:rsid w:val="00D42EC2"/>
    <w:rsid w:val="00D5295B"/>
    <w:rsid w:val="00D61331"/>
    <w:rsid w:val="00D61DB2"/>
    <w:rsid w:val="00D62688"/>
    <w:rsid w:val="00D63037"/>
    <w:rsid w:val="00D65765"/>
    <w:rsid w:val="00D67461"/>
    <w:rsid w:val="00D70ECD"/>
    <w:rsid w:val="00D730C9"/>
    <w:rsid w:val="00D776B3"/>
    <w:rsid w:val="00D85F62"/>
    <w:rsid w:val="00D866A0"/>
    <w:rsid w:val="00D91985"/>
    <w:rsid w:val="00D931BF"/>
    <w:rsid w:val="00DA29AC"/>
    <w:rsid w:val="00DA40BD"/>
    <w:rsid w:val="00DA4C52"/>
    <w:rsid w:val="00DA7B7E"/>
    <w:rsid w:val="00DB34D8"/>
    <w:rsid w:val="00DB5614"/>
    <w:rsid w:val="00DB56CC"/>
    <w:rsid w:val="00DB5B09"/>
    <w:rsid w:val="00DB7602"/>
    <w:rsid w:val="00DC31D2"/>
    <w:rsid w:val="00DD007E"/>
    <w:rsid w:val="00DD0B66"/>
    <w:rsid w:val="00DD159F"/>
    <w:rsid w:val="00DD3591"/>
    <w:rsid w:val="00DD3761"/>
    <w:rsid w:val="00DD5742"/>
    <w:rsid w:val="00DD6DCB"/>
    <w:rsid w:val="00DE0A73"/>
    <w:rsid w:val="00DE3430"/>
    <w:rsid w:val="00DF06F0"/>
    <w:rsid w:val="00DF2DDB"/>
    <w:rsid w:val="00DF4627"/>
    <w:rsid w:val="00DF479A"/>
    <w:rsid w:val="00DF734F"/>
    <w:rsid w:val="00E01136"/>
    <w:rsid w:val="00E051B7"/>
    <w:rsid w:val="00E0532D"/>
    <w:rsid w:val="00E079E1"/>
    <w:rsid w:val="00E1657D"/>
    <w:rsid w:val="00E173B9"/>
    <w:rsid w:val="00E206E1"/>
    <w:rsid w:val="00E20EC3"/>
    <w:rsid w:val="00E2123D"/>
    <w:rsid w:val="00E2224E"/>
    <w:rsid w:val="00E3002A"/>
    <w:rsid w:val="00E376B5"/>
    <w:rsid w:val="00E37DE2"/>
    <w:rsid w:val="00E42F05"/>
    <w:rsid w:val="00E43DF1"/>
    <w:rsid w:val="00E50077"/>
    <w:rsid w:val="00E54B51"/>
    <w:rsid w:val="00E62DDB"/>
    <w:rsid w:val="00E67EC1"/>
    <w:rsid w:val="00E71CED"/>
    <w:rsid w:val="00E72510"/>
    <w:rsid w:val="00E74ECE"/>
    <w:rsid w:val="00E80D1B"/>
    <w:rsid w:val="00E90711"/>
    <w:rsid w:val="00E9083F"/>
    <w:rsid w:val="00E93C4E"/>
    <w:rsid w:val="00E97E91"/>
    <w:rsid w:val="00EA0079"/>
    <w:rsid w:val="00EA4DF4"/>
    <w:rsid w:val="00EA55B9"/>
    <w:rsid w:val="00EA5EF6"/>
    <w:rsid w:val="00EA6DB4"/>
    <w:rsid w:val="00EB6585"/>
    <w:rsid w:val="00EC0297"/>
    <w:rsid w:val="00EC4535"/>
    <w:rsid w:val="00EC4CCC"/>
    <w:rsid w:val="00EC529A"/>
    <w:rsid w:val="00EC6BE1"/>
    <w:rsid w:val="00ED1767"/>
    <w:rsid w:val="00ED7878"/>
    <w:rsid w:val="00EE32EA"/>
    <w:rsid w:val="00EE46E3"/>
    <w:rsid w:val="00EE512C"/>
    <w:rsid w:val="00EE5941"/>
    <w:rsid w:val="00EF6E99"/>
    <w:rsid w:val="00EF7C39"/>
    <w:rsid w:val="00F04A09"/>
    <w:rsid w:val="00F21048"/>
    <w:rsid w:val="00F214C1"/>
    <w:rsid w:val="00F2620F"/>
    <w:rsid w:val="00F27BCC"/>
    <w:rsid w:val="00F27C03"/>
    <w:rsid w:val="00F31BE0"/>
    <w:rsid w:val="00F3438F"/>
    <w:rsid w:val="00F34F5F"/>
    <w:rsid w:val="00F4335B"/>
    <w:rsid w:val="00F468AA"/>
    <w:rsid w:val="00F518CB"/>
    <w:rsid w:val="00F5312B"/>
    <w:rsid w:val="00F55A87"/>
    <w:rsid w:val="00F6061A"/>
    <w:rsid w:val="00F638B1"/>
    <w:rsid w:val="00F659D7"/>
    <w:rsid w:val="00F66E09"/>
    <w:rsid w:val="00F71992"/>
    <w:rsid w:val="00F804A7"/>
    <w:rsid w:val="00F805D1"/>
    <w:rsid w:val="00F8335D"/>
    <w:rsid w:val="00F83728"/>
    <w:rsid w:val="00F87F7D"/>
    <w:rsid w:val="00F93886"/>
    <w:rsid w:val="00F95824"/>
    <w:rsid w:val="00F967B8"/>
    <w:rsid w:val="00FA2D1B"/>
    <w:rsid w:val="00FA440F"/>
    <w:rsid w:val="00FA7E81"/>
    <w:rsid w:val="00FB0A9D"/>
    <w:rsid w:val="00FB4F9B"/>
    <w:rsid w:val="00FB67B3"/>
    <w:rsid w:val="00FC183D"/>
    <w:rsid w:val="00FC46DF"/>
    <w:rsid w:val="00FC7457"/>
    <w:rsid w:val="00FC74F8"/>
    <w:rsid w:val="00FD0674"/>
    <w:rsid w:val="00FD35D8"/>
    <w:rsid w:val="00FD36F0"/>
    <w:rsid w:val="00FD7AF4"/>
    <w:rsid w:val="00FE087F"/>
    <w:rsid w:val="00FE287A"/>
    <w:rsid w:val="00FE40CE"/>
    <w:rsid w:val="00FE6629"/>
    <w:rsid w:val="00FF6127"/>
    <w:rsid w:val="06B71A0D"/>
    <w:rsid w:val="0C4C49F2"/>
    <w:rsid w:val="0CEC86A5"/>
    <w:rsid w:val="0D727B9A"/>
    <w:rsid w:val="120C13C3"/>
    <w:rsid w:val="18166185"/>
    <w:rsid w:val="252A00B4"/>
    <w:rsid w:val="25D5158B"/>
    <w:rsid w:val="2B21709B"/>
    <w:rsid w:val="2BE7CA28"/>
    <w:rsid w:val="375EF6DD"/>
    <w:rsid w:val="3BB78F78"/>
    <w:rsid w:val="426D335C"/>
    <w:rsid w:val="48F2A62C"/>
    <w:rsid w:val="504C84A1"/>
    <w:rsid w:val="53C5253C"/>
    <w:rsid w:val="5DDA9F8B"/>
    <w:rsid w:val="65090619"/>
    <w:rsid w:val="6CF1720D"/>
    <w:rsid w:val="6EB3E1F4"/>
    <w:rsid w:val="6F6CF863"/>
    <w:rsid w:val="72484041"/>
    <w:rsid w:val="7E22A27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E29494"/>
  <w15:docId w15:val="{B544E004-A00C-4AAE-87C5-A4B12B52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1248"/>
      <w:outlineLvl w:val="0"/>
    </w:pPr>
    <w:rPr>
      <w:sz w:val="32"/>
      <w:szCs w:val="32"/>
    </w:rPr>
  </w:style>
  <w:style w:type="paragraph" w:styleId="Heading2">
    <w:name w:val="heading 2"/>
    <w:basedOn w:val="Normal"/>
    <w:uiPriority w:val="9"/>
    <w:unhideWhenUsed/>
    <w:qFormat/>
    <w:pPr>
      <w:ind w:left="827" w:hanging="720"/>
      <w:outlineLvl w:val="1"/>
    </w:pPr>
    <w:rPr>
      <w:b/>
      <w:bCs/>
      <w:sz w:val="20"/>
      <w:szCs w:val="20"/>
    </w:rPr>
  </w:style>
  <w:style w:type="paragraph" w:styleId="Heading5">
    <w:name w:val="heading 5"/>
    <w:basedOn w:val="Normal"/>
    <w:next w:val="Normal"/>
    <w:link w:val="Heading5Char"/>
    <w:uiPriority w:val="9"/>
    <w:semiHidden/>
    <w:qFormat/>
    <w:rsid w:val="00C57E4E"/>
    <w:pPr>
      <w:keepNext/>
      <w:keepLines/>
      <w:widowControl/>
      <w:numPr>
        <w:ilvl w:val="4"/>
        <w:numId w:val="1"/>
      </w:numPr>
      <w:autoSpaceDE/>
      <w:autoSpaceDN/>
      <w:spacing w:before="200"/>
      <w:outlineLvl w:val="4"/>
    </w:pPr>
    <w:rPr>
      <w:rFonts w:asciiTheme="majorHAnsi" w:eastAsiaTheme="majorEastAsia" w:hAnsiTheme="majorHAnsi" w:cstheme="majorBidi"/>
      <w:color w:val="243F60" w:themeColor="accent1" w:themeShade="7F"/>
      <w:sz w:val="20"/>
      <w:lang w:val="en-AU" w:eastAsia="en-AU"/>
    </w:rPr>
  </w:style>
  <w:style w:type="paragraph" w:styleId="Heading6">
    <w:name w:val="heading 6"/>
    <w:basedOn w:val="Normal"/>
    <w:next w:val="Normal"/>
    <w:link w:val="Heading6Char"/>
    <w:uiPriority w:val="3"/>
    <w:semiHidden/>
    <w:qFormat/>
    <w:rsid w:val="00C57E4E"/>
    <w:pPr>
      <w:keepNext/>
      <w:keepLines/>
      <w:widowControl/>
      <w:numPr>
        <w:ilvl w:val="5"/>
        <w:numId w:val="1"/>
      </w:numPr>
      <w:autoSpaceDE/>
      <w:autoSpaceDN/>
      <w:spacing w:before="200"/>
      <w:outlineLvl w:val="5"/>
    </w:pPr>
    <w:rPr>
      <w:rFonts w:asciiTheme="majorHAnsi" w:eastAsiaTheme="majorEastAsia" w:hAnsiTheme="majorHAnsi" w:cstheme="majorBidi"/>
      <w:i/>
      <w:iCs/>
      <w:color w:val="243F60" w:themeColor="accent1" w:themeShade="7F"/>
      <w:sz w:val="20"/>
      <w:lang w:val="en-AU" w:eastAsia="en-AU"/>
    </w:rPr>
  </w:style>
  <w:style w:type="paragraph" w:styleId="Heading7">
    <w:name w:val="heading 7"/>
    <w:basedOn w:val="Normal"/>
    <w:next w:val="Normal"/>
    <w:link w:val="Heading7Char"/>
    <w:uiPriority w:val="3"/>
    <w:semiHidden/>
    <w:qFormat/>
    <w:rsid w:val="00C57E4E"/>
    <w:pPr>
      <w:keepNext/>
      <w:keepLines/>
      <w:widowControl/>
      <w:numPr>
        <w:ilvl w:val="6"/>
        <w:numId w:val="1"/>
      </w:numPr>
      <w:autoSpaceDE/>
      <w:autoSpaceDN/>
      <w:spacing w:before="200"/>
      <w:outlineLvl w:val="6"/>
    </w:pPr>
    <w:rPr>
      <w:rFonts w:asciiTheme="majorHAnsi" w:eastAsiaTheme="majorEastAsia" w:hAnsiTheme="majorHAnsi" w:cstheme="majorBidi"/>
      <w:i/>
      <w:iCs/>
      <w:color w:val="404040" w:themeColor="text1" w:themeTint="BF"/>
      <w:sz w:val="20"/>
      <w:lang w:val="en-AU" w:eastAsia="en-AU"/>
    </w:rPr>
  </w:style>
  <w:style w:type="paragraph" w:styleId="Heading8">
    <w:name w:val="heading 8"/>
    <w:basedOn w:val="Normal"/>
    <w:next w:val="Normal"/>
    <w:link w:val="Heading8Char"/>
    <w:uiPriority w:val="3"/>
    <w:semiHidden/>
    <w:qFormat/>
    <w:rsid w:val="00C57E4E"/>
    <w:pPr>
      <w:keepNext/>
      <w:keepLines/>
      <w:widowControl/>
      <w:numPr>
        <w:ilvl w:val="7"/>
        <w:numId w:val="1"/>
      </w:numPr>
      <w:autoSpaceDE/>
      <w:autoSpaceDN/>
      <w:spacing w:before="200"/>
      <w:outlineLvl w:val="7"/>
    </w:pPr>
    <w:rPr>
      <w:rFonts w:asciiTheme="majorHAnsi" w:eastAsiaTheme="majorEastAsia" w:hAnsiTheme="majorHAnsi" w:cstheme="majorBidi"/>
      <w:color w:val="404040" w:themeColor="text1" w:themeTint="BF"/>
      <w:sz w:val="20"/>
      <w:szCs w:val="20"/>
      <w:lang w:val="en-AU" w:eastAsia="en-AU"/>
    </w:rPr>
  </w:style>
  <w:style w:type="paragraph" w:styleId="Heading9">
    <w:name w:val="heading 9"/>
    <w:basedOn w:val="Normal"/>
    <w:next w:val="Normal"/>
    <w:link w:val="Heading9Char"/>
    <w:uiPriority w:val="3"/>
    <w:semiHidden/>
    <w:qFormat/>
    <w:rsid w:val="00C57E4E"/>
    <w:pPr>
      <w:keepNext/>
      <w:keepLines/>
      <w:widowControl/>
      <w:numPr>
        <w:ilvl w:val="8"/>
        <w:numId w:val="1"/>
      </w:numPr>
      <w:autoSpaceDE/>
      <w:autoSpaceDN/>
      <w:spacing w:before="200"/>
      <w:outlineLvl w:val="8"/>
    </w:pPr>
    <w:rPr>
      <w:rFonts w:asciiTheme="majorHAnsi" w:eastAsiaTheme="majorEastAsia" w:hAnsiTheme="majorHAnsi" w:cstheme="majorBidi"/>
      <w:i/>
      <w:iCs/>
      <w:color w:val="404040" w:themeColor="text1" w:themeTint="BF"/>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7" w:hanging="360"/>
    </w:pPr>
  </w:style>
  <w:style w:type="paragraph" w:customStyle="1" w:styleId="TableParagraph">
    <w:name w:val="Table Paragraph"/>
    <w:basedOn w:val="Normal"/>
    <w:uiPriority w:val="1"/>
    <w:qFormat/>
    <w:pPr>
      <w:spacing w:line="230" w:lineRule="exact"/>
      <w:ind w:left="103"/>
    </w:pPr>
  </w:style>
  <w:style w:type="paragraph" w:customStyle="1" w:styleId="AHPRAbody">
    <w:name w:val="AHPRA body"/>
    <w:basedOn w:val="Normal"/>
    <w:link w:val="AHPRAbodyChar"/>
    <w:qFormat/>
    <w:rsid w:val="00924DCE"/>
    <w:pPr>
      <w:widowControl/>
      <w:autoSpaceDE/>
      <w:autoSpaceDN/>
      <w:spacing w:after="200"/>
    </w:pPr>
    <w:rPr>
      <w:rFonts w:eastAsia="Cambria"/>
      <w:sz w:val="20"/>
      <w:szCs w:val="24"/>
      <w:lang w:val="en-AU"/>
    </w:rPr>
  </w:style>
  <w:style w:type="paragraph" w:customStyle="1" w:styleId="AHPRADocumentsubheading">
    <w:name w:val="AHPRA Document subheading"/>
    <w:basedOn w:val="Normal"/>
    <w:next w:val="Normal"/>
    <w:qFormat/>
    <w:rsid w:val="00924DCE"/>
    <w:pPr>
      <w:widowControl/>
      <w:autoSpaceDE/>
      <w:autoSpaceDN/>
      <w:spacing w:after="200"/>
      <w:outlineLvl w:val="0"/>
    </w:pPr>
    <w:rPr>
      <w:rFonts w:eastAsia="Cambria"/>
      <w:color w:val="5F6062"/>
      <w:sz w:val="28"/>
      <w:szCs w:val="52"/>
      <w:lang w:val="en-AU"/>
    </w:rPr>
  </w:style>
  <w:style w:type="character" w:customStyle="1" w:styleId="AHPRAbodyChar">
    <w:name w:val="AHPRA body Char"/>
    <w:basedOn w:val="DefaultParagraphFont"/>
    <w:link w:val="AHPRAbody"/>
    <w:rsid w:val="00924DCE"/>
    <w:rPr>
      <w:rFonts w:ascii="Arial" w:eastAsia="Cambria" w:hAnsi="Arial" w:cs="Arial"/>
      <w:sz w:val="20"/>
      <w:szCs w:val="24"/>
      <w:lang w:val="en-AU"/>
    </w:rPr>
  </w:style>
  <w:style w:type="paragraph" w:customStyle="1" w:styleId="AHPRASubheading">
    <w:name w:val="AHPRA Subheading"/>
    <w:basedOn w:val="Normal"/>
    <w:qFormat/>
    <w:rsid w:val="00924DCE"/>
    <w:pPr>
      <w:widowControl/>
      <w:autoSpaceDE/>
      <w:autoSpaceDN/>
      <w:spacing w:before="200" w:after="200"/>
    </w:pPr>
    <w:rPr>
      <w:rFonts w:eastAsia="Cambria" w:cs="Times New Roman"/>
      <w:b/>
      <w:color w:val="007DC3"/>
      <w:sz w:val="20"/>
      <w:szCs w:val="24"/>
      <w:lang w:val="en-AU"/>
    </w:rPr>
  </w:style>
  <w:style w:type="paragraph" w:customStyle="1" w:styleId="AHPRANumberedlistlevel2">
    <w:name w:val="AHPRA Numbered list level 2"/>
    <w:basedOn w:val="AHPRANumberedlistlevel1"/>
    <w:rsid w:val="00924DCE"/>
    <w:pPr>
      <w:numPr>
        <w:ilvl w:val="1"/>
      </w:numPr>
    </w:pPr>
  </w:style>
  <w:style w:type="numbering" w:customStyle="1" w:styleId="AHPRANumberedlist">
    <w:name w:val="AHPRA Numbered list"/>
    <w:uiPriority w:val="99"/>
    <w:rsid w:val="00924DCE"/>
    <w:pPr>
      <w:numPr>
        <w:numId w:val="12"/>
      </w:numPr>
    </w:pPr>
  </w:style>
  <w:style w:type="paragraph" w:customStyle="1" w:styleId="AHPRANumberedlistlevel1">
    <w:name w:val="AHPRA Numbered list level 1"/>
    <w:basedOn w:val="AHPRABulletlevel1"/>
    <w:rsid w:val="00924DCE"/>
    <w:pPr>
      <w:numPr>
        <w:numId w:val="13"/>
      </w:numPr>
    </w:pPr>
  </w:style>
  <w:style w:type="paragraph" w:customStyle="1" w:styleId="AHPRANumberedlistlevel3">
    <w:name w:val="AHPRA Numbered list level 3"/>
    <w:basedOn w:val="AHPRANumberedlistlevel1"/>
    <w:rsid w:val="00924DCE"/>
    <w:pPr>
      <w:numPr>
        <w:ilvl w:val="2"/>
      </w:numPr>
    </w:pPr>
  </w:style>
  <w:style w:type="paragraph" w:customStyle="1" w:styleId="AHPRABulletlevel1">
    <w:name w:val="AHPRA Bullet level 1"/>
    <w:basedOn w:val="Normal"/>
    <w:qFormat/>
    <w:rsid w:val="005634AE"/>
    <w:pPr>
      <w:widowControl/>
      <w:numPr>
        <w:numId w:val="14"/>
      </w:numPr>
      <w:autoSpaceDE/>
      <w:autoSpaceDN/>
    </w:pPr>
    <w:rPr>
      <w:rFonts w:eastAsia="Cambria" w:cs="Times New Roman"/>
      <w:sz w:val="20"/>
      <w:szCs w:val="24"/>
      <w:lang w:val="en-AU"/>
    </w:rPr>
  </w:style>
  <w:style w:type="paragraph" w:customStyle="1" w:styleId="AHPRABulletlevel2">
    <w:name w:val="AHPRA Bullet level 2"/>
    <w:basedOn w:val="AHPRABulletlevel1"/>
    <w:rsid w:val="00924DCE"/>
    <w:pPr>
      <w:numPr>
        <w:numId w:val="6"/>
      </w:numPr>
    </w:pPr>
  </w:style>
  <w:style w:type="character" w:styleId="CommentReference">
    <w:name w:val="annotation reference"/>
    <w:basedOn w:val="DefaultParagraphFont"/>
    <w:uiPriority w:val="99"/>
    <w:semiHidden/>
    <w:unhideWhenUsed/>
    <w:rsid w:val="00541F05"/>
    <w:rPr>
      <w:sz w:val="16"/>
      <w:szCs w:val="16"/>
    </w:rPr>
  </w:style>
  <w:style w:type="paragraph" w:styleId="CommentText">
    <w:name w:val="annotation text"/>
    <w:basedOn w:val="Normal"/>
    <w:link w:val="CommentTextChar"/>
    <w:uiPriority w:val="99"/>
    <w:semiHidden/>
    <w:unhideWhenUsed/>
    <w:rsid w:val="00541F05"/>
    <w:rPr>
      <w:sz w:val="20"/>
      <w:szCs w:val="20"/>
    </w:rPr>
  </w:style>
  <w:style w:type="character" w:customStyle="1" w:styleId="CommentTextChar">
    <w:name w:val="Comment Text Char"/>
    <w:basedOn w:val="DefaultParagraphFont"/>
    <w:link w:val="CommentText"/>
    <w:uiPriority w:val="99"/>
    <w:semiHidden/>
    <w:rsid w:val="00541F0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41F05"/>
    <w:rPr>
      <w:b/>
      <w:bCs/>
    </w:rPr>
  </w:style>
  <w:style w:type="character" w:customStyle="1" w:styleId="CommentSubjectChar">
    <w:name w:val="Comment Subject Char"/>
    <w:basedOn w:val="CommentTextChar"/>
    <w:link w:val="CommentSubject"/>
    <w:uiPriority w:val="99"/>
    <w:semiHidden/>
    <w:rsid w:val="00541F05"/>
    <w:rPr>
      <w:rFonts w:ascii="Arial" w:eastAsia="Arial" w:hAnsi="Arial" w:cs="Arial"/>
      <w:b/>
      <w:bCs/>
      <w:sz w:val="20"/>
      <w:szCs w:val="20"/>
    </w:rPr>
  </w:style>
  <w:style w:type="paragraph" w:styleId="Revision">
    <w:name w:val="Revision"/>
    <w:hidden/>
    <w:uiPriority w:val="99"/>
    <w:semiHidden/>
    <w:rsid w:val="00541F05"/>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541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F05"/>
    <w:rPr>
      <w:rFonts w:ascii="Segoe UI" w:eastAsia="Arial" w:hAnsi="Segoe UI" w:cs="Segoe UI"/>
      <w:sz w:val="18"/>
      <w:szCs w:val="18"/>
    </w:rPr>
  </w:style>
  <w:style w:type="paragraph" w:styleId="FootnoteText">
    <w:name w:val="footnote text"/>
    <w:basedOn w:val="Normal"/>
    <w:link w:val="FootnoteTextChar"/>
    <w:uiPriority w:val="1"/>
    <w:unhideWhenUsed/>
    <w:rsid w:val="00AC5DA6"/>
    <w:pPr>
      <w:widowControl/>
      <w:autoSpaceDE/>
      <w:autoSpaceDN/>
      <w:spacing w:after="200"/>
    </w:pPr>
    <w:rPr>
      <w:rFonts w:eastAsia="Cambria" w:cs="Times New Roman"/>
      <w:sz w:val="20"/>
      <w:szCs w:val="20"/>
      <w:lang w:val="en-AU"/>
    </w:rPr>
  </w:style>
  <w:style w:type="character" w:customStyle="1" w:styleId="FootnoteTextChar">
    <w:name w:val="Footnote Text Char"/>
    <w:basedOn w:val="DefaultParagraphFont"/>
    <w:link w:val="FootnoteText"/>
    <w:uiPriority w:val="1"/>
    <w:rsid w:val="00AC5DA6"/>
    <w:rPr>
      <w:rFonts w:ascii="Arial" w:eastAsia="Cambria" w:hAnsi="Arial" w:cs="Times New Roman"/>
      <w:sz w:val="20"/>
      <w:szCs w:val="20"/>
      <w:lang w:val="en-AU"/>
    </w:rPr>
  </w:style>
  <w:style w:type="character" w:styleId="FootnoteReference">
    <w:name w:val="footnote reference"/>
    <w:basedOn w:val="DefaultParagraphFont"/>
    <w:unhideWhenUsed/>
    <w:rsid w:val="00AC5DA6"/>
    <w:rPr>
      <w:rFonts w:ascii="Arial" w:hAnsi="Arial"/>
      <w:color w:val="auto"/>
      <w:sz w:val="18"/>
      <w:vertAlign w:val="superscript"/>
    </w:rPr>
  </w:style>
  <w:style w:type="character" w:styleId="Hyperlink">
    <w:name w:val="Hyperlink"/>
    <w:uiPriority w:val="99"/>
    <w:unhideWhenUsed/>
    <w:rsid w:val="00AC5DA6"/>
    <w:rPr>
      <w:color w:val="0000FF"/>
      <w:u w:val="single"/>
    </w:rPr>
  </w:style>
  <w:style w:type="table" w:styleId="GridTable4-Accent1">
    <w:name w:val="Grid Table 4 Accent 1"/>
    <w:basedOn w:val="TableNormal"/>
    <w:uiPriority w:val="49"/>
    <w:rsid w:val="00AC5DA6"/>
    <w:pPr>
      <w:widowControl/>
      <w:autoSpaceDE/>
      <w:autoSpaceDN/>
    </w:pPr>
    <w:rPr>
      <w:rFonts w:ascii="Arial" w:eastAsia="Cambria" w:hAnsi="Arial" w:cs="Times New Roman"/>
      <w:sz w:val="20"/>
      <w:szCs w:val="20"/>
      <w:lang w:val="en-AU"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5Char">
    <w:name w:val="Heading 5 Char"/>
    <w:basedOn w:val="DefaultParagraphFont"/>
    <w:link w:val="Heading5"/>
    <w:uiPriority w:val="9"/>
    <w:semiHidden/>
    <w:rsid w:val="00C57E4E"/>
    <w:rPr>
      <w:rFonts w:asciiTheme="majorHAnsi" w:eastAsiaTheme="majorEastAsia" w:hAnsiTheme="majorHAnsi" w:cstheme="majorBidi"/>
      <w:color w:val="243F60" w:themeColor="accent1" w:themeShade="7F"/>
      <w:sz w:val="20"/>
      <w:lang w:val="en-AU" w:eastAsia="en-AU"/>
    </w:rPr>
  </w:style>
  <w:style w:type="character" w:customStyle="1" w:styleId="Heading6Char">
    <w:name w:val="Heading 6 Char"/>
    <w:basedOn w:val="DefaultParagraphFont"/>
    <w:link w:val="Heading6"/>
    <w:uiPriority w:val="3"/>
    <w:semiHidden/>
    <w:rsid w:val="00C57E4E"/>
    <w:rPr>
      <w:rFonts w:asciiTheme="majorHAnsi" w:eastAsiaTheme="majorEastAsia" w:hAnsiTheme="majorHAnsi" w:cstheme="majorBidi"/>
      <w:i/>
      <w:iCs/>
      <w:color w:val="243F60" w:themeColor="accent1" w:themeShade="7F"/>
      <w:sz w:val="20"/>
      <w:lang w:val="en-AU" w:eastAsia="en-AU"/>
    </w:rPr>
  </w:style>
  <w:style w:type="character" w:customStyle="1" w:styleId="Heading7Char">
    <w:name w:val="Heading 7 Char"/>
    <w:basedOn w:val="DefaultParagraphFont"/>
    <w:link w:val="Heading7"/>
    <w:uiPriority w:val="3"/>
    <w:semiHidden/>
    <w:rsid w:val="00C57E4E"/>
    <w:rPr>
      <w:rFonts w:asciiTheme="majorHAnsi" w:eastAsiaTheme="majorEastAsia" w:hAnsiTheme="majorHAnsi" w:cstheme="majorBidi"/>
      <w:i/>
      <w:iCs/>
      <w:color w:val="404040" w:themeColor="text1" w:themeTint="BF"/>
      <w:sz w:val="20"/>
      <w:lang w:val="en-AU" w:eastAsia="en-AU"/>
    </w:rPr>
  </w:style>
  <w:style w:type="character" w:customStyle="1" w:styleId="Heading8Char">
    <w:name w:val="Heading 8 Char"/>
    <w:basedOn w:val="DefaultParagraphFont"/>
    <w:link w:val="Heading8"/>
    <w:uiPriority w:val="3"/>
    <w:semiHidden/>
    <w:rsid w:val="00C57E4E"/>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3"/>
    <w:semiHidden/>
    <w:rsid w:val="00C57E4E"/>
    <w:rPr>
      <w:rFonts w:asciiTheme="majorHAnsi" w:eastAsiaTheme="majorEastAsia" w:hAnsiTheme="majorHAnsi" w:cstheme="majorBidi"/>
      <w:i/>
      <w:iCs/>
      <w:color w:val="404040" w:themeColor="text1" w:themeTint="BF"/>
      <w:sz w:val="20"/>
      <w:szCs w:val="20"/>
      <w:lang w:val="en-AU" w:eastAsia="en-AU"/>
    </w:rPr>
  </w:style>
  <w:style w:type="paragraph" w:customStyle="1" w:styleId="Bullet1">
    <w:name w:val="Bullet 1"/>
    <w:basedOn w:val="Normal"/>
    <w:qFormat/>
    <w:rsid w:val="00C57E4E"/>
    <w:pPr>
      <w:widowControl/>
      <w:numPr>
        <w:numId w:val="1"/>
      </w:numPr>
      <w:autoSpaceDE/>
      <w:autoSpaceDN/>
      <w:spacing w:before="80" w:after="80"/>
    </w:pPr>
    <w:rPr>
      <w:rFonts w:ascii="Calibri" w:eastAsia="Times New Roman" w:hAnsi="Calibri" w:cs="Calibri"/>
      <w:sz w:val="20"/>
      <w:lang w:val="en-AU" w:eastAsia="en-AU"/>
    </w:rPr>
  </w:style>
  <w:style w:type="paragraph" w:customStyle="1" w:styleId="Bullet2">
    <w:name w:val="Bullet 2"/>
    <w:basedOn w:val="Bullet1"/>
    <w:rsid w:val="00C57E4E"/>
    <w:pPr>
      <w:numPr>
        <w:ilvl w:val="1"/>
      </w:numPr>
    </w:pPr>
  </w:style>
  <w:style w:type="paragraph" w:customStyle="1" w:styleId="Bullet3">
    <w:name w:val="Bullet 3"/>
    <w:basedOn w:val="Bullet2"/>
    <w:rsid w:val="00C57E4E"/>
    <w:pPr>
      <w:numPr>
        <w:ilvl w:val="2"/>
      </w:numPr>
    </w:pPr>
  </w:style>
  <w:style w:type="table" w:styleId="TableGrid">
    <w:name w:val="Table Grid"/>
    <w:basedOn w:val="TableNormal"/>
    <w:rsid w:val="00F967B8"/>
    <w:pPr>
      <w:widowControl/>
      <w:autoSpaceDE/>
      <w:autoSpaceDN/>
    </w:pPr>
    <w:rPr>
      <w:rFonts w:ascii="Arial" w:eastAsia="Cambria"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293F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Header">
    <w:name w:val="header"/>
    <w:basedOn w:val="Normal"/>
    <w:link w:val="HeaderChar"/>
    <w:uiPriority w:val="99"/>
    <w:unhideWhenUsed/>
    <w:rsid w:val="00CF10D3"/>
    <w:pPr>
      <w:tabs>
        <w:tab w:val="center" w:pos="4513"/>
        <w:tab w:val="right" w:pos="9026"/>
      </w:tabs>
    </w:pPr>
  </w:style>
  <w:style w:type="character" w:customStyle="1" w:styleId="HeaderChar">
    <w:name w:val="Header Char"/>
    <w:basedOn w:val="DefaultParagraphFont"/>
    <w:link w:val="Header"/>
    <w:uiPriority w:val="99"/>
    <w:rsid w:val="00CF10D3"/>
    <w:rPr>
      <w:rFonts w:ascii="Arial" w:eastAsia="Arial" w:hAnsi="Arial" w:cs="Arial"/>
    </w:rPr>
  </w:style>
  <w:style w:type="paragraph" w:styleId="Footer">
    <w:name w:val="footer"/>
    <w:basedOn w:val="Normal"/>
    <w:link w:val="FooterChar"/>
    <w:uiPriority w:val="99"/>
    <w:unhideWhenUsed/>
    <w:rsid w:val="00CF10D3"/>
    <w:pPr>
      <w:tabs>
        <w:tab w:val="center" w:pos="4513"/>
        <w:tab w:val="right" w:pos="9026"/>
      </w:tabs>
    </w:pPr>
  </w:style>
  <w:style w:type="character" w:customStyle="1" w:styleId="FooterChar">
    <w:name w:val="Footer Char"/>
    <w:basedOn w:val="DefaultParagraphFont"/>
    <w:link w:val="Footer"/>
    <w:uiPriority w:val="99"/>
    <w:rsid w:val="00CF10D3"/>
    <w:rPr>
      <w:rFonts w:ascii="Arial" w:eastAsia="Arial" w:hAnsi="Arial" w:cs="Arial"/>
    </w:rPr>
  </w:style>
  <w:style w:type="table" w:styleId="ListTable3-Accent1">
    <w:name w:val="List Table 3 Accent 1"/>
    <w:basedOn w:val="TableNormal"/>
    <w:uiPriority w:val="48"/>
    <w:rsid w:val="00BB6B67"/>
    <w:pPr>
      <w:widowControl/>
      <w:autoSpaceDE/>
      <w:autoSpaceDN/>
    </w:pPr>
    <w:rPr>
      <w:rFonts w:ascii="Arial" w:eastAsia="Cambria" w:hAnsi="Arial" w:cs="Times New Roman"/>
      <w:sz w:val="20"/>
      <w:szCs w:val="20"/>
      <w:lang w:val="en-AU" w:eastAsia="en-AU"/>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220E0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next w:val="GridTable4-Accent1"/>
    <w:uiPriority w:val="49"/>
    <w:rsid w:val="00906FA0"/>
    <w:pPr>
      <w:widowControl/>
      <w:autoSpaceDE/>
      <w:autoSpaceDN/>
    </w:pPr>
    <w:rPr>
      <w:rFonts w:ascii="Arial" w:eastAsia="Cambria" w:hAnsi="Arial" w:cs="Times New Roman"/>
      <w:sz w:val="20"/>
      <w:szCs w:val="20"/>
      <w:lang w:val="en-AU"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next w:val="GridTable4-Accent1"/>
    <w:uiPriority w:val="49"/>
    <w:rsid w:val="00314E6E"/>
    <w:pPr>
      <w:widowControl/>
      <w:autoSpaceDE/>
      <w:autoSpaceDN/>
    </w:pPr>
    <w:rPr>
      <w:rFonts w:ascii="Arial" w:eastAsia="Cambria" w:hAnsi="Arial" w:cs="Times New Roman"/>
      <w:sz w:val="20"/>
      <w:szCs w:val="20"/>
      <w:lang w:val="en-AU"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762B6D"/>
    <w:rPr>
      <w:color w:val="605E5C"/>
      <w:shd w:val="clear" w:color="auto" w:fill="E1DFDD"/>
    </w:rPr>
  </w:style>
  <w:style w:type="paragraph" w:styleId="NormalWeb">
    <w:name w:val="Normal (Web)"/>
    <w:basedOn w:val="Normal"/>
    <w:uiPriority w:val="99"/>
    <w:semiHidden/>
    <w:unhideWhenUsed/>
    <w:rsid w:val="00B1026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SubtleEmphasis">
    <w:name w:val="Subtle Emphasis"/>
    <w:basedOn w:val="DefaultParagraphFont"/>
    <w:uiPriority w:val="19"/>
    <w:qFormat/>
    <w:rsid w:val="00B33CC9"/>
    <w:rPr>
      <w:i/>
      <w:iCs/>
      <w:color w:val="404040" w:themeColor="text1" w:themeTint="BF"/>
    </w:rPr>
  </w:style>
  <w:style w:type="paragraph" w:customStyle="1" w:styleId="AHPRADocumenttitle">
    <w:name w:val="AHPRA Document title"/>
    <w:basedOn w:val="Normal"/>
    <w:next w:val="AHPRAbody"/>
    <w:rsid w:val="00924DCE"/>
    <w:pPr>
      <w:widowControl/>
      <w:autoSpaceDE/>
      <w:autoSpaceDN/>
      <w:spacing w:before="200"/>
      <w:outlineLvl w:val="0"/>
    </w:pPr>
    <w:rPr>
      <w:rFonts w:eastAsia="Cambria"/>
      <w:color w:val="00BCE4"/>
      <w:sz w:val="32"/>
      <w:szCs w:val="52"/>
      <w:lang w:val="en-AU"/>
    </w:rPr>
  </w:style>
  <w:style w:type="paragraph" w:customStyle="1" w:styleId="AHPRAActionpoint">
    <w:name w:val="AHPRA Action point"/>
    <w:basedOn w:val="Normal"/>
    <w:rsid w:val="00924DCE"/>
    <w:pPr>
      <w:widowControl/>
      <w:autoSpaceDE/>
      <w:autoSpaceDN/>
      <w:spacing w:after="200"/>
      <w:jc w:val="right"/>
    </w:pPr>
    <w:rPr>
      <w:rFonts w:eastAsia="Cambria"/>
      <w:b/>
      <w:bCs/>
      <w:i/>
      <w:sz w:val="20"/>
      <w:szCs w:val="24"/>
    </w:rPr>
  </w:style>
  <w:style w:type="paragraph" w:customStyle="1" w:styleId="AHPRAbodybold">
    <w:name w:val="AHPRA body bold"/>
    <w:basedOn w:val="AHPRAbody"/>
    <w:link w:val="AHPRAbodyboldChar"/>
    <w:qFormat/>
    <w:rsid w:val="00924DCE"/>
    <w:rPr>
      <w:b/>
    </w:rPr>
  </w:style>
  <w:style w:type="character" w:customStyle="1" w:styleId="AHPRAbodyboldChar">
    <w:name w:val="AHPRA body bold Char"/>
    <w:basedOn w:val="AHPRAbodyChar"/>
    <w:link w:val="AHPRAbodybold"/>
    <w:rsid w:val="00924DCE"/>
    <w:rPr>
      <w:rFonts w:ascii="Arial" w:eastAsia="Cambria" w:hAnsi="Arial" w:cs="Arial"/>
      <w:b/>
      <w:sz w:val="20"/>
      <w:szCs w:val="24"/>
      <w:lang w:val="en-AU"/>
    </w:rPr>
  </w:style>
  <w:style w:type="paragraph" w:customStyle="1" w:styleId="AHPRAbodyContextparanumbered">
    <w:name w:val="AHPRA body 'Context' para numbered"/>
    <w:uiPriority w:val="1"/>
    <w:qFormat/>
    <w:rsid w:val="00924DCE"/>
    <w:pPr>
      <w:widowControl/>
      <w:numPr>
        <w:numId w:val="5"/>
      </w:numPr>
      <w:autoSpaceDE/>
      <w:autoSpaceDN/>
      <w:spacing w:after="200"/>
    </w:pPr>
    <w:rPr>
      <w:rFonts w:ascii="Arial" w:eastAsia="Cambria" w:hAnsi="Arial" w:cs="Arial"/>
      <w:sz w:val="20"/>
      <w:szCs w:val="24"/>
      <w:lang w:val="en-AU"/>
    </w:rPr>
  </w:style>
  <w:style w:type="paragraph" w:customStyle="1" w:styleId="AHPRAbodyitalics">
    <w:name w:val="AHPRA body italics"/>
    <w:basedOn w:val="AHPRAbodybold"/>
    <w:link w:val="AHPRAbodyitalicsChar"/>
    <w:qFormat/>
    <w:rsid w:val="00924DCE"/>
    <w:rPr>
      <w:b w:val="0"/>
      <w:i/>
    </w:rPr>
  </w:style>
  <w:style w:type="character" w:customStyle="1" w:styleId="AHPRAbodyitalicsChar">
    <w:name w:val="AHPRA body italics Char"/>
    <w:basedOn w:val="AHPRAbodyboldChar"/>
    <w:link w:val="AHPRAbodyitalics"/>
    <w:rsid w:val="00924DCE"/>
    <w:rPr>
      <w:rFonts w:ascii="Arial" w:eastAsia="Cambria" w:hAnsi="Arial" w:cs="Arial"/>
      <w:b w:val="0"/>
      <w:i/>
      <w:sz w:val="20"/>
      <w:szCs w:val="24"/>
      <w:lang w:val="en-AU"/>
    </w:rPr>
  </w:style>
  <w:style w:type="paragraph" w:customStyle="1" w:styleId="AHPRAbodyunderline">
    <w:name w:val="AHPRA body underline"/>
    <w:basedOn w:val="AHPRAbodyitalics"/>
    <w:link w:val="AHPRAbodyunderlineChar"/>
    <w:rsid w:val="00924DCE"/>
    <w:rPr>
      <w:i w:val="0"/>
      <w:u w:val="single"/>
    </w:rPr>
  </w:style>
  <w:style w:type="character" w:customStyle="1" w:styleId="AHPRAbodyunderlineChar">
    <w:name w:val="AHPRA body underline Char"/>
    <w:basedOn w:val="AHPRAbodyitalicsChar"/>
    <w:link w:val="AHPRAbodyunderline"/>
    <w:rsid w:val="00924DCE"/>
    <w:rPr>
      <w:rFonts w:ascii="Arial" w:eastAsia="Cambria" w:hAnsi="Arial" w:cs="Arial"/>
      <w:b w:val="0"/>
      <w:i w:val="0"/>
      <w:sz w:val="20"/>
      <w:szCs w:val="24"/>
      <w:u w:val="single"/>
      <w:lang w:val="en-AU"/>
    </w:rPr>
  </w:style>
  <w:style w:type="paragraph" w:customStyle="1" w:styleId="AHPRABulletlevel1last">
    <w:name w:val="AHPRA Bullet level 1 last"/>
    <w:basedOn w:val="AHPRABulletlevel1"/>
    <w:next w:val="Normal"/>
    <w:rsid w:val="00924DCE"/>
    <w:pPr>
      <w:numPr>
        <w:numId w:val="17"/>
      </w:numPr>
      <w:spacing w:after="200"/>
      <w:ind w:left="369" w:hanging="369"/>
    </w:pPr>
  </w:style>
  <w:style w:type="paragraph" w:customStyle="1" w:styleId="AHPRABulletlevel2last">
    <w:name w:val="AHPRA Bullet level 2 last"/>
    <w:basedOn w:val="AHPRABulletlevel2"/>
    <w:next w:val="AHPRAbody"/>
    <w:rsid w:val="00924DCE"/>
    <w:pPr>
      <w:spacing w:after="200"/>
      <w:ind w:left="738" w:hanging="369"/>
    </w:pPr>
  </w:style>
  <w:style w:type="paragraph" w:customStyle="1" w:styleId="AHPRABulletlevel3">
    <w:name w:val="AHPRA Bullet level 3"/>
    <w:basedOn w:val="AHPRABulletlevel2"/>
    <w:rsid w:val="00924DCE"/>
    <w:pPr>
      <w:numPr>
        <w:numId w:val="7"/>
      </w:numPr>
    </w:pPr>
  </w:style>
  <w:style w:type="paragraph" w:customStyle="1" w:styleId="AHPRABulletlevel3last">
    <w:name w:val="AHPRA Bullet level 3 last"/>
    <w:basedOn w:val="AHPRABulletlevel3"/>
    <w:next w:val="AHPRAbody"/>
    <w:rsid w:val="00924DCE"/>
    <w:pPr>
      <w:spacing w:after="200"/>
      <w:ind w:left="1106" w:hanging="369"/>
    </w:pPr>
  </w:style>
  <w:style w:type="numbering" w:customStyle="1" w:styleId="AHPRABullets">
    <w:name w:val="AHPRA Bullets"/>
    <w:uiPriority w:val="99"/>
    <w:rsid w:val="00924DCE"/>
    <w:pPr>
      <w:numPr>
        <w:numId w:val="8"/>
      </w:numPr>
    </w:pPr>
  </w:style>
  <w:style w:type="paragraph" w:customStyle="1" w:styleId="AHPRAtableheading">
    <w:name w:val="AHPRA table heading"/>
    <w:basedOn w:val="Normal"/>
    <w:rsid w:val="00924DCE"/>
    <w:pPr>
      <w:widowControl/>
      <w:autoSpaceDE/>
      <w:autoSpaceDN/>
      <w:spacing w:before="120" w:after="120"/>
      <w:jc w:val="center"/>
    </w:pPr>
    <w:rPr>
      <w:rFonts w:eastAsia="Cambria" w:cs="Times New Roman"/>
      <w:b/>
      <w:color w:val="FFFFFF" w:themeColor="background1"/>
      <w:sz w:val="20"/>
      <w:szCs w:val="24"/>
      <w:lang w:val="en-AU"/>
    </w:rPr>
  </w:style>
  <w:style w:type="paragraph" w:customStyle="1" w:styleId="AHPRAComplextableheadings">
    <w:name w:val="AHPRA Complex table headings"/>
    <w:basedOn w:val="AHPRAtableheading"/>
    <w:uiPriority w:val="1"/>
    <w:rsid w:val="00924DCE"/>
  </w:style>
  <w:style w:type="paragraph" w:customStyle="1" w:styleId="AHPRAtabletext">
    <w:name w:val="AHPRA table text"/>
    <w:basedOn w:val="AHPRAbody"/>
    <w:rsid w:val="00924DCE"/>
    <w:pPr>
      <w:spacing w:after="0"/>
    </w:pPr>
    <w:rPr>
      <w:szCs w:val="20"/>
    </w:rPr>
  </w:style>
  <w:style w:type="paragraph" w:customStyle="1" w:styleId="AHPRAComplextablerowheaders">
    <w:name w:val="AHPRA Complex table row headers"/>
    <w:basedOn w:val="AHPRAtabletext"/>
    <w:uiPriority w:val="1"/>
    <w:rsid w:val="00924DCE"/>
    <w:pPr>
      <w:spacing w:before="120" w:after="120"/>
    </w:pPr>
    <w:rPr>
      <w:color w:val="FFFFFF" w:themeColor="background1"/>
    </w:rPr>
  </w:style>
  <w:style w:type="paragraph" w:customStyle="1" w:styleId="AHPRAfooter">
    <w:name w:val="AHPRA footer"/>
    <w:basedOn w:val="FootnoteText"/>
    <w:rsid w:val="00924DCE"/>
    <w:pPr>
      <w:spacing w:after="0"/>
    </w:pPr>
    <w:rPr>
      <w:rFonts w:cs="Arial"/>
      <w:color w:val="5F6062"/>
      <w:sz w:val="18"/>
    </w:rPr>
  </w:style>
  <w:style w:type="paragraph" w:customStyle="1" w:styleId="AHPRAfirstpagefooter">
    <w:name w:val="AHPRA first page footer"/>
    <w:basedOn w:val="AHPRAfooter"/>
    <w:rsid w:val="00924DCE"/>
    <w:pPr>
      <w:jc w:val="center"/>
    </w:pPr>
    <w:rPr>
      <w:b/>
    </w:rPr>
  </w:style>
  <w:style w:type="paragraph" w:customStyle="1" w:styleId="AHPRAfootnote">
    <w:name w:val="AHPRA footnote"/>
    <w:basedOn w:val="AHPRASubheading"/>
    <w:rsid w:val="00924DCE"/>
    <w:pPr>
      <w:spacing w:before="0" w:after="120"/>
    </w:pPr>
    <w:rPr>
      <w:b w:val="0"/>
      <w:color w:val="auto"/>
      <w:sz w:val="18"/>
      <w:szCs w:val="18"/>
    </w:rPr>
  </w:style>
  <w:style w:type="paragraph" w:customStyle="1" w:styleId="AHPRAitemheading">
    <w:name w:val="AHPRA item heading"/>
    <w:basedOn w:val="Normal"/>
    <w:next w:val="Normal"/>
    <w:rsid w:val="00924DCE"/>
    <w:pPr>
      <w:widowControl/>
      <w:numPr>
        <w:numId w:val="9"/>
      </w:numPr>
      <w:autoSpaceDE/>
      <w:autoSpaceDN/>
      <w:spacing w:before="200" w:after="200"/>
    </w:pPr>
    <w:rPr>
      <w:rFonts w:eastAsia="Cambria" w:cs="Times New Roman"/>
      <w:b/>
      <w:color w:val="007DC3"/>
      <w:sz w:val="20"/>
      <w:szCs w:val="24"/>
    </w:rPr>
  </w:style>
  <w:style w:type="paragraph" w:customStyle="1" w:styleId="AHPRAitemlevel2">
    <w:name w:val="AHPRA item level 2"/>
    <w:basedOn w:val="Normal"/>
    <w:rsid w:val="00924DCE"/>
    <w:pPr>
      <w:widowControl/>
      <w:numPr>
        <w:ilvl w:val="1"/>
        <w:numId w:val="9"/>
      </w:numPr>
      <w:autoSpaceDE/>
      <w:autoSpaceDN/>
      <w:spacing w:before="200" w:after="200"/>
    </w:pPr>
    <w:rPr>
      <w:rFonts w:eastAsia="Cambria" w:cs="Times New Roman"/>
      <w:b/>
      <w:sz w:val="20"/>
      <w:szCs w:val="24"/>
    </w:rPr>
  </w:style>
  <w:style w:type="paragraph" w:customStyle="1" w:styleId="AHPRAitemlevel3">
    <w:name w:val="AHPRA item level 3"/>
    <w:basedOn w:val="AHPRAitemlevel2"/>
    <w:uiPriority w:val="1"/>
    <w:rsid w:val="00924DCE"/>
    <w:pPr>
      <w:numPr>
        <w:ilvl w:val="2"/>
      </w:numPr>
    </w:pPr>
  </w:style>
  <w:style w:type="numbering" w:customStyle="1" w:styleId="AHPRAListBullets">
    <w:name w:val="AHPRA List Bullets"/>
    <w:uiPriority w:val="99"/>
    <w:rsid w:val="00924DCE"/>
    <w:pPr>
      <w:numPr>
        <w:numId w:val="10"/>
      </w:numPr>
    </w:pPr>
  </w:style>
  <w:style w:type="numbering" w:customStyle="1" w:styleId="AHPRANumberedheadinglist">
    <w:name w:val="AHPRA Numbered heading list"/>
    <w:uiPriority w:val="99"/>
    <w:rsid w:val="00924DCE"/>
    <w:pPr>
      <w:numPr>
        <w:numId w:val="11"/>
      </w:numPr>
    </w:pPr>
  </w:style>
  <w:style w:type="paragraph" w:customStyle="1" w:styleId="AHPRANumberedlistlevel1withspace">
    <w:name w:val="AHPRA Numbered list level 1 with space"/>
    <w:basedOn w:val="AHPRANumberedlistlevel1"/>
    <w:next w:val="AHPRAbody"/>
    <w:rsid w:val="00924DCE"/>
    <w:pPr>
      <w:spacing w:after="200"/>
    </w:pPr>
  </w:style>
  <w:style w:type="paragraph" w:customStyle="1" w:styleId="AHPRANumberedlistlevel2withspace">
    <w:name w:val="AHPRA Numbered list level 2 with space"/>
    <w:basedOn w:val="AHPRANumberedlistlevel2"/>
    <w:next w:val="AHPRAbody"/>
    <w:rsid w:val="00924DCE"/>
    <w:pPr>
      <w:spacing w:after="240"/>
    </w:pPr>
  </w:style>
  <w:style w:type="paragraph" w:customStyle="1" w:styleId="AHPRANumberedlistlevel3withspace">
    <w:name w:val="AHPRA Numbered list level 3 with space"/>
    <w:basedOn w:val="AHPRANumberedlistlevel3"/>
    <w:next w:val="AHPRAbody"/>
    <w:rsid w:val="00924DCE"/>
    <w:pPr>
      <w:spacing w:after="200"/>
    </w:pPr>
  </w:style>
  <w:style w:type="paragraph" w:customStyle="1" w:styleId="AHPRANumberedsubheadinglevel1">
    <w:name w:val="AHPRA Numbered subheading level 1"/>
    <w:basedOn w:val="AHPRASubheading"/>
    <w:next w:val="AHPRAbody"/>
    <w:rsid w:val="00041CB3"/>
    <w:pPr>
      <w:numPr>
        <w:numId w:val="20"/>
      </w:numPr>
    </w:pPr>
  </w:style>
  <w:style w:type="paragraph" w:customStyle="1" w:styleId="AHPRANumberedsubheadinglevel2">
    <w:name w:val="AHPRA Numbered subheading level 2"/>
    <w:basedOn w:val="AHPRANumberedsubheadinglevel1"/>
    <w:next w:val="AHPRAbody"/>
    <w:rsid w:val="00041CB3"/>
    <w:pPr>
      <w:numPr>
        <w:ilvl w:val="1"/>
      </w:numPr>
      <w:spacing w:before="0"/>
      <w:ind w:left="567" w:hanging="567"/>
    </w:pPr>
    <w:rPr>
      <w:b w:val="0"/>
      <w:bCs/>
      <w:color w:val="auto"/>
    </w:rPr>
  </w:style>
  <w:style w:type="paragraph" w:customStyle="1" w:styleId="AHPRANumberedsubheadinglevel3">
    <w:name w:val="AHPRA Numbered subheading level 3"/>
    <w:basedOn w:val="AHPRANumberedsubheadinglevel2"/>
    <w:next w:val="AHPRAbody"/>
    <w:rsid w:val="00924DCE"/>
    <w:pPr>
      <w:numPr>
        <w:ilvl w:val="2"/>
      </w:numPr>
    </w:pPr>
    <w:rPr>
      <w:b/>
      <w:color w:val="007DC3"/>
    </w:rPr>
  </w:style>
  <w:style w:type="paragraph" w:customStyle="1" w:styleId="AHPRApagenumber">
    <w:name w:val="AHPRA page number"/>
    <w:basedOn w:val="AHPRAfooter"/>
    <w:rsid w:val="00924DCE"/>
    <w:pPr>
      <w:jc w:val="right"/>
    </w:pPr>
  </w:style>
  <w:style w:type="paragraph" w:customStyle="1" w:styleId="AHPRASubheadinglevel2">
    <w:name w:val="AHPRA Subheading level 2"/>
    <w:basedOn w:val="AHPRASubheading"/>
    <w:next w:val="Normal"/>
    <w:qFormat/>
    <w:rsid w:val="005634AE"/>
    <w:rPr>
      <w:color w:val="auto"/>
    </w:rPr>
  </w:style>
  <w:style w:type="paragraph" w:customStyle="1" w:styleId="AHPRASubheadinglevel3">
    <w:name w:val="AHPRA Subheading level 3"/>
    <w:basedOn w:val="AHPRASubheading"/>
    <w:next w:val="Normal"/>
    <w:qFormat/>
    <w:rsid w:val="00AF061B"/>
    <w:rPr>
      <w:b w:val="0"/>
    </w:rPr>
  </w:style>
  <w:style w:type="table" w:customStyle="1" w:styleId="AHPRATable1">
    <w:name w:val="AHPRA Table 1"/>
    <w:basedOn w:val="TableGrid"/>
    <w:uiPriority w:val="99"/>
    <w:qFormat/>
    <w:rsid w:val="00924DCE"/>
    <w:pPr>
      <w:ind w:left="113" w:right="113"/>
    </w:pPr>
    <w:rPr>
      <w:lang w:val="en-US" w:eastAsia="en-U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shd w:val="clear" w:color="auto" w:fill="007CC2"/>
      </w:tcPr>
    </w:tblStylePr>
    <w:tblStylePr w:type="firstCol">
      <w:tblPr/>
      <w:tcPr>
        <w:shd w:val="clear" w:color="auto" w:fill="007CC2"/>
      </w:tcPr>
    </w:tblStylePr>
    <w:tblStylePr w:type="band1Horz">
      <w:tblPr/>
      <w:tcPr>
        <w:shd w:val="clear" w:color="auto" w:fill="BEBFC0"/>
      </w:tcPr>
    </w:tblStylePr>
    <w:tblStylePr w:type="band2Horz">
      <w:tblPr/>
      <w:tcPr>
        <w:shd w:val="clear" w:color="auto" w:fill="DEDFDF"/>
      </w:tcPr>
    </w:tblStylePr>
  </w:style>
  <w:style w:type="paragraph" w:customStyle="1" w:styleId="AHPRAtablebullets">
    <w:name w:val="AHPRA table bullets"/>
    <w:basedOn w:val="AHPRABulletlevel1"/>
    <w:rsid w:val="00924DCE"/>
  </w:style>
  <w:style w:type="paragraph" w:customStyle="1" w:styleId="BodyTextBullets">
    <w:name w:val="Body Text Bullets"/>
    <w:uiPriority w:val="1"/>
    <w:qFormat/>
    <w:rsid w:val="00924DCE"/>
    <w:pPr>
      <w:widowControl/>
      <w:numPr>
        <w:numId w:val="15"/>
      </w:numPr>
      <w:autoSpaceDE/>
      <w:autoSpaceDN/>
      <w:spacing w:after="120"/>
      <w:contextualSpacing/>
    </w:pPr>
    <w:rPr>
      <w:rFonts w:ascii="Arial" w:eastAsia="Times New Roman" w:hAnsi="Arial" w:cs="Arial"/>
      <w:noProof/>
      <w:sz w:val="20"/>
      <w:szCs w:val="24"/>
      <w:lang w:val="en-AU" w:eastAsia="en-AU"/>
    </w:rPr>
  </w:style>
  <w:style w:type="paragraph" w:customStyle="1" w:styleId="BodyTextBullets2">
    <w:name w:val="Body Text Bullets 2"/>
    <w:basedOn w:val="BodyTextBullets"/>
    <w:qFormat/>
    <w:rsid w:val="00924DCE"/>
    <w:pPr>
      <w:numPr>
        <w:ilvl w:val="1"/>
      </w:numPr>
    </w:pPr>
  </w:style>
  <w:style w:type="paragraph" w:customStyle="1" w:styleId="BodyTextBullets3">
    <w:name w:val="Body Text Bullets 3"/>
    <w:basedOn w:val="BodyTextBullets"/>
    <w:qFormat/>
    <w:rsid w:val="00924DCE"/>
    <w:pPr>
      <w:numPr>
        <w:ilvl w:val="2"/>
      </w:numPr>
    </w:pPr>
  </w:style>
  <w:style w:type="paragraph" w:customStyle="1" w:styleId="ListBullet1a">
    <w:name w:val="List Bullet 1a"/>
    <w:qFormat/>
    <w:rsid w:val="00924DCE"/>
    <w:pPr>
      <w:widowControl/>
      <w:numPr>
        <w:numId w:val="16"/>
      </w:numPr>
      <w:autoSpaceDE/>
      <w:autoSpaceDN/>
      <w:spacing w:after="120"/>
      <w:contextualSpacing/>
    </w:pPr>
    <w:rPr>
      <w:rFonts w:ascii="Arial" w:eastAsia="Cambria" w:hAnsi="Arial" w:cs="Arial"/>
      <w:noProof/>
      <w:sz w:val="20"/>
      <w:szCs w:val="24"/>
      <w:lang w:val="en-AU"/>
    </w:rPr>
  </w:style>
  <w:style w:type="paragraph" w:customStyle="1" w:styleId="ListBullet1b">
    <w:name w:val="List Bullet 1b"/>
    <w:qFormat/>
    <w:rsid w:val="00924DCE"/>
    <w:pPr>
      <w:widowControl/>
      <w:numPr>
        <w:ilvl w:val="3"/>
        <w:numId w:val="16"/>
      </w:numPr>
      <w:autoSpaceDE/>
      <w:autoSpaceDN/>
      <w:spacing w:after="120"/>
      <w:contextualSpacing/>
    </w:pPr>
    <w:rPr>
      <w:rFonts w:ascii="Arial" w:eastAsia="Cambria" w:hAnsi="Arial" w:cs="Arial"/>
      <w:noProof/>
      <w:sz w:val="20"/>
      <w:szCs w:val="24"/>
      <w:lang w:val="en-AU"/>
    </w:rPr>
  </w:style>
  <w:style w:type="paragraph" w:customStyle="1" w:styleId="ListBullet1c">
    <w:name w:val="List Bullet 1c"/>
    <w:qFormat/>
    <w:rsid w:val="00924DCE"/>
    <w:pPr>
      <w:widowControl/>
      <w:numPr>
        <w:ilvl w:val="6"/>
        <w:numId w:val="16"/>
      </w:numPr>
      <w:autoSpaceDE/>
      <w:autoSpaceDN/>
      <w:spacing w:after="120"/>
      <w:contextualSpacing/>
    </w:pPr>
    <w:rPr>
      <w:rFonts w:ascii="Arial" w:eastAsia="Cambria" w:hAnsi="Arial" w:cs="Arial"/>
      <w:noProof/>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61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hpragovau.sharepoint.com/sites/intranet/Shared%20Documents/Forms/AllItems.aspx?id=%2Fsites%2Fintranet%2FShared%20Documents%2FConflict%2Dof%2DInterest%2DPolicy%2Dand%2DProcedure%2Epdf&amp;parent=%2Fsites%2Fintranet%2FShared%20Documents" TargetMode="External"/><Relationship Id="rId18" Type="http://schemas.openxmlformats.org/officeDocument/2006/relationships/hyperlink" Target="http://www.comlaw.gov.au/comlaw/management.nsf/lookupindexpagesbyid/IP200401786?OpenDocu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hpragovau.sharepoint.com/sites/intranet/Shared%20Documents/Forms/AllItems.aspx?id=%2Fsites%2Fintranet%2FShared%20Documents%2FCode%2Dof%2DConduct%2Dpolicy%2DHR040%2EPDF&amp;parent=%2Fsites%2Fintranet%2FShared%20Documents" TargetMode="External"/><Relationship Id="rId17" Type="http://schemas.openxmlformats.org/officeDocument/2006/relationships/hyperlink" Target="https://www.aasb.gov.au/admin/file/content105/c9/AASB9_12-1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qld.gov.au/view/pdf/inforce/2018-03-01/act-2009-hprnlq"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hpragovau.sharepoint.com/sites/intranet/Shared%20Documents/Code-of-Conduct-policy-HR040.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egislation.gov.au/Series/C1959A00006"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hpragovau.sharepoint.com/sites/intranet/Shared%20Documents/Forms/AllItems.aspx?id=%2Fsites%2Fintranet%2FShared%20Documents%2FRisk%2DAppetite%2DStatement%2D2019%2Epdf&amp;parent=%2Fsites%2Fintranet%2FShared%20Documents"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asb.gov.au/admin/file/content105/c9/AASB9_12-1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9ca702-2c02-4199-900d-dc3a29698169">
      <UserInfo>
        <DisplayName>Kelly Johnston</DisplayName>
        <AccountId>40</AccountId>
        <AccountType/>
      </UserInfo>
      <UserInfo>
        <DisplayName>Liz Davenport</DisplayName>
        <AccountId>39</AccountId>
        <AccountType/>
      </UserInfo>
      <UserInfo>
        <DisplayName>Robbie Murray</DisplayName>
        <AccountId>79</AccountId>
        <AccountType/>
      </UserInfo>
      <UserInfo>
        <DisplayName>Sangeetha Masilamani</DisplayName>
        <AccountId>12</AccountId>
        <AccountType/>
      </UserInfo>
      <UserInfo>
        <DisplayName>Claire Fowler</DisplayName>
        <AccountId>80</AccountId>
        <AccountType/>
      </UserInfo>
      <UserInfo>
        <DisplayName>Elle Hoskins</DisplayName>
        <AccountId>78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1B85866AF35F47ABB254F8E4A47C59" ma:contentTypeVersion="12" ma:contentTypeDescription="Create a new document." ma:contentTypeScope="" ma:versionID="383a4865e6f79edaa43bb0acd480e860">
  <xsd:schema xmlns:xsd="http://www.w3.org/2001/XMLSchema" xmlns:xs="http://www.w3.org/2001/XMLSchema" xmlns:p="http://schemas.microsoft.com/office/2006/metadata/properties" xmlns:ns3="629ca702-2c02-4199-900d-dc3a29698169" xmlns:ns4="0376c58b-215c-4b45-b38c-6b566f9c28dd" targetNamespace="http://schemas.microsoft.com/office/2006/metadata/properties" ma:root="true" ma:fieldsID="f014da0384a98cf3d6d1b9ff92e65f7a" ns3:_="" ns4:_="">
    <xsd:import namespace="629ca702-2c02-4199-900d-dc3a29698169"/>
    <xsd:import namespace="0376c58b-215c-4b45-b38c-6b566f9c28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ca702-2c02-4199-900d-dc3a29698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6c58b-215c-4b45-b38c-6b566f9c28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73DB6-BA51-4B41-8404-3631D682F1E7}">
  <ds:schemaRefs>
    <ds:schemaRef ds:uri="http://schemas.openxmlformats.org/package/2006/metadata/core-properties"/>
    <ds:schemaRef ds:uri="http://schemas.microsoft.com/office/2006/documentManagement/types"/>
    <ds:schemaRef ds:uri="http://schemas.microsoft.com/office/2006/metadata/properties"/>
    <ds:schemaRef ds:uri="0376c58b-215c-4b45-b38c-6b566f9c28dd"/>
    <ds:schemaRef ds:uri="http://purl.org/dc/elements/1.1/"/>
    <ds:schemaRef ds:uri="http://schemas.microsoft.com/office/infopath/2007/PartnerControls"/>
    <ds:schemaRef ds:uri="http://purl.org/dc/terms/"/>
    <ds:schemaRef ds:uri="629ca702-2c02-4199-900d-dc3a29698169"/>
    <ds:schemaRef ds:uri="http://www.w3.org/XML/1998/namespace"/>
    <ds:schemaRef ds:uri="http://purl.org/dc/dcmitype/"/>
  </ds:schemaRefs>
</ds:datastoreItem>
</file>

<file path=customXml/itemProps2.xml><?xml version="1.0" encoding="utf-8"?>
<ds:datastoreItem xmlns:ds="http://schemas.openxmlformats.org/officeDocument/2006/customXml" ds:itemID="{880ADBC3-DA39-4AD6-A5F3-5C0A2611AFC4}">
  <ds:schemaRefs>
    <ds:schemaRef ds:uri="http://schemas.microsoft.com/sharepoint/v3/contenttype/forms"/>
  </ds:schemaRefs>
</ds:datastoreItem>
</file>

<file path=customXml/itemProps3.xml><?xml version="1.0" encoding="utf-8"?>
<ds:datastoreItem xmlns:ds="http://schemas.openxmlformats.org/officeDocument/2006/customXml" ds:itemID="{65288402-9AFD-4DCA-8146-A0E3514DD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ca702-2c02-4199-900d-dc3a29698169"/>
    <ds:schemaRef ds:uri="0376c58b-215c-4b45-b38c-6b566f9c2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FD8D6-4CD1-4DE1-9E11-875FDD34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2959</Words>
  <Characters>16013</Characters>
  <Application>Microsoft Office Word</Application>
  <DocSecurity>0</DocSecurity>
  <Lines>296</Lines>
  <Paragraphs>195</Paragraphs>
  <ScaleCrop>false</ScaleCrop>
  <HeadingPairs>
    <vt:vector size="2" baseType="variant">
      <vt:variant>
        <vt:lpstr>Title</vt:lpstr>
      </vt:variant>
      <vt:variant>
        <vt:i4>1</vt:i4>
      </vt:variant>
    </vt:vector>
  </HeadingPairs>
  <TitlesOfParts>
    <vt:vector size="1" baseType="lpstr">
      <vt:lpstr>Ahpra Investment Policy</vt:lpstr>
    </vt:vector>
  </TitlesOfParts>
  <Company>Ahpra</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Investment Policy</dc:title>
  <dc:subject>Policy</dc:subject>
  <dc:creator>Ahpra</dc:creator>
  <cp:keywords/>
  <cp:lastModifiedBy>Fiona Sproles</cp:lastModifiedBy>
  <cp:revision>3</cp:revision>
  <cp:lastPrinted>2021-10-05T23:30:00Z</cp:lastPrinted>
  <dcterms:created xsi:type="dcterms:W3CDTF">2022-01-28T00:05:00Z</dcterms:created>
  <dcterms:modified xsi:type="dcterms:W3CDTF">2022-01-28T00:06:00Z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Creator">
    <vt:lpwstr>Acrobat PDFMaker 19 for Word</vt:lpwstr>
  </property>
  <property fmtid="{D5CDD505-2E9C-101B-9397-08002B2CF9AE}" pid="4" name="LastSaved">
    <vt:filetime>2021-08-04T00:00:00Z</vt:filetime>
  </property>
  <property fmtid="{D5CDD505-2E9C-101B-9397-08002B2CF9AE}" pid="5" name="ContentTypeId">
    <vt:lpwstr>0x010100BA1B85866AF35F47ABB254F8E4A47C59</vt:lpwstr>
  </property>
  <property fmtid="{D5CDD505-2E9C-101B-9397-08002B2CF9AE}" pid="6" name="Order">
    <vt:r8>134100</vt:r8>
  </property>
  <property fmtid="{D5CDD505-2E9C-101B-9397-08002B2CF9AE}" pid="7" name="Submissiondate">
    <vt:lpwstr>1 June 2021</vt:lpwstr>
  </property>
  <property fmtid="{D5CDD505-2E9C-101B-9397-08002B2CF9AE}" pid="8" name="xd_Signature">
    <vt:bool>false</vt:bool>
  </property>
  <property fmtid="{D5CDD505-2E9C-101B-9397-08002B2CF9AE}" pid="9" name="xd_ProgID">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ies>
</file>