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57" w:rsidRDefault="0067771A">
      <w:pPr>
        <w:pStyle w:val="BodyText"/>
        <w:ind w:left="600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AU" w:eastAsia="en-AU"/>
        </w:rPr>
        <w:drawing>
          <wp:inline distT="0" distB="0" distL="0" distR="0">
            <wp:extent cx="3496952" cy="1453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95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457" w:rsidRDefault="00596457">
      <w:pPr>
        <w:pStyle w:val="BodyText"/>
        <w:rPr>
          <w:rFonts w:ascii="Times New Roman"/>
        </w:rPr>
      </w:pPr>
    </w:p>
    <w:p w:rsidR="00596457" w:rsidRDefault="00596457">
      <w:pPr>
        <w:pStyle w:val="BodyText"/>
        <w:rPr>
          <w:rFonts w:ascii="Times New Roman"/>
        </w:rPr>
      </w:pPr>
    </w:p>
    <w:p w:rsidR="00596457" w:rsidRDefault="00596457">
      <w:pPr>
        <w:pStyle w:val="BodyText"/>
        <w:spacing w:before="9"/>
        <w:rPr>
          <w:rFonts w:ascii="Times New Roman"/>
          <w:sz w:val="23"/>
        </w:rPr>
      </w:pPr>
    </w:p>
    <w:p w:rsidR="00596457" w:rsidRDefault="0067771A">
      <w:pPr>
        <w:spacing w:before="89"/>
        <w:ind w:left="1248"/>
        <w:rPr>
          <w:sz w:val="32"/>
        </w:rPr>
      </w:pPr>
      <w:r>
        <w:rPr>
          <w:color w:val="00BBE3"/>
          <w:sz w:val="32"/>
        </w:rPr>
        <w:t>Accreditation Advisory Committee Charter</w:t>
      </w:r>
    </w:p>
    <w:p w:rsidR="00596457" w:rsidRDefault="001C5D94">
      <w:pPr>
        <w:pStyle w:val="BodyText"/>
        <w:spacing w:before="9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42545</wp:posOffset>
                </wp:positionH>
                <wp:positionV relativeFrom="paragraph">
                  <wp:posOffset>137795</wp:posOffset>
                </wp:positionV>
                <wp:extent cx="4716145" cy="0"/>
                <wp:effectExtent l="13970" t="10160" r="13335" b="889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FB3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.35pt,10.85pt" to="374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s2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:rsidR="00596457" w:rsidRDefault="00596457">
      <w:pPr>
        <w:pStyle w:val="BodyText"/>
        <w:spacing w:before="3"/>
        <w:rPr>
          <w:sz w:val="37"/>
        </w:rPr>
      </w:pPr>
    </w:p>
    <w:p w:rsidR="00596457" w:rsidRDefault="0067771A">
      <w:pPr>
        <w:pStyle w:val="BodyText"/>
        <w:spacing w:before="1"/>
        <w:ind w:left="1248"/>
      </w:pPr>
      <w:r>
        <w:t>20 March 2018</w:t>
      </w:r>
    </w:p>
    <w:p w:rsidR="00596457" w:rsidRDefault="0067771A">
      <w:pPr>
        <w:pStyle w:val="Heading1"/>
        <w:numPr>
          <w:ilvl w:val="0"/>
          <w:numId w:val="2"/>
        </w:numPr>
        <w:tabs>
          <w:tab w:val="left" w:pos="1617"/>
          <w:tab w:val="left" w:pos="1619"/>
        </w:tabs>
        <w:jc w:val="left"/>
      </w:pPr>
      <w:r>
        <w:rPr>
          <w:color w:val="007CC3"/>
        </w:rPr>
        <w:t>Introduction</w:t>
      </w:r>
    </w:p>
    <w:p w:rsidR="00596457" w:rsidRDefault="00596457">
      <w:pPr>
        <w:pStyle w:val="BodyText"/>
        <w:spacing w:before="4"/>
        <w:rPr>
          <w:b/>
          <w:sz w:val="17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1619"/>
        </w:tabs>
        <w:spacing w:line="242" w:lineRule="auto"/>
        <w:ind w:right="1037"/>
        <w:rPr>
          <w:sz w:val="20"/>
        </w:rPr>
      </w:pPr>
      <w:r>
        <w:rPr>
          <w:sz w:val="20"/>
        </w:rPr>
        <w:t>This Charter has been adopted by the Agency Management Committee (the Board) to set out the role of the Accreditation Advisory Committee (the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Committee).</w:t>
      </w:r>
    </w:p>
    <w:p w:rsidR="00596457" w:rsidRDefault="0067771A">
      <w:pPr>
        <w:pStyle w:val="ListParagraph"/>
        <w:numPr>
          <w:ilvl w:val="1"/>
          <w:numId w:val="2"/>
        </w:numPr>
        <w:tabs>
          <w:tab w:val="left" w:pos="1619"/>
        </w:tabs>
        <w:spacing w:before="197"/>
        <w:rPr>
          <w:sz w:val="20"/>
        </w:rPr>
      </w:pPr>
      <w:r>
        <w:rPr>
          <w:sz w:val="20"/>
        </w:rPr>
        <w:t>The Committee’s function is</w:t>
      </w:r>
      <w:r>
        <w:rPr>
          <w:spacing w:val="-16"/>
          <w:sz w:val="20"/>
        </w:rPr>
        <w:t xml:space="preserve"> </w:t>
      </w:r>
      <w:r>
        <w:rPr>
          <w:sz w:val="20"/>
        </w:rPr>
        <w:t>to:</w:t>
      </w:r>
    </w:p>
    <w:p w:rsidR="00596457" w:rsidRDefault="00596457">
      <w:pPr>
        <w:pStyle w:val="BodyText"/>
        <w:spacing w:before="5"/>
        <w:rPr>
          <w:sz w:val="17"/>
        </w:rPr>
      </w:pPr>
    </w:p>
    <w:p w:rsidR="00596457" w:rsidRDefault="0067771A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line="237" w:lineRule="auto"/>
        <w:ind w:right="1288"/>
        <w:rPr>
          <w:sz w:val="20"/>
        </w:rPr>
      </w:pPr>
      <w:r>
        <w:rPr>
          <w:sz w:val="20"/>
        </w:rPr>
        <w:t>provide oversight and leadership on accreditation governance, accountability and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transparency issues, and a whole of Scheme perspective on AHPRA’s management of contracts for the performance of the accreditation functions, </w:t>
      </w:r>
      <w:r>
        <w:rPr>
          <w:sz w:val="20"/>
        </w:rPr>
        <w:t>including financial and reporting</w:t>
      </w:r>
      <w:r>
        <w:rPr>
          <w:spacing w:val="-32"/>
          <w:sz w:val="20"/>
        </w:rPr>
        <w:t xml:space="preserve"> </w:t>
      </w:r>
      <w:r>
        <w:rPr>
          <w:sz w:val="20"/>
        </w:rPr>
        <w:t>matters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1969"/>
        </w:tabs>
        <w:spacing w:before="1"/>
        <w:ind w:right="1312"/>
        <w:jc w:val="both"/>
        <w:rPr>
          <w:sz w:val="20"/>
        </w:rPr>
      </w:pPr>
      <w:r>
        <w:rPr>
          <w:sz w:val="20"/>
        </w:rPr>
        <w:t>review AHPRA’s cross-profession analysis of six-monthly reports from accreditation</w:t>
      </w:r>
      <w:r>
        <w:rPr>
          <w:spacing w:val="-31"/>
          <w:sz w:val="20"/>
        </w:rPr>
        <w:t xml:space="preserve"> </w:t>
      </w:r>
      <w:r>
        <w:rPr>
          <w:sz w:val="20"/>
        </w:rPr>
        <w:t>authorities and provide advice to the Board on accreditation governance, accountability and transparency issues identified in the a</w:t>
      </w:r>
      <w:r>
        <w:rPr>
          <w:sz w:val="20"/>
        </w:rPr>
        <w:t>nalysis,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before="1"/>
        <w:ind w:right="1323"/>
        <w:rPr>
          <w:sz w:val="20"/>
        </w:rPr>
      </w:pPr>
      <w:r>
        <w:rPr>
          <w:sz w:val="20"/>
        </w:rPr>
        <w:t>provide a forum for discussion, review and advice on significant whole of scheme</w:t>
      </w:r>
      <w:r>
        <w:rPr>
          <w:spacing w:val="-30"/>
          <w:sz w:val="20"/>
        </w:rPr>
        <w:t xml:space="preserve"> </w:t>
      </w:r>
      <w:r>
        <w:rPr>
          <w:sz w:val="20"/>
        </w:rPr>
        <w:t>accreditation issues including governance, accountability and transparency</w:t>
      </w:r>
      <w:r>
        <w:rPr>
          <w:spacing w:val="-18"/>
          <w:sz w:val="20"/>
        </w:rPr>
        <w:t xml:space="preserve"> </w:t>
      </w:r>
      <w:r>
        <w:rPr>
          <w:sz w:val="20"/>
        </w:rPr>
        <w:t>issues.</w:t>
      </w:r>
    </w:p>
    <w:p w:rsidR="00596457" w:rsidRDefault="00596457">
      <w:pPr>
        <w:pStyle w:val="BodyText"/>
        <w:spacing w:before="4"/>
        <w:rPr>
          <w:sz w:val="17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1619"/>
        </w:tabs>
        <w:rPr>
          <w:sz w:val="20"/>
        </w:rPr>
      </w:pPr>
      <w:r>
        <w:rPr>
          <w:sz w:val="20"/>
        </w:rPr>
        <w:t>The Committee has no formal delegated power from the</w:t>
      </w:r>
      <w:r>
        <w:rPr>
          <w:spacing w:val="-18"/>
          <w:sz w:val="20"/>
        </w:rPr>
        <w:t xml:space="preserve"> </w:t>
      </w:r>
      <w:r>
        <w:rPr>
          <w:sz w:val="20"/>
        </w:rPr>
        <w:t>Board.</w:t>
      </w:r>
    </w:p>
    <w:p w:rsidR="00596457" w:rsidRDefault="0067771A">
      <w:pPr>
        <w:pStyle w:val="ListParagraph"/>
        <w:numPr>
          <w:ilvl w:val="1"/>
          <w:numId w:val="2"/>
        </w:numPr>
        <w:tabs>
          <w:tab w:val="left" w:pos="1619"/>
        </w:tabs>
        <w:spacing w:before="197" w:line="242" w:lineRule="auto"/>
        <w:ind w:right="1291"/>
        <w:rPr>
          <w:sz w:val="20"/>
        </w:rPr>
      </w:pPr>
      <w:r>
        <w:rPr>
          <w:sz w:val="20"/>
        </w:rPr>
        <w:t>This Charter has effect from the date nominated by the Board until it is subsequently amended and approved by the</w:t>
      </w:r>
      <w:r>
        <w:rPr>
          <w:spacing w:val="-10"/>
          <w:sz w:val="20"/>
        </w:rPr>
        <w:t xml:space="preserve"> </w:t>
      </w:r>
      <w:r>
        <w:rPr>
          <w:sz w:val="20"/>
        </w:rPr>
        <w:t>Board.</w:t>
      </w:r>
    </w:p>
    <w:p w:rsidR="00596457" w:rsidRDefault="0067771A">
      <w:pPr>
        <w:pStyle w:val="Heading1"/>
        <w:numPr>
          <w:ilvl w:val="0"/>
          <w:numId w:val="2"/>
        </w:numPr>
        <w:tabs>
          <w:tab w:val="left" w:pos="1617"/>
          <w:tab w:val="left" w:pos="1619"/>
        </w:tabs>
        <w:spacing w:before="194"/>
        <w:jc w:val="left"/>
      </w:pPr>
      <w:r>
        <w:rPr>
          <w:color w:val="007CC3"/>
        </w:rPr>
        <w:t>Purpose</w:t>
      </w:r>
    </w:p>
    <w:p w:rsidR="00596457" w:rsidRDefault="00596457">
      <w:pPr>
        <w:pStyle w:val="BodyText"/>
        <w:spacing w:before="3"/>
        <w:rPr>
          <w:b/>
          <w:sz w:val="17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1619"/>
        </w:tabs>
        <w:spacing w:line="242" w:lineRule="auto"/>
        <w:ind w:right="1932"/>
        <w:rPr>
          <w:sz w:val="20"/>
        </w:rPr>
      </w:pPr>
      <w:r>
        <w:rPr>
          <w:sz w:val="20"/>
        </w:rPr>
        <w:t>The Board has established the Committee to provide advice on significant whole of scheme accreditation issues including the fo</w:t>
      </w:r>
      <w:r>
        <w:rPr>
          <w:sz w:val="20"/>
        </w:rPr>
        <w:t>llowing</w:t>
      </w:r>
      <w:r>
        <w:rPr>
          <w:spacing w:val="-19"/>
          <w:sz w:val="20"/>
        </w:rPr>
        <w:t xml:space="preserve"> </w:t>
      </w:r>
      <w:r>
        <w:rPr>
          <w:sz w:val="20"/>
        </w:rPr>
        <w:t>areas: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2100"/>
          <w:tab w:val="left" w:pos="2101"/>
        </w:tabs>
        <w:spacing w:before="195"/>
        <w:ind w:left="2100" w:right="1827" w:hanging="425"/>
        <w:rPr>
          <w:sz w:val="20"/>
        </w:rPr>
      </w:pPr>
      <w:r>
        <w:rPr>
          <w:sz w:val="20"/>
        </w:rPr>
        <w:t>accreditation governance, accountability and transparency issues affecting the</w:t>
      </w:r>
      <w:r>
        <w:rPr>
          <w:spacing w:val="-31"/>
          <w:sz w:val="20"/>
        </w:rPr>
        <w:t xml:space="preserve"> </w:t>
      </w:r>
      <w:r>
        <w:rPr>
          <w:sz w:val="20"/>
        </w:rPr>
        <w:t>National Registration and Accreditation</w:t>
      </w:r>
      <w:r>
        <w:rPr>
          <w:spacing w:val="-13"/>
          <w:sz w:val="20"/>
        </w:rPr>
        <w:t xml:space="preserve"> </w:t>
      </w:r>
      <w:r>
        <w:rPr>
          <w:sz w:val="20"/>
        </w:rPr>
        <w:t>Scheme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2097"/>
          <w:tab w:val="left" w:pos="2098"/>
        </w:tabs>
        <w:ind w:left="2098" w:right="1292" w:hanging="425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AHPRA’s</w:t>
      </w:r>
      <w:r>
        <w:rPr>
          <w:spacing w:val="-6"/>
          <w:sz w:val="20"/>
        </w:rPr>
        <w:t xml:space="preserve"> </w:t>
      </w:r>
      <w:r>
        <w:rPr>
          <w:sz w:val="20"/>
        </w:rPr>
        <w:t>functions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accreditation,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financial,</w:t>
      </w:r>
      <w:r>
        <w:rPr>
          <w:sz w:val="20"/>
        </w:rPr>
        <w:t xml:space="preserve"> </w:t>
      </w:r>
      <w:r>
        <w:rPr>
          <w:sz w:val="20"/>
        </w:rPr>
        <w:t>contracting</w:t>
      </w:r>
      <w:r>
        <w:rPr>
          <w:spacing w:val="-5"/>
          <w:sz w:val="20"/>
        </w:rPr>
        <w:t xml:space="preserve"> </w:t>
      </w:r>
      <w:r>
        <w:rPr>
          <w:sz w:val="20"/>
        </w:rPr>
        <w:t>and reporting</w:t>
      </w:r>
      <w:r>
        <w:rPr>
          <w:spacing w:val="-7"/>
          <w:sz w:val="20"/>
        </w:rPr>
        <w:t xml:space="preserve"> </w:t>
      </w:r>
      <w:r>
        <w:rPr>
          <w:sz w:val="20"/>
        </w:rPr>
        <w:t>issues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2097"/>
          <w:tab w:val="left" w:pos="2098"/>
        </w:tabs>
        <w:spacing w:before="2" w:line="244" w:lineRule="exact"/>
        <w:ind w:left="2098" w:hanging="425"/>
        <w:rPr>
          <w:sz w:val="20"/>
        </w:rPr>
      </w:pPr>
      <w:r>
        <w:rPr>
          <w:sz w:val="20"/>
        </w:rPr>
        <w:t>AHP</w:t>
      </w:r>
      <w:r>
        <w:rPr>
          <w:sz w:val="20"/>
        </w:rPr>
        <w:t>RA’s cross-profession analysis of six-monthly reports from accreditation authorities,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2097"/>
          <w:tab w:val="left" w:pos="2098"/>
        </w:tabs>
        <w:ind w:left="2098" w:right="1198" w:hanging="425"/>
        <w:rPr>
          <w:sz w:val="20"/>
        </w:rPr>
      </w:pPr>
      <w:r>
        <w:rPr>
          <w:sz w:val="20"/>
        </w:rPr>
        <w:t>accreditation governance, accountability and transparency issues identified in AHPRA’s cross- profession analysis of six-monthly reports from accreditation</w:t>
      </w:r>
      <w:r>
        <w:rPr>
          <w:spacing w:val="-25"/>
          <w:sz w:val="20"/>
        </w:rPr>
        <w:t xml:space="preserve"> </w:t>
      </w:r>
      <w:r>
        <w:rPr>
          <w:sz w:val="20"/>
        </w:rPr>
        <w:t>authorities</w:t>
      </w:r>
    </w:p>
    <w:p w:rsidR="00596457" w:rsidRDefault="00596457">
      <w:pPr>
        <w:pStyle w:val="BodyText"/>
        <w:rPr>
          <w:sz w:val="22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1619"/>
        </w:tabs>
        <w:spacing w:before="179"/>
        <w:ind w:right="1019"/>
        <w:rPr>
          <w:sz w:val="20"/>
        </w:rPr>
      </w:pPr>
      <w:r>
        <w:rPr>
          <w:sz w:val="20"/>
        </w:rPr>
        <w:t>The Committee must follow a lawful direction given to it by the Board, and those directions override</w:t>
      </w:r>
      <w:r>
        <w:rPr>
          <w:spacing w:val="-32"/>
          <w:sz w:val="20"/>
        </w:rPr>
        <w:t xml:space="preserve"> </w:t>
      </w:r>
      <w:r>
        <w:rPr>
          <w:sz w:val="20"/>
        </w:rPr>
        <w:t>all provisions of this</w:t>
      </w:r>
      <w:r>
        <w:rPr>
          <w:spacing w:val="-7"/>
          <w:sz w:val="20"/>
        </w:rPr>
        <w:t xml:space="preserve"> </w:t>
      </w:r>
      <w:r>
        <w:rPr>
          <w:sz w:val="20"/>
        </w:rPr>
        <w:t>Charter.</w:t>
      </w:r>
    </w:p>
    <w:p w:rsidR="00596457" w:rsidRDefault="00596457">
      <w:pPr>
        <w:pStyle w:val="BodyText"/>
        <w:spacing w:before="3"/>
        <w:rPr>
          <w:sz w:val="17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1619"/>
        </w:tabs>
        <w:rPr>
          <w:sz w:val="20"/>
        </w:rPr>
      </w:pPr>
      <w:r>
        <w:rPr>
          <w:sz w:val="20"/>
        </w:rPr>
        <w:t>In order to ensure that it provides effective and timely advice to the Board,  the Committee</w:t>
      </w:r>
      <w:r>
        <w:rPr>
          <w:spacing w:val="-27"/>
          <w:sz w:val="20"/>
        </w:rPr>
        <w:t xml:space="preserve"> </w:t>
      </w:r>
      <w:r>
        <w:rPr>
          <w:sz w:val="20"/>
        </w:rPr>
        <w:t>will:</w:t>
      </w:r>
    </w:p>
    <w:p w:rsidR="00596457" w:rsidRDefault="00596457">
      <w:pPr>
        <w:pStyle w:val="BodyText"/>
        <w:spacing w:before="9"/>
        <w:rPr>
          <w:sz w:val="17"/>
        </w:rPr>
      </w:pPr>
    </w:p>
    <w:p w:rsidR="00596457" w:rsidRDefault="0067771A">
      <w:pPr>
        <w:pStyle w:val="ListParagraph"/>
        <w:numPr>
          <w:ilvl w:val="2"/>
          <w:numId w:val="2"/>
        </w:numPr>
        <w:tabs>
          <w:tab w:val="left" w:pos="1956"/>
          <w:tab w:val="left" w:pos="1957"/>
        </w:tabs>
        <w:spacing w:line="235" w:lineRule="auto"/>
        <w:ind w:left="1956" w:right="1646"/>
        <w:rPr>
          <w:sz w:val="20"/>
        </w:rPr>
      </w:pPr>
      <w:r>
        <w:rPr>
          <w:sz w:val="20"/>
        </w:rPr>
        <w:t>review and advise on key documents relating to AHPRA’s management of contracts for</w:t>
      </w:r>
      <w:r>
        <w:rPr>
          <w:spacing w:val="-35"/>
          <w:sz w:val="20"/>
        </w:rPr>
        <w:t xml:space="preserve"> </w:t>
      </w:r>
      <w:r>
        <w:rPr>
          <w:sz w:val="20"/>
        </w:rPr>
        <w:t>the performance of the accreditation functions, including financial and reporting</w:t>
      </w:r>
      <w:r>
        <w:rPr>
          <w:spacing w:val="-32"/>
          <w:sz w:val="20"/>
        </w:rPr>
        <w:t xml:space="preserve"> </w:t>
      </w:r>
      <w:r>
        <w:rPr>
          <w:sz w:val="20"/>
        </w:rPr>
        <w:t>matters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1956"/>
          <w:tab w:val="left" w:pos="1957"/>
        </w:tabs>
        <w:spacing w:before="6" w:line="235" w:lineRule="auto"/>
        <w:ind w:left="1956" w:right="1153"/>
        <w:rPr>
          <w:sz w:val="20"/>
        </w:rPr>
      </w:pPr>
      <w:r>
        <w:rPr>
          <w:sz w:val="20"/>
        </w:rPr>
        <w:t>report to the Board on any issue identified that may amount to a significant risk t</w:t>
      </w:r>
      <w:r>
        <w:rPr>
          <w:sz w:val="20"/>
        </w:rPr>
        <w:t>o the Scheme or that would benefit from the Board’s specific</w:t>
      </w:r>
      <w:r>
        <w:rPr>
          <w:spacing w:val="-26"/>
          <w:sz w:val="20"/>
        </w:rPr>
        <w:t xml:space="preserve"> </w:t>
      </w:r>
      <w:r>
        <w:rPr>
          <w:sz w:val="20"/>
        </w:rPr>
        <w:t>consideration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before="1"/>
        <w:ind w:right="1136"/>
        <w:rPr>
          <w:sz w:val="20"/>
        </w:rPr>
      </w:pPr>
      <w:r>
        <w:rPr>
          <w:sz w:val="20"/>
        </w:rPr>
        <w:t>consider AHPRA’s cross-profession analysis of six-monthly reports from accreditation</w:t>
      </w:r>
      <w:r>
        <w:rPr>
          <w:spacing w:val="-32"/>
          <w:sz w:val="20"/>
        </w:rPr>
        <w:t xml:space="preserve"> </w:t>
      </w:r>
      <w:r>
        <w:rPr>
          <w:sz w:val="20"/>
        </w:rPr>
        <w:t>authorities and provide advice to the Board on accreditation governance, accountability and tran</w:t>
      </w:r>
      <w:r>
        <w:rPr>
          <w:sz w:val="20"/>
        </w:rPr>
        <w:t>sparency issues identified in the analysis as</w:t>
      </w:r>
      <w:r>
        <w:rPr>
          <w:spacing w:val="-18"/>
          <w:sz w:val="20"/>
        </w:rPr>
        <w:t xml:space="preserve"> </w:t>
      </w:r>
      <w:r>
        <w:rPr>
          <w:sz w:val="20"/>
        </w:rPr>
        <w:t>needed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1956"/>
          <w:tab w:val="left" w:pos="1957"/>
        </w:tabs>
        <w:spacing w:before="1"/>
        <w:ind w:left="1956"/>
        <w:rPr>
          <w:sz w:val="20"/>
        </w:rPr>
      </w:pPr>
      <w:r>
        <w:rPr>
          <w:sz w:val="20"/>
        </w:rPr>
        <w:t>report annually to the Board on the performance of the Committee,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</w:p>
    <w:p w:rsidR="00596457" w:rsidRDefault="0067771A">
      <w:pPr>
        <w:spacing w:before="63"/>
        <w:ind w:left="3845"/>
        <w:rPr>
          <w:b/>
          <w:sz w:val="18"/>
        </w:rPr>
      </w:pPr>
      <w:r>
        <w:rPr>
          <w:b/>
          <w:color w:val="5F5F61"/>
          <w:sz w:val="18"/>
        </w:rPr>
        <w:t xml:space="preserve">Australian </w:t>
      </w:r>
      <w:r>
        <w:rPr>
          <w:b/>
          <w:color w:val="007CC3"/>
          <w:sz w:val="18"/>
        </w:rPr>
        <w:t xml:space="preserve">Health Practitioner </w:t>
      </w:r>
      <w:r>
        <w:rPr>
          <w:b/>
          <w:color w:val="5F5F61"/>
          <w:sz w:val="18"/>
        </w:rPr>
        <w:t>Regulation Agency</w:t>
      </w:r>
    </w:p>
    <w:p w:rsidR="00596457" w:rsidRDefault="0067771A">
      <w:pPr>
        <w:spacing w:before="1"/>
        <w:ind w:left="3348"/>
        <w:rPr>
          <w:sz w:val="18"/>
        </w:rPr>
      </w:pPr>
      <w:r>
        <w:rPr>
          <w:color w:val="5F5F61"/>
          <w:sz w:val="18"/>
        </w:rPr>
        <w:t xml:space="preserve">G.P.O. Box 9958   </w:t>
      </w:r>
      <w:r>
        <w:rPr>
          <w:b/>
          <w:color w:val="007CC3"/>
          <w:sz w:val="18"/>
        </w:rPr>
        <w:t xml:space="preserve">|   </w:t>
      </w:r>
      <w:r>
        <w:rPr>
          <w:color w:val="5F5F61"/>
          <w:sz w:val="18"/>
        </w:rPr>
        <w:t xml:space="preserve">Melbourne VIC 3001   </w:t>
      </w:r>
      <w:r>
        <w:rPr>
          <w:b/>
          <w:color w:val="007CC3"/>
          <w:sz w:val="18"/>
        </w:rPr>
        <w:t xml:space="preserve">|  </w:t>
      </w:r>
      <w:hyperlink r:id="rId8">
        <w:r>
          <w:rPr>
            <w:color w:val="5F5F61"/>
            <w:sz w:val="18"/>
          </w:rPr>
          <w:t>www.ahpra.gov.au</w:t>
        </w:r>
      </w:hyperlink>
    </w:p>
    <w:p w:rsidR="00596457" w:rsidRDefault="00596457">
      <w:pPr>
        <w:rPr>
          <w:sz w:val="18"/>
        </w:rPr>
        <w:sectPr w:rsidR="00596457">
          <w:type w:val="continuous"/>
          <w:pgSz w:w="11900" w:h="16850"/>
          <w:pgMar w:top="220" w:right="260" w:bottom="280" w:left="0" w:header="720" w:footer="720" w:gutter="0"/>
          <w:cols w:space="720"/>
        </w:sectPr>
      </w:pPr>
    </w:p>
    <w:p w:rsidR="00596457" w:rsidRDefault="0067771A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79"/>
        <w:rPr>
          <w:sz w:val="20"/>
        </w:rPr>
      </w:pPr>
      <w:r>
        <w:rPr>
          <w:sz w:val="20"/>
        </w:rPr>
        <w:lastRenderedPageBreak/>
        <w:t>report to the Board following each</w:t>
      </w:r>
      <w:r>
        <w:rPr>
          <w:spacing w:val="-15"/>
          <w:sz w:val="20"/>
        </w:rPr>
        <w:t xml:space="preserve"> </w:t>
      </w:r>
      <w:r>
        <w:rPr>
          <w:sz w:val="20"/>
        </w:rPr>
        <w:t>meeting.</w:t>
      </w:r>
    </w:p>
    <w:p w:rsidR="00596457" w:rsidRDefault="0067771A">
      <w:pPr>
        <w:pStyle w:val="Heading1"/>
        <w:numPr>
          <w:ilvl w:val="0"/>
          <w:numId w:val="2"/>
        </w:numPr>
        <w:tabs>
          <w:tab w:val="left" w:pos="477"/>
          <w:tab w:val="left" w:pos="479"/>
        </w:tabs>
        <w:ind w:left="478"/>
        <w:jc w:val="left"/>
      </w:pPr>
      <w:r>
        <w:rPr>
          <w:color w:val="007CC3"/>
        </w:rPr>
        <w:t>Members of the</w:t>
      </w:r>
      <w:r>
        <w:rPr>
          <w:color w:val="007CC3"/>
          <w:spacing w:val="-9"/>
        </w:rPr>
        <w:t xml:space="preserve"> </w:t>
      </w:r>
      <w:r>
        <w:rPr>
          <w:color w:val="007CC3"/>
        </w:rPr>
        <w:t>Committee</w:t>
      </w:r>
    </w:p>
    <w:p w:rsidR="00596457" w:rsidRDefault="00596457">
      <w:pPr>
        <w:pStyle w:val="BodyText"/>
        <w:spacing w:before="3"/>
        <w:rPr>
          <w:b/>
          <w:sz w:val="17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auto"/>
        <w:ind w:left="478" w:right="934"/>
        <w:rPr>
          <w:sz w:val="20"/>
        </w:rPr>
      </w:pPr>
      <w:r>
        <w:rPr>
          <w:sz w:val="20"/>
        </w:rPr>
        <w:t>Members of the Committee are appointed by the Board for a term not exceeding three years. Members may be re-app</w:t>
      </w:r>
      <w:r>
        <w:rPr>
          <w:sz w:val="20"/>
        </w:rPr>
        <w:t>ointed for two additional</w:t>
      </w:r>
      <w:r>
        <w:rPr>
          <w:spacing w:val="-14"/>
          <w:sz w:val="20"/>
        </w:rPr>
        <w:t xml:space="preserve"> </w:t>
      </w:r>
      <w:r>
        <w:rPr>
          <w:sz w:val="20"/>
        </w:rPr>
        <w:t>terms.</w:t>
      </w: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before="197"/>
        <w:ind w:left="478"/>
        <w:rPr>
          <w:sz w:val="20"/>
        </w:rPr>
      </w:pPr>
      <w:r>
        <w:rPr>
          <w:sz w:val="20"/>
        </w:rPr>
        <w:t>The Committee will  consist of up to 6 members</w:t>
      </w:r>
      <w:r>
        <w:rPr>
          <w:spacing w:val="-17"/>
          <w:sz w:val="20"/>
        </w:rPr>
        <w:t xml:space="preserve"> </w:t>
      </w:r>
      <w:r>
        <w:rPr>
          <w:sz w:val="20"/>
        </w:rPr>
        <w:t>including:</w:t>
      </w:r>
    </w:p>
    <w:p w:rsidR="00596457" w:rsidRDefault="00596457">
      <w:pPr>
        <w:pStyle w:val="BodyText"/>
        <w:spacing w:before="2"/>
        <w:rPr>
          <w:sz w:val="17"/>
        </w:rPr>
      </w:pPr>
    </w:p>
    <w:p w:rsidR="00596457" w:rsidRDefault="0067771A">
      <w:pPr>
        <w:pStyle w:val="ListParagraph"/>
        <w:numPr>
          <w:ilvl w:val="2"/>
          <w:numId w:val="2"/>
        </w:numPr>
        <w:tabs>
          <w:tab w:val="left" w:pos="828"/>
          <w:tab w:val="left" w:pos="829"/>
        </w:tabs>
        <w:spacing w:line="245" w:lineRule="exact"/>
        <w:ind w:left="821" w:hanging="353"/>
        <w:rPr>
          <w:sz w:val="20"/>
        </w:rPr>
      </w:pPr>
      <w:r>
        <w:rPr>
          <w:sz w:val="20"/>
        </w:rPr>
        <w:t>up to three members of 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828"/>
          <w:tab w:val="left" w:pos="829"/>
        </w:tabs>
        <w:spacing w:line="244" w:lineRule="exact"/>
        <w:ind w:left="821" w:hanging="353"/>
        <w:rPr>
          <w:sz w:val="20"/>
        </w:rPr>
      </w:pPr>
      <w:r>
        <w:rPr>
          <w:sz w:val="20"/>
        </w:rPr>
        <w:t>a chair of a National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821"/>
          <w:tab w:val="left" w:pos="822"/>
        </w:tabs>
        <w:spacing w:line="244" w:lineRule="exact"/>
        <w:ind w:left="821" w:hanging="355"/>
        <w:rPr>
          <w:sz w:val="20"/>
        </w:rPr>
      </w:pPr>
      <w:r>
        <w:rPr>
          <w:sz w:val="20"/>
        </w:rPr>
        <w:t>a community member of a National Board,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821"/>
          <w:tab w:val="left" w:pos="822"/>
        </w:tabs>
        <w:ind w:left="821" w:right="116" w:hanging="355"/>
        <w:rPr>
          <w:sz w:val="20"/>
        </w:rPr>
      </w:pPr>
      <w:r>
        <w:rPr>
          <w:sz w:val="20"/>
        </w:rPr>
        <w:t>an external expert in accreditation. “external” means an individual who is not an officebearer, employee or agent of an entity within the National Scheme including national boards,</w:t>
      </w:r>
      <w:r>
        <w:rPr>
          <w:spacing w:val="-33"/>
          <w:sz w:val="20"/>
        </w:rPr>
        <w:t xml:space="preserve"> </w:t>
      </w:r>
      <w:r>
        <w:rPr>
          <w:sz w:val="20"/>
        </w:rPr>
        <w:t>accreditation authorities and</w:t>
      </w:r>
      <w:r>
        <w:rPr>
          <w:spacing w:val="-8"/>
          <w:sz w:val="20"/>
        </w:rPr>
        <w:t xml:space="preserve"> </w:t>
      </w:r>
      <w:r>
        <w:rPr>
          <w:sz w:val="20"/>
        </w:rPr>
        <w:t>AHPRA.</w:t>
      </w:r>
    </w:p>
    <w:p w:rsidR="00596457" w:rsidRDefault="00596457">
      <w:pPr>
        <w:pStyle w:val="BodyText"/>
        <w:spacing w:before="4"/>
        <w:rPr>
          <w:sz w:val="17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before="1"/>
        <w:ind w:left="478"/>
        <w:rPr>
          <w:sz w:val="20"/>
        </w:rPr>
      </w:pPr>
      <w:r>
        <w:rPr>
          <w:sz w:val="20"/>
        </w:rPr>
        <w:t>The Chair is appointed by the Board a</w:t>
      </w:r>
      <w:r>
        <w:rPr>
          <w:sz w:val="20"/>
        </w:rPr>
        <w:t>nd must also be a member of the</w:t>
      </w:r>
      <w:r>
        <w:rPr>
          <w:spacing w:val="-19"/>
          <w:sz w:val="20"/>
        </w:rPr>
        <w:t xml:space="preserve"> </w:t>
      </w:r>
      <w:r>
        <w:rPr>
          <w:sz w:val="20"/>
        </w:rPr>
        <w:t>Board.</w:t>
      </w:r>
    </w:p>
    <w:p w:rsidR="00596457" w:rsidRDefault="00596457">
      <w:pPr>
        <w:pStyle w:val="BodyText"/>
        <w:spacing w:before="4"/>
        <w:rPr>
          <w:sz w:val="17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before="1"/>
        <w:ind w:left="478"/>
        <w:rPr>
          <w:sz w:val="20"/>
        </w:rPr>
      </w:pPr>
      <w:r>
        <w:rPr>
          <w:sz w:val="20"/>
        </w:rPr>
        <w:t>Secretariat and professional support will be provided by</w:t>
      </w:r>
      <w:r>
        <w:rPr>
          <w:spacing w:val="-22"/>
          <w:sz w:val="20"/>
        </w:rPr>
        <w:t xml:space="preserve"> </w:t>
      </w:r>
      <w:r>
        <w:rPr>
          <w:sz w:val="20"/>
        </w:rPr>
        <w:t>AHPRA.</w:t>
      </w: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before="197" w:line="242" w:lineRule="auto"/>
        <w:ind w:left="478" w:right="240"/>
        <w:rPr>
          <w:sz w:val="20"/>
        </w:rPr>
      </w:pPr>
      <w:r>
        <w:rPr>
          <w:sz w:val="20"/>
        </w:rPr>
        <w:t xml:space="preserve">The Board will consider the range and mix of skills necessary to enable the Committee to fulfil its function. The Board recognises the following skills </w:t>
      </w:r>
      <w:r>
        <w:rPr>
          <w:sz w:val="20"/>
        </w:rPr>
        <w:t>as important for the success of the committee</w:t>
      </w:r>
      <w:r>
        <w:rPr>
          <w:spacing w:val="-36"/>
          <w:sz w:val="20"/>
        </w:rPr>
        <w:t xml:space="preserve"> </w:t>
      </w:r>
      <w:r>
        <w:rPr>
          <w:sz w:val="20"/>
        </w:rPr>
        <w:t>and will</w:t>
      </w:r>
      <w:r>
        <w:rPr>
          <w:spacing w:val="-6"/>
          <w:sz w:val="20"/>
        </w:rPr>
        <w:t xml:space="preserve"> </w:t>
      </w:r>
      <w:r>
        <w:rPr>
          <w:sz w:val="20"/>
        </w:rPr>
        <w:t>look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sure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Committee’s</w:t>
      </w:r>
      <w:r>
        <w:rPr>
          <w:spacing w:val="-6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reflects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competencies: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902"/>
          <w:tab w:val="left" w:pos="903"/>
        </w:tabs>
        <w:spacing w:before="195"/>
        <w:ind w:left="902" w:right="313" w:hanging="369"/>
        <w:rPr>
          <w:sz w:val="20"/>
        </w:rPr>
      </w:pPr>
      <w:r>
        <w:rPr>
          <w:sz w:val="20"/>
        </w:rPr>
        <w:t>A sound understanding of National Registration and Accreditation Scheme governance and</w:t>
      </w:r>
      <w:r>
        <w:rPr>
          <w:spacing w:val="-30"/>
          <w:sz w:val="20"/>
        </w:rPr>
        <w:t xml:space="preserve"> </w:t>
      </w:r>
      <w:r>
        <w:rPr>
          <w:sz w:val="20"/>
        </w:rPr>
        <w:t>the core functions of</w:t>
      </w:r>
      <w:r>
        <w:rPr>
          <w:spacing w:val="-10"/>
          <w:sz w:val="20"/>
        </w:rPr>
        <w:t xml:space="preserve"> </w:t>
      </w:r>
      <w:r>
        <w:rPr>
          <w:sz w:val="20"/>
        </w:rPr>
        <w:t>AHPRA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902"/>
          <w:tab w:val="left" w:pos="903"/>
        </w:tabs>
        <w:ind w:left="902" w:right="1088" w:hanging="369"/>
        <w:rPr>
          <w:sz w:val="20"/>
        </w:rPr>
      </w:pPr>
      <w:r>
        <w:rPr>
          <w:sz w:val="20"/>
        </w:rPr>
        <w:t>Sound knowle</w:t>
      </w:r>
      <w:r>
        <w:rPr>
          <w:sz w:val="20"/>
        </w:rPr>
        <w:t>dge and experience of accreditation within the National Registration and Accreditation Scheme,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902"/>
          <w:tab w:val="left" w:pos="903"/>
        </w:tabs>
        <w:spacing w:before="3"/>
        <w:ind w:left="902" w:hanging="369"/>
        <w:rPr>
          <w:sz w:val="20"/>
        </w:rPr>
      </w:pPr>
      <w:r>
        <w:rPr>
          <w:sz w:val="20"/>
        </w:rPr>
        <w:t>Experience in health education or accreditation of health</w:t>
      </w:r>
      <w:r>
        <w:rPr>
          <w:spacing w:val="-23"/>
          <w:sz w:val="20"/>
        </w:rPr>
        <w:t xml:space="preserve"> </w:t>
      </w:r>
      <w:r>
        <w:rPr>
          <w:sz w:val="20"/>
        </w:rPr>
        <w:t>education</w:t>
      </w:r>
    </w:p>
    <w:p w:rsidR="00596457" w:rsidRDefault="00596457">
      <w:pPr>
        <w:pStyle w:val="BodyText"/>
        <w:spacing w:before="8"/>
        <w:rPr>
          <w:sz w:val="19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auto"/>
        <w:ind w:left="478" w:right="591"/>
        <w:rPr>
          <w:sz w:val="20"/>
        </w:rPr>
      </w:pPr>
      <w:r>
        <w:rPr>
          <w:sz w:val="20"/>
        </w:rPr>
        <w:t xml:space="preserve">The Board can fill a casual vacancy in the Committee and must ensure that </w:t>
      </w:r>
      <w:r>
        <w:rPr>
          <w:spacing w:val="1"/>
          <w:sz w:val="20"/>
        </w:rPr>
        <w:t xml:space="preserve">the </w:t>
      </w:r>
      <w:r>
        <w:rPr>
          <w:sz w:val="20"/>
        </w:rPr>
        <w:t>Committee has</w:t>
      </w:r>
      <w:r>
        <w:rPr>
          <w:spacing w:val="-36"/>
          <w:sz w:val="20"/>
        </w:rPr>
        <w:t xml:space="preserve"> </w:t>
      </w:r>
      <w:r>
        <w:rPr>
          <w:sz w:val="20"/>
        </w:rPr>
        <w:t>a Chair at all</w:t>
      </w:r>
      <w:r>
        <w:rPr>
          <w:spacing w:val="-2"/>
          <w:sz w:val="20"/>
        </w:rPr>
        <w:t xml:space="preserve"> </w:t>
      </w:r>
      <w:r>
        <w:rPr>
          <w:sz w:val="20"/>
        </w:rPr>
        <w:t>times.</w:t>
      </w:r>
    </w:p>
    <w:p w:rsidR="00596457" w:rsidRDefault="0067771A">
      <w:pPr>
        <w:pStyle w:val="Heading1"/>
        <w:numPr>
          <w:ilvl w:val="0"/>
          <w:numId w:val="2"/>
        </w:numPr>
        <w:tabs>
          <w:tab w:val="left" w:pos="477"/>
          <w:tab w:val="left" w:pos="479"/>
        </w:tabs>
        <w:spacing w:before="195"/>
        <w:ind w:left="478"/>
        <w:jc w:val="left"/>
      </w:pPr>
      <w:r>
        <w:rPr>
          <w:color w:val="007CC3"/>
        </w:rPr>
        <w:t>Meetings of the</w:t>
      </w:r>
      <w:r>
        <w:rPr>
          <w:color w:val="007CC3"/>
          <w:spacing w:val="-9"/>
        </w:rPr>
        <w:t xml:space="preserve"> </w:t>
      </w:r>
      <w:r>
        <w:rPr>
          <w:color w:val="007CC3"/>
        </w:rPr>
        <w:t>Committee</w:t>
      </w:r>
    </w:p>
    <w:p w:rsidR="00596457" w:rsidRDefault="00596457">
      <w:pPr>
        <w:pStyle w:val="BodyText"/>
        <w:spacing w:before="6"/>
        <w:rPr>
          <w:b/>
          <w:sz w:val="17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ind w:left="478"/>
        <w:rPr>
          <w:sz w:val="20"/>
        </w:rPr>
      </w:pPr>
      <w:r>
        <w:rPr>
          <w:sz w:val="20"/>
        </w:rPr>
        <w:t>The Committee will hold at least four scheduled meetings per calendar</w:t>
      </w:r>
      <w:r>
        <w:rPr>
          <w:spacing w:val="-25"/>
          <w:sz w:val="20"/>
        </w:rPr>
        <w:t xml:space="preserve"> </w:t>
      </w:r>
      <w:r>
        <w:rPr>
          <w:sz w:val="20"/>
        </w:rPr>
        <w:t>year.</w:t>
      </w: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before="196" w:line="242" w:lineRule="auto"/>
        <w:ind w:left="478" w:right="691"/>
        <w:rPr>
          <w:sz w:val="20"/>
        </w:rPr>
      </w:pPr>
      <w:r>
        <w:rPr>
          <w:sz w:val="20"/>
        </w:rPr>
        <w:t>In addition to the scheduled meetings, a meeting of the Committee must be held if requested</w:t>
      </w:r>
      <w:r>
        <w:rPr>
          <w:spacing w:val="-27"/>
          <w:sz w:val="20"/>
        </w:rPr>
        <w:t xml:space="preserve"> </w:t>
      </w:r>
      <w:r>
        <w:rPr>
          <w:sz w:val="20"/>
        </w:rPr>
        <w:t>by either: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902"/>
          <w:tab w:val="left" w:pos="903"/>
        </w:tabs>
        <w:spacing w:before="195" w:line="245" w:lineRule="exact"/>
        <w:ind w:left="902" w:hanging="369"/>
        <w:rPr>
          <w:sz w:val="20"/>
        </w:rPr>
      </w:pPr>
      <w:r>
        <w:rPr>
          <w:sz w:val="20"/>
        </w:rPr>
        <w:t>the Board,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902"/>
          <w:tab w:val="left" w:pos="903"/>
        </w:tabs>
        <w:ind w:left="902" w:hanging="369"/>
        <w:rPr>
          <w:sz w:val="20"/>
        </w:rPr>
      </w:pPr>
      <w:r>
        <w:rPr>
          <w:sz w:val="20"/>
        </w:rPr>
        <w:t>the CEO of</w:t>
      </w:r>
      <w:r>
        <w:rPr>
          <w:spacing w:val="-5"/>
          <w:sz w:val="20"/>
        </w:rPr>
        <w:t xml:space="preserve"> </w:t>
      </w:r>
      <w:r>
        <w:rPr>
          <w:sz w:val="20"/>
        </w:rPr>
        <w:t>AHPRA.</w:t>
      </w: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before="196" w:line="242" w:lineRule="auto"/>
        <w:ind w:left="478" w:right="213"/>
        <w:rPr>
          <w:sz w:val="20"/>
        </w:rPr>
      </w:pPr>
      <w:r>
        <w:rPr>
          <w:sz w:val="20"/>
        </w:rPr>
        <w:t>Three members of the Committee, two of whom must also be members of the Board, are required for a</w:t>
      </w:r>
      <w:r>
        <w:rPr>
          <w:spacing w:val="-1"/>
          <w:sz w:val="20"/>
        </w:rPr>
        <w:t xml:space="preserve"> </w:t>
      </w:r>
      <w:r>
        <w:rPr>
          <w:sz w:val="20"/>
        </w:rPr>
        <w:t>quorum.</w:t>
      </w: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before="197"/>
        <w:ind w:left="478"/>
        <w:rPr>
          <w:sz w:val="20"/>
        </w:rPr>
      </w:pPr>
      <w:r>
        <w:rPr>
          <w:sz w:val="20"/>
        </w:rPr>
        <w:t>The Committee, through the AHPRA CEO, may request at any of its meetings the provision</w:t>
      </w:r>
      <w:r>
        <w:rPr>
          <w:spacing w:val="-29"/>
          <w:sz w:val="20"/>
        </w:rPr>
        <w:t xml:space="preserve"> </w:t>
      </w:r>
      <w:r>
        <w:rPr>
          <w:sz w:val="20"/>
        </w:rPr>
        <w:t>of:</w:t>
      </w:r>
    </w:p>
    <w:p w:rsidR="00596457" w:rsidRDefault="00596457">
      <w:pPr>
        <w:pStyle w:val="BodyText"/>
        <w:spacing w:before="5"/>
        <w:rPr>
          <w:sz w:val="17"/>
        </w:rPr>
      </w:pPr>
    </w:p>
    <w:p w:rsidR="00596457" w:rsidRDefault="0067771A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44" w:lineRule="exact"/>
        <w:ind w:left="958" w:hanging="358"/>
        <w:rPr>
          <w:sz w:val="20"/>
        </w:rPr>
      </w:pPr>
      <w:r>
        <w:rPr>
          <w:sz w:val="20"/>
        </w:rPr>
        <w:t>relevant data or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44" w:lineRule="exact"/>
        <w:ind w:left="958" w:hanging="358"/>
        <w:rPr>
          <w:sz w:val="20"/>
        </w:rPr>
      </w:pPr>
      <w:r>
        <w:rPr>
          <w:sz w:val="20"/>
        </w:rPr>
        <w:t>independent professional advice,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</w:p>
    <w:p w:rsidR="00596457" w:rsidRDefault="0067771A">
      <w:pPr>
        <w:pStyle w:val="ListParagraph"/>
        <w:numPr>
          <w:ilvl w:val="2"/>
          <w:numId w:val="2"/>
        </w:numPr>
        <w:tabs>
          <w:tab w:val="left" w:pos="957"/>
          <w:tab w:val="left" w:pos="958"/>
        </w:tabs>
        <w:ind w:left="958" w:right="179" w:hanging="358"/>
        <w:rPr>
          <w:sz w:val="20"/>
        </w:rPr>
      </w:pPr>
      <w:r>
        <w:rPr>
          <w:sz w:val="20"/>
        </w:rPr>
        <w:t>the attendance of any member of AHPRA staff, the Co-Chair of the Accreditation Liaison Group and/or additional external expertise such as the Tertiary Education Quality and Standards Agency and the Australian Commiss</w:t>
      </w:r>
      <w:r>
        <w:rPr>
          <w:sz w:val="20"/>
        </w:rPr>
        <w:t>ion on Safety and Quality in</w:t>
      </w:r>
      <w:r>
        <w:rPr>
          <w:spacing w:val="-16"/>
          <w:sz w:val="20"/>
        </w:rPr>
        <w:t xml:space="preserve"> </w:t>
      </w:r>
      <w:r>
        <w:rPr>
          <w:sz w:val="20"/>
        </w:rPr>
        <w:t>Healthcare.</w:t>
      </w:r>
    </w:p>
    <w:p w:rsidR="00596457" w:rsidRDefault="0067771A">
      <w:pPr>
        <w:pStyle w:val="Heading1"/>
        <w:numPr>
          <w:ilvl w:val="0"/>
          <w:numId w:val="2"/>
        </w:numPr>
        <w:tabs>
          <w:tab w:val="left" w:pos="477"/>
          <w:tab w:val="left" w:pos="479"/>
        </w:tabs>
        <w:ind w:left="478"/>
        <w:jc w:val="left"/>
      </w:pPr>
      <w:r>
        <w:rPr>
          <w:color w:val="007CC3"/>
        </w:rPr>
        <w:t>Reporting to the</w:t>
      </w:r>
      <w:r>
        <w:rPr>
          <w:color w:val="007CC3"/>
          <w:spacing w:val="-9"/>
        </w:rPr>
        <w:t xml:space="preserve"> </w:t>
      </w:r>
      <w:r>
        <w:rPr>
          <w:color w:val="007CC3"/>
        </w:rPr>
        <w:t>Board</w:t>
      </w:r>
    </w:p>
    <w:p w:rsidR="00596457" w:rsidRDefault="00596457">
      <w:pPr>
        <w:pStyle w:val="BodyText"/>
        <w:spacing w:before="4"/>
        <w:rPr>
          <w:b/>
          <w:sz w:val="17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auto"/>
        <w:ind w:left="478" w:right="380"/>
        <w:rPr>
          <w:sz w:val="20"/>
        </w:rPr>
      </w:pPr>
      <w:r>
        <w:rPr>
          <w:sz w:val="20"/>
        </w:rPr>
        <w:t>The Committee must submit the minutes of each meeting to the next possible meeting of the</w:t>
      </w:r>
      <w:r>
        <w:rPr>
          <w:spacing w:val="-25"/>
          <w:sz w:val="20"/>
        </w:rPr>
        <w:t xml:space="preserve"> </w:t>
      </w:r>
      <w:r>
        <w:rPr>
          <w:sz w:val="20"/>
        </w:rPr>
        <w:t>Board and the Chair will provide a verbal update after each</w:t>
      </w:r>
      <w:r>
        <w:rPr>
          <w:spacing w:val="-21"/>
          <w:sz w:val="20"/>
        </w:rPr>
        <w:t xml:space="preserve"> </w:t>
      </w:r>
      <w:r>
        <w:rPr>
          <w:sz w:val="20"/>
        </w:rPr>
        <w:t>meeting.</w:t>
      </w: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before="195" w:line="242" w:lineRule="auto"/>
        <w:ind w:left="478" w:right="143"/>
        <w:rPr>
          <w:sz w:val="20"/>
        </w:rPr>
      </w:pPr>
      <w:r>
        <w:rPr>
          <w:sz w:val="20"/>
        </w:rPr>
        <w:t>The Committee will conduct a review of its activities prior to the end of each financial year and</w:t>
      </w:r>
      <w:r>
        <w:rPr>
          <w:spacing w:val="-36"/>
          <w:sz w:val="20"/>
        </w:rPr>
        <w:t xml:space="preserve"> </w:t>
      </w:r>
      <w:r>
        <w:rPr>
          <w:sz w:val="20"/>
        </w:rPr>
        <w:t>provide a summary of the review to the next meeting of the</w:t>
      </w:r>
      <w:r>
        <w:rPr>
          <w:spacing w:val="-17"/>
          <w:sz w:val="20"/>
        </w:rPr>
        <w:t xml:space="preserve"> </w:t>
      </w:r>
      <w:r>
        <w:rPr>
          <w:sz w:val="20"/>
        </w:rPr>
        <w:t>Board.</w:t>
      </w: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before="195" w:line="242" w:lineRule="auto"/>
        <w:ind w:left="478" w:right="703"/>
        <w:rPr>
          <w:sz w:val="20"/>
        </w:rPr>
      </w:pPr>
      <w:r>
        <w:rPr>
          <w:sz w:val="20"/>
        </w:rPr>
        <w:t>The Committee will produce a report annually of its activities for consideration by the Boar</w:t>
      </w:r>
      <w:r>
        <w:rPr>
          <w:sz w:val="20"/>
        </w:rPr>
        <w:t>d</w:t>
      </w:r>
      <w:r>
        <w:rPr>
          <w:spacing w:val="-28"/>
          <w:sz w:val="20"/>
        </w:rPr>
        <w:t xml:space="preserve"> </w:t>
      </w:r>
      <w:r>
        <w:rPr>
          <w:sz w:val="20"/>
        </w:rPr>
        <w:t>and circulation to National</w:t>
      </w:r>
      <w:r>
        <w:rPr>
          <w:spacing w:val="-11"/>
          <w:sz w:val="20"/>
        </w:rPr>
        <w:t xml:space="preserve"> </w:t>
      </w:r>
      <w:r>
        <w:rPr>
          <w:sz w:val="20"/>
        </w:rPr>
        <w:t>Boards.</w:t>
      </w:r>
    </w:p>
    <w:p w:rsidR="00596457" w:rsidRDefault="00596457">
      <w:pPr>
        <w:spacing w:line="242" w:lineRule="auto"/>
        <w:rPr>
          <w:sz w:val="20"/>
        </w:rPr>
        <w:sectPr w:rsidR="00596457">
          <w:footerReference w:type="default" r:id="rId9"/>
          <w:pgSz w:w="11900" w:h="16850"/>
          <w:pgMar w:top="1300" w:right="1140" w:bottom="1060" w:left="1140" w:header="0" w:footer="872" w:gutter="0"/>
          <w:pgNumType w:start="2"/>
          <w:cols w:space="720"/>
        </w:sect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spacing w:before="81"/>
        <w:ind w:left="478"/>
        <w:rPr>
          <w:sz w:val="20"/>
        </w:rPr>
      </w:pPr>
      <w:r>
        <w:rPr>
          <w:sz w:val="20"/>
        </w:rPr>
        <w:lastRenderedPageBreak/>
        <w:t>The Committee must also provide any reports requested of it by the</w:t>
      </w:r>
      <w:r>
        <w:rPr>
          <w:spacing w:val="-20"/>
          <w:sz w:val="20"/>
        </w:rPr>
        <w:t xml:space="preserve"> </w:t>
      </w:r>
      <w:r>
        <w:rPr>
          <w:sz w:val="20"/>
        </w:rPr>
        <w:t>Board.</w:t>
      </w:r>
    </w:p>
    <w:p w:rsidR="00596457" w:rsidRDefault="0067771A">
      <w:pPr>
        <w:pStyle w:val="Heading1"/>
        <w:numPr>
          <w:ilvl w:val="0"/>
          <w:numId w:val="2"/>
        </w:numPr>
        <w:tabs>
          <w:tab w:val="left" w:pos="477"/>
          <w:tab w:val="left" w:pos="479"/>
        </w:tabs>
        <w:ind w:left="478"/>
        <w:jc w:val="left"/>
      </w:pPr>
      <w:r>
        <w:rPr>
          <w:color w:val="007CC3"/>
        </w:rPr>
        <w:t>Accountability and</w:t>
      </w:r>
      <w:r>
        <w:rPr>
          <w:color w:val="007CC3"/>
          <w:spacing w:val="-9"/>
        </w:rPr>
        <w:t xml:space="preserve"> </w:t>
      </w:r>
      <w:r>
        <w:rPr>
          <w:color w:val="007CC3"/>
        </w:rPr>
        <w:t>Review</w:t>
      </w:r>
    </w:p>
    <w:p w:rsidR="00596457" w:rsidRDefault="00596457">
      <w:pPr>
        <w:pStyle w:val="BodyText"/>
        <w:spacing w:before="8"/>
        <w:rPr>
          <w:b/>
          <w:sz w:val="17"/>
        </w:rPr>
      </w:pPr>
    </w:p>
    <w:p w:rsidR="00596457" w:rsidRDefault="0067771A">
      <w:pPr>
        <w:pStyle w:val="ListParagraph"/>
        <w:numPr>
          <w:ilvl w:val="1"/>
          <w:numId w:val="2"/>
        </w:numPr>
        <w:tabs>
          <w:tab w:val="left" w:pos="479"/>
        </w:tabs>
        <w:ind w:left="478"/>
        <w:rPr>
          <w:sz w:val="20"/>
        </w:rPr>
      </w:pPr>
      <w:r>
        <w:rPr>
          <w:sz w:val="20"/>
        </w:rPr>
        <w:t>The Board will review this Charter</w:t>
      </w:r>
      <w:r>
        <w:rPr>
          <w:spacing w:val="-21"/>
          <w:sz w:val="20"/>
        </w:rPr>
        <w:t xml:space="preserve"> </w:t>
      </w:r>
      <w:r>
        <w:rPr>
          <w:sz w:val="20"/>
        </w:rPr>
        <w:t>annually.</w:t>
      </w:r>
    </w:p>
    <w:sectPr w:rsidR="00596457">
      <w:pgSz w:w="11900" w:h="16850"/>
      <w:pgMar w:top="1300" w:right="1140" w:bottom="1080" w:left="114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1A" w:rsidRDefault="0067771A">
      <w:r>
        <w:separator/>
      </w:r>
    </w:p>
  </w:endnote>
  <w:endnote w:type="continuationSeparator" w:id="0">
    <w:p w:rsidR="0067771A" w:rsidRDefault="006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57" w:rsidRDefault="001C5D94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9986645</wp:posOffset>
              </wp:positionV>
              <wp:extent cx="2153285" cy="153670"/>
              <wp:effectExtent l="0" t="4445" r="63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457" w:rsidRDefault="0067771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F5F61"/>
                              <w:sz w:val="18"/>
                            </w:rPr>
                            <w:t>Accreditation Advisory Committee Charter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4pt;margin-top:786.35pt;width:169.55pt;height:12.1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6u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" filled="f" stroked="f">
              <v:textbox inset="0,0,0,0">
                <w:txbxContent>
                  <w:p w:rsidR="00596457" w:rsidRDefault="0067771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5F5F61"/>
                        <w:sz w:val="18"/>
                      </w:rPr>
                      <w:t>Accreditation Advisory Committee Charter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456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10118725</wp:posOffset>
              </wp:positionV>
              <wp:extent cx="612140" cy="15367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457" w:rsidRDefault="0067771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F5F61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F5F6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D94">
                            <w:rPr>
                              <w:noProof/>
                              <w:color w:val="5F5F61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F5F61"/>
                              <w:sz w:val="18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5.7pt;margin-top:796.75pt;width:48.2pt;height:12.1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1sA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" filled="f" stroked="f">
              <v:textbox inset="0,0,0,0">
                <w:txbxContent>
                  <w:p w:rsidR="00596457" w:rsidRDefault="0067771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5F5F61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F5F6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5D94">
                      <w:rPr>
                        <w:noProof/>
                        <w:color w:val="5F5F61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5F5F61"/>
                        <w:sz w:val="18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1A" w:rsidRDefault="0067771A">
      <w:r>
        <w:separator/>
      </w:r>
    </w:p>
  </w:footnote>
  <w:footnote w:type="continuationSeparator" w:id="0">
    <w:p w:rsidR="0067771A" w:rsidRDefault="006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891"/>
    <w:multiLevelType w:val="multilevel"/>
    <w:tmpl w:val="AB56A802"/>
    <w:lvl w:ilvl="0">
      <w:start w:val="1"/>
      <w:numFmt w:val="decimal"/>
      <w:lvlText w:val="%1."/>
      <w:lvlJc w:val="left"/>
      <w:pPr>
        <w:ind w:left="1618" w:hanging="370"/>
        <w:jc w:val="right"/>
      </w:pPr>
      <w:rPr>
        <w:rFonts w:ascii="Arial" w:eastAsia="Arial" w:hAnsi="Arial" w:cs="Arial" w:hint="default"/>
        <w:b/>
        <w:bCs/>
        <w:color w:val="007CC3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618" w:hanging="37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960" w:hanging="360"/>
      </w:pPr>
      <w:rPr>
        <w:rFonts w:hint="default"/>
      </w:rPr>
    </w:lvl>
    <w:lvl w:ilvl="4">
      <w:numFmt w:val="bullet"/>
      <w:lvlText w:val="•"/>
      <w:lvlJc w:val="left"/>
      <w:pPr>
        <w:ind w:left="1620" w:hanging="360"/>
      </w:pPr>
      <w:rPr>
        <w:rFonts w:hint="default"/>
      </w:rPr>
    </w:lvl>
    <w:lvl w:ilvl="5">
      <w:numFmt w:val="bullet"/>
      <w:lvlText w:val="•"/>
      <w:lvlJc w:val="left"/>
      <w:pPr>
        <w:ind w:left="1960" w:hanging="360"/>
      </w:pPr>
      <w:rPr>
        <w:rFonts w:hint="default"/>
      </w:rPr>
    </w:lvl>
    <w:lvl w:ilvl="6">
      <w:numFmt w:val="bullet"/>
      <w:lvlText w:val="•"/>
      <w:lvlJc w:val="left"/>
      <w:pPr>
        <w:ind w:left="2100" w:hanging="360"/>
      </w:pPr>
      <w:rPr>
        <w:rFonts w:hint="default"/>
      </w:rPr>
    </w:lvl>
    <w:lvl w:ilvl="7">
      <w:numFmt w:val="bullet"/>
      <w:lvlText w:val="•"/>
      <w:lvlJc w:val="left"/>
      <w:pPr>
        <w:ind w:left="3979" w:hanging="360"/>
      </w:pPr>
      <w:rPr>
        <w:rFonts w:hint="default"/>
      </w:rPr>
    </w:lvl>
    <w:lvl w:ilvl="8">
      <w:numFmt w:val="bullet"/>
      <w:lvlText w:val="•"/>
      <w:lvlJc w:val="left"/>
      <w:pPr>
        <w:ind w:left="5859" w:hanging="360"/>
      </w:pPr>
      <w:rPr>
        <w:rFonts w:hint="default"/>
      </w:rPr>
    </w:lvl>
  </w:abstractNum>
  <w:abstractNum w:abstractNumId="1" w15:restartNumberingAfterBreak="0">
    <w:nsid w:val="1ACB0B12"/>
    <w:multiLevelType w:val="hybridMultilevel"/>
    <w:tmpl w:val="D34C81DE"/>
    <w:lvl w:ilvl="0" w:tplc="986A92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1F21B36"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49BC117E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4D0056C8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BE14847E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6884E98A"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62AC9E8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658E9790">
      <w:numFmt w:val="bullet"/>
      <w:lvlText w:val="•"/>
      <w:lvlJc w:val="left"/>
      <w:pPr>
        <w:ind w:left="6979" w:hanging="360"/>
      </w:pPr>
      <w:rPr>
        <w:rFonts w:hint="default"/>
      </w:rPr>
    </w:lvl>
    <w:lvl w:ilvl="8" w:tplc="E3B08F84">
      <w:numFmt w:val="bullet"/>
      <w:lvlText w:val="•"/>
      <w:lvlJc w:val="left"/>
      <w:pPr>
        <w:ind w:left="785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57"/>
    <w:rsid w:val="001C5D94"/>
    <w:rsid w:val="00596457"/>
    <w:rsid w:val="006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17C777-9191-44F6-B972-D1CDDC6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97"/>
      <w:ind w:left="478" w:hanging="37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8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AHPRA - Accreditation Advisory Committee Charter</vt:lpstr>
    </vt:vector>
  </TitlesOfParts>
  <Company>AHPRA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- Accreditation Advisory Committee Charter</dc:title>
  <dc:subject>Charter</dc:subject>
  <dc:creator>AHPRA</dc:creator>
  <cp:lastModifiedBy>Brett Cremer</cp:lastModifiedBy>
  <cp:revision>2</cp:revision>
  <dcterms:created xsi:type="dcterms:W3CDTF">2018-06-18T04:52:00Z</dcterms:created>
  <dcterms:modified xsi:type="dcterms:W3CDTF">2018-06-18T04:52:00Z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2018-06-18T00:00:00Z</vt:filetime>
  </property>
</Properties>
</file>