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F2" w:rsidRPr="002C6D22" w:rsidRDefault="009A2AF2"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9A2AF2" w:rsidRPr="002C6D22" w:rsidRDefault="009A2AF2" w:rsidP="00C250F4">
      <w:pPr>
        <w:pStyle w:val="AHPRADocumentsubheading"/>
        <w:spacing w:after="640"/>
        <w:jc w:val="center"/>
        <w:rPr>
          <w:sz w:val="44"/>
        </w:rPr>
      </w:pPr>
      <w:r w:rsidRPr="008E35BA">
        <w:rPr>
          <w:noProof/>
          <w:sz w:val="44"/>
        </w:rPr>
        <w:t>Physiotherapy</w:t>
      </w:r>
      <w:r w:rsidRPr="002C6D22">
        <w:rPr>
          <w:sz w:val="44"/>
        </w:rPr>
        <w:t xml:space="preserve"> Board of Australia</w:t>
      </w:r>
    </w:p>
    <w:p w:rsidR="009A2AF2" w:rsidRPr="002C6D22" w:rsidRDefault="009A2AF2" w:rsidP="00C250F4">
      <w:pPr>
        <w:pStyle w:val="AHPRADocumentsubheading"/>
        <w:spacing w:after="640"/>
        <w:jc w:val="center"/>
        <w:rPr>
          <w:sz w:val="44"/>
        </w:rPr>
      </w:pPr>
      <w:r w:rsidRPr="002C6D22">
        <w:rPr>
          <w:sz w:val="44"/>
        </w:rPr>
        <w:t>and</w:t>
      </w:r>
    </w:p>
    <w:p w:rsidR="009A2AF2" w:rsidRPr="002C6D22" w:rsidRDefault="009A2AF2" w:rsidP="00C250F4">
      <w:pPr>
        <w:pStyle w:val="AHPRADocumentsubheading"/>
        <w:spacing w:after="640"/>
        <w:jc w:val="center"/>
        <w:rPr>
          <w:sz w:val="44"/>
        </w:rPr>
      </w:pPr>
      <w:r w:rsidRPr="002C6D22">
        <w:rPr>
          <w:sz w:val="44"/>
        </w:rPr>
        <w:t>The Australian Health Practitioner Regulation Agency</w:t>
      </w:r>
    </w:p>
    <w:p w:rsidR="009A2AF2" w:rsidRPr="002C6D22" w:rsidRDefault="009A2AF2" w:rsidP="00C250F4">
      <w:pPr>
        <w:pStyle w:val="AHPRADocumentsubheading"/>
        <w:spacing w:after="640"/>
        <w:jc w:val="center"/>
        <w:rPr>
          <w:sz w:val="44"/>
        </w:rPr>
      </w:pPr>
      <w:r>
        <w:rPr>
          <w:sz w:val="44"/>
        </w:rPr>
        <w:t>2016-20</w:t>
      </w:r>
    </w:p>
    <w:p w:rsidR="009A2AF2" w:rsidRDefault="009A2AF2">
      <w:pPr>
        <w:spacing w:after="0"/>
        <w:rPr>
          <w:rFonts w:cs="Arial"/>
          <w:sz w:val="20"/>
        </w:rPr>
      </w:pPr>
      <w:r>
        <w:br w:type="page"/>
      </w:r>
    </w:p>
    <w:p w:rsidR="009A2AF2" w:rsidRDefault="009A2AF2" w:rsidP="00F960D5">
      <w:pPr>
        <w:pStyle w:val="AHPRADocumentsubheading"/>
        <w:jc w:val="center"/>
      </w:pPr>
      <w:r>
        <w:lastRenderedPageBreak/>
        <w:t>Health Profession Agreement</w:t>
      </w:r>
    </w:p>
    <w:p w:rsidR="009A2AF2" w:rsidRDefault="009A2AF2" w:rsidP="00F960D5">
      <w:pPr>
        <w:pStyle w:val="AHPRASubheading"/>
      </w:pPr>
      <w:r>
        <w:t>Preamble</w:t>
      </w:r>
    </w:p>
    <w:p w:rsidR="009A2AF2" w:rsidRDefault="009A2AF2"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9A2AF2" w:rsidRDefault="009A2AF2">
      <w:pPr>
        <w:pStyle w:val="Default"/>
        <w:numPr>
          <w:ilvl w:val="1"/>
          <w:numId w:val="8"/>
        </w:numPr>
        <w:spacing w:after="200"/>
        <w:ind w:left="357" w:hanging="357"/>
        <w:contextualSpacing/>
        <w:rPr>
          <w:sz w:val="20"/>
          <w:szCs w:val="20"/>
        </w:rPr>
      </w:pPr>
      <w:r>
        <w:rPr>
          <w:sz w:val="20"/>
          <w:szCs w:val="20"/>
        </w:rPr>
        <w:t xml:space="preserve">protect public safety, </w:t>
      </w:r>
    </w:p>
    <w:p w:rsidR="009A2AF2" w:rsidRDefault="009A2AF2">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9A2AF2" w:rsidRDefault="009A2AF2">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9A2AF2" w:rsidRDefault="009A2AF2">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9A2AF2" w:rsidRDefault="009A2AF2">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9A2AF2" w:rsidRDefault="009A2AF2">
      <w:pPr>
        <w:pStyle w:val="Default"/>
        <w:numPr>
          <w:ilvl w:val="0"/>
          <w:numId w:val="9"/>
        </w:numPr>
        <w:spacing w:after="200"/>
        <w:rPr>
          <w:sz w:val="20"/>
          <w:szCs w:val="20"/>
        </w:rPr>
      </w:pPr>
      <w:r>
        <w:rPr>
          <w:sz w:val="20"/>
          <w:szCs w:val="20"/>
        </w:rPr>
        <w:t xml:space="preserve">development of a flexible, responsive and sustainable health workforce. </w:t>
      </w:r>
    </w:p>
    <w:p w:rsidR="009A2AF2" w:rsidRDefault="009A2AF2"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9A2AF2" w:rsidRDefault="009A2AF2"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9A2AF2" w:rsidRDefault="009A2AF2"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9A2AF2" w:rsidRDefault="009A2AF2"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9A2AF2" w:rsidRPr="00F960D5" w:rsidRDefault="009A2AF2" w:rsidP="00F960D5">
      <w:pPr>
        <w:pStyle w:val="AHPRASubheading"/>
      </w:pPr>
      <w:r w:rsidRPr="00F960D5">
        <w:t xml:space="preserve">Accountabilities </w:t>
      </w:r>
    </w:p>
    <w:p w:rsidR="009A2AF2" w:rsidRDefault="009A2AF2" w:rsidP="00172CCE">
      <w:pPr>
        <w:pStyle w:val="Default"/>
        <w:spacing w:before="200" w:after="200"/>
        <w:rPr>
          <w:sz w:val="20"/>
          <w:szCs w:val="20"/>
        </w:rPr>
      </w:pPr>
      <w:r>
        <w:rPr>
          <w:b/>
          <w:bCs/>
          <w:sz w:val="20"/>
          <w:szCs w:val="20"/>
        </w:rPr>
        <w:t xml:space="preserve">Ministerial Council </w:t>
      </w:r>
    </w:p>
    <w:p w:rsidR="009A2AF2" w:rsidRDefault="009A2AF2"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9A2AF2" w:rsidRDefault="009A2AF2" w:rsidP="00172CCE">
      <w:pPr>
        <w:pStyle w:val="Default"/>
        <w:spacing w:before="200" w:after="200"/>
        <w:rPr>
          <w:sz w:val="20"/>
          <w:szCs w:val="20"/>
        </w:rPr>
      </w:pPr>
      <w:r>
        <w:rPr>
          <w:b/>
          <w:bCs/>
          <w:sz w:val="20"/>
          <w:szCs w:val="20"/>
        </w:rPr>
        <w:t xml:space="preserve">National Boards </w:t>
      </w:r>
    </w:p>
    <w:p w:rsidR="009A2AF2" w:rsidRDefault="009A2AF2"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9A2AF2" w:rsidRDefault="009A2AF2"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9A2AF2" w:rsidRDefault="009A2AF2" w:rsidP="00172CCE">
      <w:pPr>
        <w:pStyle w:val="Default"/>
        <w:spacing w:before="200" w:after="200"/>
        <w:rPr>
          <w:sz w:val="20"/>
          <w:szCs w:val="20"/>
        </w:rPr>
      </w:pPr>
      <w:r>
        <w:rPr>
          <w:b/>
          <w:bCs/>
          <w:sz w:val="20"/>
          <w:szCs w:val="20"/>
        </w:rPr>
        <w:t xml:space="preserve">AHPRA </w:t>
      </w:r>
    </w:p>
    <w:p w:rsidR="009A2AF2" w:rsidRDefault="009A2AF2" w:rsidP="00172CCE">
      <w:pPr>
        <w:pStyle w:val="Default"/>
        <w:spacing w:after="200"/>
        <w:rPr>
          <w:sz w:val="20"/>
          <w:szCs w:val="20"/>
        </w:rPr>
      </w:pPr>
      <w:r>
        <w:rPr>
          <w:sz w:val="20"/>
          <w:szCs w:val="20"/>
        </w:rPr>
        <w:lastRenderedPageBreak/>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9A2AF2" w:rsidRDefault="009A2AF2"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9A2AF2" w:rsidRDefault="009A2AF2"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9A2AF2" w:rsidRDefault="009A2AF2" w:rsidP="00693E61">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9A2AF2" w:rsidRPr="00F960D5" w:rsidRDefault="009A2AF2" w:rsidP="00A523AB">
      <w:pPr>
        <w:pStyle w:val="AHPRASubheading"/>
      </w:pPr>
      <w:r w:rsidRPr="00F960D5">
        <w:t xml:space="preserve">Purpose of this Agreement </w:t>
      </w:r>
    </w:p>
    <w:p w:rsidR="009A2AF2" w:rsidRDefault="009A2AF2"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9A2AF2" w:rsidRDefault="009A2AF2">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9A2AF2" w:rsidRDefault="009A2AF2">
      <w:pPr>
        <w:pStyle w:val="Default"/>
        <w:numPr>
          <w:ilvl w:val="1"/>
          <w:numId w:val="10"/>
        </w:numPr>
        <w:spacing w:after="200"/>
        <w:ind w:left="357" w:hanging="357"/>
        <w:contextualSpacing/>
        <w:rPr>
          <w:sz w:val="20"/>
          <w:szCs w:val="20"/>
        </w:rPr>
      </w:pPr>
      <w:r>
        <w:rPr>
          <w:sz w:val="20"/>
          <w:szCs w:val="20"/>
        </w:rPr>
        <w:t>the National Board’s annual budget,</w:t>
      </w:r>
    </w:p>
    <w:p w:rsidR="009A2AF2" w:rsidRDefault="009A2AF2">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9A2AF2" w:rsidRDefault="009A2AF2" w:rsidP="00172CC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9A2AF2" w:rsidRDefault="009A2AF2" w:rsidP="001015B5">
      <w:pPr>
        <w:pStyle w:val="AHPRASubheading"/>
      </w:pPr>
      <w:r>
        <w:t>Scope of this Agreement</w:t>
      </w:r>
    </w:p>
    <w:p w:rsidR="009A2AF2" w:rsidRDefault="009A2AF2" w:rsidP="001015B5">
      <w:pPr>
        <w:pStyle w:val="AHPRAbody"/>
      </w:pPr>
      <w:r>
        <w:t>This Agreement is for the period 1 July 2016 to 30 June 2020.</w:t>
      </w:r>
    </w:p>
    <w:p w:rsidR="009A2AF2" w:rsidRPr="008B74AF" w:rsidRDefault="009A2AF2"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9A2AF2" w:rsidRDefault="009A2AF2">
      <w:pPr>
        <w:spacing w:after="0"/>
        <w:rPr>
          <w:b/>
          <w:color w:val="007DC3"/>
          <w:sz w:val="20"/>
        </w:rPr>
      </w:pPr>
      <w:r>
        <w:br w:type="page"/>
      </w:r>
    </w:p>
    <w:p w:rsidR="009A2AF2" w:rsidRPr="00F960D5" w:rsidRDefault="009A2AF2" w:rsidP="00F960D5">
      <w:pPr>
        <w:pStyle w:val="AHPRASubheading"/>
      </w:pPr>
      <w:r w:rsidRPr="00F960D5">
        <w:lastRenderedPageBreak/>
        <w:t xml:space="preserve">Partnership principles </w:t>
      </w:r>
    </w:p>
    <w:p w:rsidR="009A2AF2" w:rsidRDefault="009A2AF2"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9A2AF2" w:rsidRDefault="009A2AF2"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9A2AF2" w:rsidRDefault="009A2AF2">
      <w:pPr>
        <w:pStyle w:val="Default"/>
        <w:numPr>
          <w:ilvl w:val="1"/>
          <w:numId w:val="11"/>
        </w:numPr>
        <w:spacing w:after="200"/>
        <w:ind w:left="357" w:hanging="357"/>
        <w:contextualSpacing/>
        <w:rPr>
          <w:sz w:val="20"/>
          <w:szCs w:val="20"/>
        </w:rPr>
      </w:pPr>
      <w:r>
        <w:rPr>
          <w:sz w:val="20"/>
          <w:szCs w:val="20"/>
        </w:rPr>
        <w:t xml:space="preserve">Shared vision and values </w:t>
      </w:r>
    </w:p>
    <w:p w:rsidR="009A2AF2" w:rsidRDefault="009A2AF2">
      <w:pPr>
        <w:pStyle w:val="Default"/>
        <w:numPr>
          <w:ilvl w:val="1"/>
          <w:numId w:val="11"/>
        </w:numPr>
        <w:spacing w:after="200"/>
        <w:ind w:left="357" w:hanging="357"/>
        <w:contextualSpacing/>
        <w:rPr>
          <w:sz w:val="20"/>
          <w:szCs w:val="20"/>
        </w:rPr>
      </w:pPr>
      <w:r>
        <w:rPr>
          <w:sz w:val="20"/>
          <w:szCs w:val="20"/>
        </w:rPr>
        <w:t xml:space="preserve">Integrity through interdependence </w:t>
      </w:r>
    </w:p>
    <w:p w:rsidR="009A2AF2" w:rsidRDefault="009A2AF2">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9A2AF2" w:rsidRDefault="009A2AF2">
      <w:pPr>
        <w:pStyle w:val="Default"/>
        <w:numPr>
          <w:ilvl w:val="1"/>
          <w:numId w:val="11"/>
        </w:numPr>
        <w:spacing w:after="200"/>
        <w:ind w:left="357" w:hanging="357"/>
        <w:rPr>
          <w:sz w:val="20"/>
          <w:szCs w:val="20"/>
        </w:rPr>
      </w:pPr>
      <w:r>
        <w:rPr>
          <w:sz w:val="20"/>
          <w:szCs w:val="20"/>
        </w:rPr>
        <w:t xml:space="preserve">Commitment to joint learning </w:t>
      </w:r>
    </w:p>
    <w:p w:rsidR="009A2AF2" w:rsidRDefault="009A2AF2"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9A2AF2" w:rsidRDefault="009A2AF2" w:rsidP="00172CCE">
      <w:pPr>
        <w:pStyle w:val="Default"/>
        <w:spacing w:after="200"/>
        <w:rPr>
          <w:sz w:val="20"/>
          <w:szCs w:val="20"/>
        </w:rPr>
      </w:pPr>
      <w:r>
        <w:rPr>
          <w:sz w:val="20"/>
          <w:szCs w:val="20"/>
        </w:rPr>
        <w:t xml:space="preserve">Each of the Partnership Principles is described in detail below. </w:t>
      </w:r>
    </w:p>
    <w:p w:rsidR="009A2AF2" w:rsidRDefault="009A2AF2" w:rsidP="00E842D6">
      <w:pPr>
        <w:pStyle w:val="AHPRASubheading"/>
      </w:pPr>
      <w:r>
        <w:t xml:space="preserve">1. Shared vision and values </w:t>
      </w:r>
    </w:p>
    <w:p w:rsidR="009A2AF2" w:rsidRDefault="009A2AF2" w:rsidP="007C7B7F">
      <w:pPr>
        <w:pStyle w:val="AHPRASubheadinglevel2"/>
      </w:pPr>
      <w:r>
        <w:t xml:space="preserve">This partnership between the National Board and AHPRA is built on a shared vision for a competent and flexible health workforce that meets the needs of the Australian community. </w:t>
      </w:r>
    </w:p>
    <w:p w:rsidR="009A2AF2" w:rsidRDefault="009A2AF2"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9A2AF2" w:rsidRDefault="009A2AF2"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9A2AF2" w:rsidRDefault="009A2AF2" w:rsidP="00172CCE">
      <w:pPr>
        <w:outlineLvl w:val="0"/>
        <w:rPr>
          <w:sz w:val="20"/>
          <w:szCs w:val="20"/>
        </w:rPr>
      </w:pPr>
      <w:r>
        <w:rPr>
          <w:sz w:val="20"/>
          <w:szCs w:val="20"/>
        </w:rPr>
        <w:t>The Regulatory Principles incorporate the concept of risk-based regulation. This means that in all areas of our work we:</w:t>
      </w:r>
    </w:p>
    <w:p w:rsidR="009A2AF2" w:rsidRDefault="009A2AF2">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9A2AF2" w:rsidRDefault="009A2AF2">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9A2AF2" w:rsidRDefault="009A2AF2">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9A2AF2" w:rsidRPr="00172CCE" w:rsidRDefault="009A2AF2"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9A2AF2" w:rsidRPr="00172CCE" w:rsidRDefault="009A2AF2"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9A2AF2" w:rsidRPr="00172CCE" w:rsidRDefault="009A2AF2"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9A2AF2" w:rsidRDefault="009A2AF2">
      <w:pPr>
        <w:spacing w:after="0"/>
        <w:rPr>
          <w:b/>
          <w:color w:val="007DC3"/>
          <w:sz w:val="20"/>
        </w:rPr>
      </w:pPr>
      <w:r>
        <w:br w:type="page"/>
      </w:r>
    </w:p>
    <w:p w:rsidR="009A2AF2" w:rsidRPr="00E842D6" w:rsidRDefault="009A2AF2" w:rsidP="00E842D6">
      <w:pPr>
        <w:pStyle w:val="AHPRASubheading"/>
      </w:pPr>
      <w:r w:rsidRPr="00E842D6">
        <w:lastRenderedPageBreak/>
        <w:t xml:space="preserve">2. Integrity through interdependence </w:t>
      </w:r>
    </w:p>
    <w:p w:rsidR="009A2AF2" w:rsidRPr="007C7B7F" w:rsidRDefault="009A2AF2"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9A2AF2" w:rsidRPr="00172CCE" w:rsidRDefault="009A2AF2"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9A2AF2" w:rsidRPr="00172CCE" w:rsidRDefault="009A2AF2"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9A2AF2" w:rsidRPr="00172CCE" w:rsidRDefault="009A2AF2"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9A2AF2" w:rsidRPr="00E842D6" w:rsidRDefault="009A2AF2" w:rsidP="00E842D6">
      <w:pPr>
        <w:pStyle w:val="AHPRASubheading"/>
      </w:pPr>
      <w:r w:rsidRPr="00E842D6">
        <w:t xml:space="preserve">3. Transparency and mutual accountability </w:t>
      </w:r>
    </w:p>
    <w:p w:rsidR="009A2AF2" w:rsidRPr="007C7B7F" w:rsidRDefault="009A2AF2"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9A2AF2" w:rsidRDefault="009A2AF2"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9A2AF2" w:rsidRDefault="009A2AF2"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9A2AF2" w:rsidRDefault="009A2AF2"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9A2AF2" w:rsidRDefault="009A2AF2">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9A2AF2" w:rsidRDefault="009A2AF2">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9A2AF2" w:rsidRDefault="009A2AF2">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9A2AF2" w:rsidRDefault="009A2AF2">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9A2AF2" w:rsidRDefault="009A2AF2">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9A2AF2" w:rsidRDefault="009A2AF2"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9A2AF2" w:rsidRPr="00E842D6" w:rsidRDefault="009A2AF2" w:rsidP="00E842D6">
      <w:pPr>
        <w:pStyle w:val="AHPRASubheading"/>
      </w:pPr>
      <w:r w:rsidRPr="00E842D6">
        <w:lastRenderedPageBreak/>
        <w:t xml:space="preserve">4. Commitment to joint learning </w:t>
      </w:r>
    </w:p>
    <w:p w:rsidR="009A2AF2" w:rsidRPr="007C7B7F" w:rsidRDefault="009A2AF2" w:rsidP="004E6BD9">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9A2AF2" w:rsidRDefault="009A2AF2"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9A2AF2" w:rsidRDefault="009A2AF2"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9A2AF2" w:rsidRPr="00F960D5" w:rsidRDefault="009A2AF2" w:rsidP="00F960D5">
      <w:pPr>
        <w:pStyle w:val="AHPRASubheading"/>
      </w:pPr>
      <w:r w:rsidRPr="00F960D5">
        <w:t xml:space="preserve">Dispute resolution </w:t>
      </w:r>
    </w:p>
    <w:p w:rsidR="009A2AF2" w:rsidRDefault="009A2AF2"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9A2AF2" w:rsidRDefault="009A2AF2"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9A2AF2" w:rsidRDefault="009A2AF2"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9A2AF2" w:rsidRDefault="009A2AF2" w:rsidP="00172CC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9A2AF2" w:rsidRDefault="009A2AF2"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9A2AF2" w:rsidRPr="00F960D5" w:rsidRDefault="009A2AF2" w:rsidP="00F960D5">
      <w:pPr>
        <w:pStyle w:val="AHPRASubheading"/>
      </w:pPr>
      <w:r w:rsidRPr="00F960D5">
        <w:t xml:space="preserve">Review </w:t>
      </w:r>
    </w:p>
    <w:p w:rsidR="009A2AF2" w:rsidRDefault="009A2AF2" w:rsidP="00172CCE">
      <w:pPr>
        <w:outlineLvl w:val="0"/>
        <w:rPr>
          <w:sz w:val="20"/>
          <w:szCs w:val="20"/>
        </w:rPr>
      </w:pPr>
      <w:r>
        <w:rPr>
          <w:sz w:val="20"/>
          <w:szCs w:val="20"/>
        </w:rPr>
        <w:t>The National Board and AHPRA agree to review this HPA on an annual basis.</w:t>
      </w:r>
    </w:p>
    <w:p w:rsidR="009A2AF2" w:rsidRDefault="009A2AF2" w:rsidP="00172CCE">
      <w:pPr>
        <w:pStyle w:val="Default"/>
        <w:rPr>
          <w:color w:val="auto"/>
        </w:rPr>
        <w:sectPr w:rsidR="009A2AF2" w:rsidSect="009A2AF2">
          <w:footerReference w:type="default" r:id="rId8"/>
          <w:headerReference w:type="first" r:id="rId9"/>
          <w:footerReference w:type="first" r:id="rId10"/>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9A2AF2" w:rsidTr="00F960D5">
        <w:trPr>
          <w:trHeight w:val="246"/>
        </w:trPr>
        <w:tc>
          <w:tcPr>
            <w:tcW w:w="1440" w:type="dxa"/>
          </w:tcPr>
          <w:p w:rsidR="009A2AF2" w:rsidRDefault="009A2AF2" w:rsidP="00DD4B2F">
            <w:pPr>
              <w:pStyle w:val="AHPRASubheading"/>
              <w:spacing w:before="0"/>
            </w:pPr>
            <w:r>
              <w:lastRenderedPageBreak/>
              <w:t>Schedules</w:t>
            </w:r>
          </w:p>
        </w:tc>
        <w:tc>
          <w:tcPr>
            <w:tcW w:w="6836" w:type="dxa"/>
          </w:tcPr>
          <w:p w:rsidR="009A2AF2" w:rsidRDefault="009A2AF2" w:rsidP="00DD4B2F">
            <w:pPr>
              <w:pStyle w:val="AHPRASubheading"/>
              <w:spacing w:before="0"/>
            </w:pPr>
          </w:p>
        </w:tc>
      </w:tr>
      <w:tr w:rsidR="009A2AF2" w:rsidTr="00F960D5">
        <w:trPr>
          <w:trHeight w:val="246"/>
        </w:trPr>
        <w:tc>
          <w:tcPr>
            <w:tcW w:w="1440" w:type="dxa"/>
          </w:tcPr>
          <w:p w:rsidR="009A2AF2" w:rsidRDefault="009A2AF2" w:rsidP="00DD4B2F">
            <w:pPr>
              <w:pStyle w:val="Default"/>
              <w:spacing w:after="200"/>
              <w:rPr>
                <w:sz w:val="20"/>
                <w:szCs w:val="20"/>
              </w:rPr>
            </w:pPr>
            <w:r>
              <w:rPr>
                <w:sz w:val="20"/>
                <w:szCs w:val="20"/>
              </w:rPr>
              <w:t xml:space="preserve">Schedule 1: </w:t>
            </w:r>
          </w:p>
        </w:tc>
        <w:tc>
          <w:tcPr>
            <w:tcW w:w="6836" w:type="dxa"/>
          </w:tcPr>
          <w:p w:rsidR="009A2AF2" w:rsidRDefault="009A2AF2" w:rsidP="00DD4B2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9A2AF2" w:rsidTr="00F960D5">
        <w:trPr>
          <w:trHeight w:val="132"/>
        </w:trPr>
        <w:tc>
          <w:tcPr>
            <w:tcW w:w="1440" w:type="dxa"/>
          </w:tcPr>
          <w:p w:rsidR="009A2AF2" w:rsidRDefault="009A2AF2" w:rsidP="00DD4B2F">
            <w:pPr>
              <w:pStyle w:val="Default"/>
              <w:spacing w:after="200"/>
              <w:rPr>
                <w:sz w:val="20"/>
                <w:szCs w:val="20"/>
              </w:rPr>
            </w:pPr>
            <w:r>
              <w:rPr>
                <w:sz w:val="20"/>
                <w:szCs w:val="20"/>
              </w:rPr>
              <w:t xml:space="preserve">Schedule 2: </w:t>
            </w:r>
          </w:p>
        </w:tc>
        <w:tc>
          <w:tcPr>
            <w:tcW w:w="6836" w:type="dxa"/>
          </w:tcPr>
          <w:p w:rsidR="009A2AF2" w:rsidRDefault="00D15CE0" w:rsidP="00C70AFE">
            <w:pPr>
              <w:pStyle w:val="Default"/>
              <w:spacing w:after="200"/>
              <w:rPr>
                <w:sz w:val="20"/>
                <w:szCs w:val="20"/>
              </w:rPr>
            </w:pPr>
            <w:r w:rsidRPr="00D15CE0">
              <w:rPr>
                <w:sz w:val="20"/>
                <w:szCs w:val="20"/>
              </w:rPr>
              <w:t>Summary of National Scheme Strategy, implementation map, and National Board’s regulatory plan</w:t>
            </w:r>
          </w:p>
        </w:tc>
      </w:tr>
      <w:tr w:rsidR="009A2AF2" w:rsidTr="00F960D5">
        <w:trPr>
          <w:trHeight w:val="132"/>
        </w:trPr>
        <w:tc>
          <w:tcPr>
            <w:tcW w:w="1440" w:type="dxa"/>
          </w:tcPr>
          <w:p w:rsidR="009A2AF2" w:rsidRDefault="009A2AF2" w:rsidP="00DD4B2F">
            <w:pPr>
              <w:pStyle w:val="Default"/>
              <w:spacing w:after="200"/>
              <w:rPr>
                <w:sz w:val="20"/>
                <w:szCs w:val="20"/>
              </w:rPr>
            </w:pPr>
            <w:r>
              <w:rPr>
                <w:sz w:val="20"/>
                <w:szCs w:val="20"/>
              </w:rPr>
              <w:t xml:space="preserve">Schedule 3: </w:t>
            </w:r>
          </w:p>
        </w:tc>
        <w:tc>
          <w:tcPr>
            <w:tcW w:w="6836" w:type="dxa"/>
          </w:tcPr>
          <w:p w:rsidR="009A2AF2" w:rsidRDefault="009A2AF2" w:rsidP="00DD4B2F">
            <w:pPr>
              <w:pStyle w:val="Default"/>
              <w:spacing w:after="200"/>
              <w:rPr>
                <w:sz w:val="20"/>
                <w:szCs w:val="20"/>
              </w:rPr>
            </w:pPr>
            <w:r>
              <w:rPr>
                <w:sz w:val="20"/>
                <w:szCs w:val="20"/>
              </w:rPr>
              <w:t xml:space="preserve">Fees payable by health practitioners </w:t>
            </w:r>
          </w:p>
        </w:tc>
      </w:tr>
      <w:tr w:rsidR="009A2AF2" w:rsidTr="00F960D5">
        <w:trPr>
          <w:trHeight w:val="132"/>
        </w:trPr>
        <w:tc>
          <w:tcPr>
            <w:tcW w:w="1440" w:type="dxa"/>
          </w:tcPr>
          <w:p w:rsidR="009A2AF2" w:rsidRDefault="009A2AF2" w:rsidP="00DD4B2F">
            <w:pPr>
              <w:pStyle w:val="Default"/>
              <w:spacing w:after="200"/>
              <w:rPr>
                <w:sz w:val="20"/>
                <w:szCs w:val="20"/>
              </w:rPr>
            </w:pPr>
            <w:r>
              <w:rPr>
                <w:sz w:val="20"/>
                <w:szCs w:val="20"/>
              </w:rPr>
              <w:t xml:space="preserve">Schedule 4: </w:t>
            </w:r>
          </w:p>
        </w:tc>
        <w:tc>
          <w:tcPr>
            <w:tcW w:w="6836" w:type="dxa"/>
          </w:tcPr>
          <w:p w:rsidR="009A2AF2" w:rsidRDefault="009A2AF2" w:rsidP="00DD4B2F">
            <w:pPr>
              <w:pStyle w:val="Default"/>
              <w:spacing w:after="200"/>
              <w:rPr>
                <w:sz w:val="20"/>
                <w:szCs w:val="20"/>
              </w:rPr>
            </w:pPr>
            <w:r>
              <w:rPr>
                <w:sz w:val="20"/>
                <w:szCs w:val="20"/>
              </w:rPr>
              <w:t xml:space="preserve">Summary of National Board’s annual budget </w:t>
            </w:r>
          </w:p>
        </w:tc>
      </w:tr>
      <w:tr w:rsidR="009A2AF2" w:rsidTr="00F960D5">
        <w:trPr>
          <w:trHeight w:val="132"/>
        </w:trPr>
        <w:tc>
          <w:tcPr>
            <w:tcW w:w="1440" w:type="dxa"/>
          </w:tcPr>
          <w:p w:rsidR="009A2AF2" w:rsidRDefault="009A2AF2" w:rsidP="00DD4B2F">
            <w:pPr>
              <w:pStyle w:val="Default"/>
              <w:spacing w:after="200"/>
              <w:rPr>
                <w:sz w:val="20"/>
                <w:szCs w:val="20"/>
              </w:rPr>
            </w:pPr>
            <w:r>
              <w:rPr>
                <w:sz w:val="20"/>
                <w:szCs w:val="20"/>
              </w:rPr>
              <w:t xml:space="preserve">Schedule 5: </w:t>
            </w:r>
          </w:p>
        </w:tc>
        <w:tc>
          <w:tcPr>
            <w:tcW w:w="6836" w:type="dxa"/>
          </w:tcPr>
          <w:p w:rsidR="009A2AF2" w:rsidRPr="00627F08" w:rsidRDefault="009A2AF2" w:rsidP="00C70AFE">
            <w:pPr>
              <w:pStyle w:val="Default"/>
              <w:spacing w:after="200"/>
              <w:rPr>
                <w:sz w:val="20"/>
                <w:szCs w:val="20"/>
              </w:rPr>
            </w:pPr>
            <w:r>
              <w:rPr>
                <w:sz w:val="20"/>
                <w:szCs w:val="20"/>
              </w:rPr>
              <w:t>P</w:t>
            </w:r>
            <w:r w:rsidRPr="00627F08">
              <w:rPr>
                <w:sz w:val="20"/>
                <w:szCs w:val="20"/>
              </w:rPr>
              <w:t>erformance management framework</w:t>
            </w:r>
          </w:p>
        </w:tc>
      </w:tr>
    </w:tbl>
    <w:p w:rsidR="009A2AF2" w:rsidRDefault="009A2AF2" w:rsidP="000E7E28">
      <w:r>
        <w:br w:type="page"/>
      </w:r>
    </w:p>
    <w:p w:rsidR="009A2AF2" w:rsidRPr="00E842D6" w:rsidRDefault="009A2AF2" w:rsidP="00E842D6">
      <w:pPr>
        <w:tabs>
          <w:tab w:val="left" w:pos="5678"/>
        </w:tabs>
        <w:spacing w:after="1200"/>
        <w:jc w:val="center"/>
        <w:rPr>
          <w:b/>
          <w:sz w:val="20"/>
        </w:rPr>
      </w:pPr>
      <w:r w:rsidRPr="00E842D6">
        <w:rPr>
          <w:b/>
          <w:sz w:val="20"/>
        </w:rPr>
        <w:lastRenderedPageBreak/>
        <w:t>This Agreement is made between</w:t>
      </w:r>
    </w:p>
    <w:p w:rsidR="009A2AF2" w:rsidRPr="00E842D6" w:rsidRDefault="009A2AF2" w:rsidP="00E842D6">
      <w:pPr>
        <w:tabs>
          <w:tab w:val="left" w:pos="5678"/>
        </w:tabs>
        <w:spacing w:after="400"/>
        <w:jc w:val="center"/>
        <w:rPr>
          <w:b/>
          <w:sz w:val="20"/>
        </w:rPr>
      </w:pPr>
      <w:r w:rsidRPr="008E35BA">
        <w:rPr>
          <w:b/>
          <w:noProof/>
          <w:sz w:val="20"/>
        </w:rPr>
        <w:t>Physiotherapy</w:t>
      </w:r>
      <w:r w:rsidRPr="0065679E">
        <w:rPr>
          <w:b/>
          <w:sz w:val="20"/>
        </w:rPr>
        <w:t xml:space="preserve"> B</w:t>
      </w:r>
      <w:r w:rsidRPr="00E842D6">
        <w:rPr>
          <w:b/>
          <w:sz w:val="20"/>
        </w:rPr>
        <w:t>oard of Australia</w:t>
      </w:r>
    </w:p>
    <w:p w:rsidR="009A2AF2" w:rsidRPr="00E842D6" w:rsidRDefault="009A2AF2" w:rsidP="00E842D6">
      <w:pPr>
        <w:tabs>
          <w:tab w:val="left" w:pos="5678"/>
        </w:tabs>
        <w:spacing w:after="400"/>
        <w:jc w:val="center"/>
        <w:rPr>
          <w:sz w:val="20"/>
        </w:rPr>
      </w:pPr>
      <w:r w:rsidRPr="00E842D6">
        <w:rPr>
          <w:sz w:val="20"/>
        </w:rPr>
        <w:t>and</w:t>
      </w:r>
    </w:p>
    <w:p w:rsidR="009A2AF2" w:rsidRPr="00E842D6" w:rsidRDefault="009A2AF2"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498"/>
        <w:gridCol w:w="4512"/>
      </w:tblGrid>
      <w:tr w:rsidR="009A2AF2" w:rsidTr="004A2393">
        <w:trPr>
          <w:trHeight w:val="1701"/>
        </w:trPr>
        <w:tc>
          <w:tcPr>
            <w:tcW w:w="4618" w:type="dxa"/>
            <w:tcBorders>
              <w:bottom w:val="nil"/>
            </w:tcBorders>
          </w:tcPr>
          <w:p w:rsidR="009A2AF2" w:rsidRDefault="009A2AF2" w:rsidP="000F5D90">
            <w:pPr>
              <w:tabs>
                <w:tab w:val="left" w:pos="5678"/>
              </w:tabs>
              <w:rPr>
                <w:sz w:val="20"/>
              </w:rPr>
            </w:pPr>
            <w:r>
              <w:rPr>
                <w:sz w:val="20"/>
              </w:rPr>
              <w:t>Signed for and on behalf of AHPRA by:</w:t>
            </w:r>
          </w:p>
        </w:tc>
        <w:tc>
          <w:tcPr>
            <w:tcW w:w="4618" w:type="dxa"/>
            <w:tcBorders>
              <w:bottom w:val="nil"/>
            </w:tcBorders>
          </w:tcPr>
          <w:p w:rsidR="009A2AF2" w:rsidRDefault="009A2AF2" w:rsidP="00706F8D">
            <w:pPr>
              <w:tabs>
                <w:tab w:val="left" w:pos="5678"/>
              </w:tabs>
              <w:rPr>
                <w:sz w:val="20"/>
              </w:rPr>
            </w:pPr>
            <w:r>
              <w:rPr>
                <w:sz w:val="20"/>
              </w:rPr>
              <w:t xml:space="preserve">Signed for and on behalf of the </w:t>
            </w:r>
            <w:r w:rsidRPr="008E35BA">
              <w:rPr>
                <w:noProof/>
                <w:sz w:val="20"/>
              </w:rPr>
              <w:t>Physiotherapy</w:t>
            </w:r>
            <w:r>
              <w:rPr>
                <w:sz w:val="20"/>
              </w:rPr>
              <w:t xml:space="preserve"> Board of Australia by:</w:t>
            </w:r>
          </w:p>
        </w:tc>
      </w:tr>
      <w:tr w:rsidR="009A2AF2" w:rsidTr="004A2393">
        <w:tc>
          <w:tcPr>
            <w:tcW w:w="4618" w:type="dxa"/>
            <w:tcBorders>
              <w:top w:val="nil"/>
              <w:bottom w:val="nil"/>
            </w:tcBorders>
          </w:tcPr>
          <w:p w:rsidR="009A2AF2" w:rsidRDefault="009A2AF2" w:rsidP="000F5D90">
            <w:pPr>
              <w:tabs>
                <w:tab w:val="left" w:pos="5678"/>
              </w:tabs>
              <w:rPr>
                <w:sz w:val="20"/>
              </w:rPr>
            </w:pPr>
            <w:r>
              <w:rPr>
                <w:sz w:val="20"/>
              </w:rPr>
              <w:t>Signature of Chief Executive Officer</w:t>
            </w:r>
          </w:p>
        </w:tc>
        <w:tc>
          <w:tcPr>
            <w:tcW w:w="4618" w:type="dxa"/>
            <w:tcBorders>
              <w:top w:val="nil"/>
              <w:bottom w:val="nil"/>
            </w:tcBorders>
          </w:tcPr>
          <w:p w:rsidR="009A2AF2" w:rsidRDefault="009A2AF2" w:rsidP="00706F8D">
            <w:pPr>
              <w:tabs>
                <w:tab w:val="left" w:pos="5678"/>
              </w:tabs>
              <w:rPr>
                <w:sz w:val="20"/>
              </w:rPr>
            </w:pPr>
            <w:r>
              <w:rPr>
                <w:sz w:val="20"/>
              </w:rPr>
              <w:t xml:space="preserve">Signature of the Board </w:t>
            </w:r>
            <w:r w:rsidRPr="008E35BA">
              <w:rPr>
                <w:noProof/>
                <w:sz w:val="20"/>
              </w:rPr>
              <w:t>Presiding Member</w:t>
            </w:r>
          </w:p>
        </w:tc>
      </w:tr>
      <w:tr w:rsidR="009A2AF2" w:rsidTr="004A2393">
        <w:trPr>
          <w:trHeight w:val="851"/>
        </w:trPr>
        <w:tc>
          <w:tcPr>
            <w:tcW w:w="4618" w:type="dxa"/>
            <w:tcBorders>
              <w:top w:val="nil"/>
              <w:bottom w:val="nil"/>
            </w:tcBorders>
          </w:tcPr>
          <w:p w:rsidR="009A2AF2" w:rsidRDefault="009A2AF2" w:rsidP="000F5D90">
            <w:pPr>
              <w:tabs>
                <w:tab w:val="left" w:pos="5678"/>
              </w:tabs>
              <w:rPr>
                <w:sz w:val="20"/>
              </w:rPr>
            </w:pPr>
            <w:r>
              <w:rPr>
                <w:sz w:val="20"/>
              </w:rPr>
              <w:t>Mr Martin Fletcher</w:t>
            </w:r>
          </w:p>
        </w:tc>
        <w:tc>
          <w:tcPr>
            <w:tcW w:w="4618" w:type="dxa"/>
            <w:tcBorders>
              <w:top w:val="nil"/>
              <w:bottom w:val="nil"/>
            </w:tcBorders>
          </w:tcPr>
          <w:p w:rsidR="009A2AF2" w:rsidRPr="00AE322F" w:rsidRDefault="009A2AF2" w:rsidP="000F5D90">
            <w:pPr>
              <w:tabs>
                <w:tab w:val="left" w:pos="5678"/>
              </w:tabs>
              <w:rPr>
                <w:sz w:val="20"/>
              </w:rPr>
            </w:pPr>
            <w:r w:rsidRPr="008E35BA">
              <w:rPr>
                <w:bCs/>
                <w:noProof/>
                <w:sz w:val="20"/>
              </w:rPr>
              <w:t>Dr Charles Flynn</w:t>
            </w:r>
          </w:p>
        </w:tc>
      </w:tr>
      <w:tr w:rsidR="009A2AF2" w:rsidTr="004A2393">
        <w:tc>
          <w:tcPr>
            <w:tcW w:w="4618" w:type="dxa"/>
            <w:tcBorders>
              <w:top w:val="nil"/>
            </w:tcBorders>
          </w:tcPr>
          <w:p w:rsidR="009A2AF2" w:rsidRDefault="009A2AF2" w:rsidP="000F5D90">
            <w:pPr>
              <w:tabs>
                <w:tab w:val="left" w:pos="5678"/>
              </w:tabs>
              <w:rPr>
                <w:sz w:val="20"/>
              </w:rPr>
            </w:pPr>
            <w:r>
              <w:rPr>
                <w:sz w:val="20"/>
              </w:rPr>
              <w:t>Date</w:t>
            </w:r>
          </w:p>
        </w:tc>
        <w:tc>
          <w:tcPr>
            <w:tcW w:w="4618" w:type="dxa"/>
            <w:tcBorders>
              <w:top w:val="nil"/>
            </w:tcBorders>
          </w:tcPr>
          <w:p w:rsidR="009A2AF2" w:rsidRDefault="009A2AF2" w:rsidP="000F5D90">
            <w:pPr>
              <w:tabs>
                <w:tab w:val="left" w:pos="5678"/>
              </w:tabs>
              <w:rPr>
                <w:sz w:val="20"/>
              </w:rPr>
            </w:pPr>
            <w:r>
              <w:rPr>
                <w:sz w:val="20"/>
              </w:rPr>
              <w:t>Date</w:t>
            </w:r>
          </w:p>
        </w:tc>
      </w:tr>
    </w:tbl>
    <w:p w:rsidR="009A2AF2" w:rsidRDefault="009A2AF2" w:rsidP="000F5D90">
      <w:pPr>
        <w:tabs>
          <w:tab w:val="left" w:pos="5678"/>
        </w:tabs>
        <w:rPr>
          <w:sz w:val="20"/>
        </w:rPr>
      </w:pPr>
    </w:p>
    <w:p w:rsidR="009A2AF2" w:rsidRDefault="009A2AF2">
      <w:pPr>
        <w:spacing w:after="0"/>
        <w:rPr>
          <w:sz w:val="20"/>
        </w:rPr>
      </w:pPr>
      <w:r>
        <w:rPr>
          <w:sz w:val="20"/>
        </w:rPr>
        <w:br w:type="page"/>
      </w:r>
    </w:p>
    <w:p w:rsidR="009A2AF2" w:rsidRDefault="009A2AF2" w:rsidP="00293CCC">
      <w:pPr>
        <w:pStyle w:val="AHPRADocumentsubheading"/>
        <w:spacing w:after="560"/>
      </w:pPr>
      <w:r w:rsidRPr="007C7B7F">
        <w:lastRenderedPageBreak/>
        <w:t>Schedule 1</w:t>
      </w:r>
      <w:r>
        <w:t>: Summary of services to be provided to the National Board by AHPRA to enable the National Board to carry out its functions</w:t>
      </w:r>
    </w:p>
    <w:p w:rsidR="009A2AF2" w:rsidRDefault="009A2AF2" w:rsidP="008D1EC3">
      <w:pPr>
        <w:pStyle w:val="AHPRASubheading"/>
        <w:numPr>
          <w:ilvl w:val="0"/>
          <w:numId w:val="15"/>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9A2AF2" w:rsidRPr="000D2AB8" w:rsidTr="00293CCC">
        <w:tc>
          <w:tcPr>
            <w:tcW w:w="5000" w:type="pct"/>
            <w:gridSpan w:val="2"/>
            <w:vAlign w:val="center"/>
          </w:tcPr>
          <w:p w:rsidR="009A2AF2" w:rsidRPr="00497171" w:rsidRDefault="009A2AF2" w:rsidP="002955CE">
            <w:pPr>
              <w:pStyle w:val="AHPRASubheadinglevel2"/>
              <w:rPr>
                <w:rFonts w:cs="Arial"/>
                <w:szCs w:val="20"/>
              </w:rPr>
            </w:pPr>
            <w:r w:rsidRPr="00497171">
              <w:rPr>
                <w:szCs w:val="20"/>
              </w:rPr>
              <w:t xml:space="preserve">1.1 </w:t>
            </w:r>
            <w:r>
              <w:rPr>
                <w:szCs w:val="20"/>
              </w:rPr>
              <w:tab/>
            </w:r>
            <w:r w:rsidRPr="00497171">
              <w:rPr>
                <w:szCs w:val="20"/>
              </w:rPr>
              <w:t>Registrations</w:t>
            </w:r>
          </w:p>
        </w:tc>
      </w:tr>
      <w:tr w:rsidR="009A2AF2" w:rsidRPr="000D2AB8" w:rsidTr="00B66108">
        <w:tc>
          <w:tcPr>
            <w:tcW w:w="3750" w:type="pct"/>
            <w:shd w:val="clear" w:color="auto" w:fill="4F81BD" w:themeFill="accent1"/>
            <w:vAlign w:val="center"/>
          </w:tcPr>
          <w:p w:rsidR="009A2AF2" w:rsidRPr="000D2AB8" w:rsidRDefault="009A2AF2"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9A2AF2" w:rsidRPr="000D2AB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0D2AB8" w:rsidTr="00485FEB">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1.1.1 </w:t>
            </w:r>
            <w:r>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9A2AF2" w:rsidRPr="005961C7" w:rsidRDefault="009A2AF2" w:rsidP="00485FEB">
            <w:pPr>
              <w:spacing w:before="120" w:after="120"/>
              <w:rPr>
                <w:rFonts w:cs="Arial"/>
                <w:i/>
                <w:sz w:val="20"/>
                <w:szCs w:val="20"/>
              </w:rPr>
            </w:pPr>
            <w:r w:rsidRPr="005961C7">
              <w:rPr>
                <w:i/>
                <w:sz w:val="20"/>
                <w:szCs w:val="20"/>
              </w:rPr>
              <w:t xml:space="preserve">Profession-specific services, as listed in the National Board’s regulatory </w:t>
            </w:r>
            <w:r>
              <w:rPr>
                <w:i/>
                <w:sz w:val="20"/>
                <w:szCs w:val="20"/>
              </w:rPr>
              <w:t>plan</w:t>
            </w:r>
            <w:r w:rsidRPr="005961C7">
              <w:rPr>
                <w:i/>
                <w:sz w:val="20"/>
                <w:szCs w:val="20"/>
              </w:rPr>
              <w:t xml:space="preserve"> and annual budget.</w:t>
            </w:r>
          </w:p>
        </w:tc>
      </w:tr>
      <w:tr w:rsidR="009A2AF2" w:rsidRPr="000D2AB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1.1.2 </w:t>
            </w:r>
            <w:r>
              <w:rPr>
                <w:rFonts w:cs="Arial"/>
                <w:sz w:val="20"/>
                <w:szCs w:val="20"/>
              </w:rPr>
              <w:tab/>
            </w:r>
            <w:r w:rsidRPr="002955CE">
              <w:rPr>
                <w:rFonts w:cs="Arial"/>
                <w:sz w:val="20"/>
                <w:szCs w:val="20"/>
              </w:rPr>
              <w:t xml:space="preserve">Manage practitioner registration, renewal and audit </w:t>
            </w:r>
          </w:p>
        </w:tc>
        <w:tc>
          <w:tcPr>
            <w:tcW w:w="1250" w:type="pct"/>
            <w:vMerge/>
            <w:vAlign w:val="center"/>
          </w:tcPr>
          <w:p w:rsidR="009A2AF2" w:rsidRPr="000D2AB8" w:rsidRDefault="009A2AF2" w:rsidP="00293CCC">
            <w:pPr>
              <w:pStyle w:val="AHPRANumberedsubheadinglevel3"/>
              <w:numPr>
                <w:ilvl w:val="0"/>
                <w:numId w:val="0"/>
              </w:numPr>
              <w:spacing w:before="120" w:after="120"/>
              <w:ind w:left="369" w:hanging="369"/>
            </w:pPr>
          </w:p>
        </w:tc>
      </w:tr>
      <w:tr w:rsidR="009A2AF2" w:rsidRPr="000D2AB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1.1.3 </w:t>
            </w:r>
            <w:r>
              <w:rPr>
                <w:rFonts w:cs="Arial"/>
                <w:sz w:val="20"/>
                <w:szCs w:val="20"/>
              </w:rPr>
              <w:tab/>
            </w:r>
            <w:r w:rsidRPr="002955CE">
              <w:rPr>
                <w:rFonts w:cs="Arial"/>
                <w:sz w:val="20"/>
                <w:szCs w:val="20"/>
              </w:rPr>
              <w:t>Maintain a public register of health practitioners</w:t>
            </w:r>
          </w:p>
        </w:tc>
        <w:tc>
          <w:tcPr>
            <w:tcW w:w="1250" w:type="pct"/>
            <w:vMerge/>
            <w:vAlign w:val="center"/>
          </w:tcPr>
          <w:p w:rsidR="009A2AF2" w:rsidRPr="000D2AB8" w:rsidRDefault="009A2AF2" w:rsidP="00293CCC">
            <w:pPr>
              <w:spacing w:before="120" w:after="120"/>
              <w:rPr>
                <w:rFonts w:cs="Arial"/>
                <w:b/>
                <w:sz w:val="20"/>
                <w:szCs w:val="20"/>
              </w:rPr>
            </w:pPr>
          </w:p>
        </w:tc>
      </w:tr>
      <w:tr w:rsidR="009A2AF2" w:rsidRPr="000D2AB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1.1.4 </w:t>
            </w:r>
            <w:r>
              <w:rPr>
                <w:rFonts w:cs="Arial"/>
                <w:sz w:val="20"/>
                <w:szCs w:val="20"/>
              </w:rPr>
              <w:tab/>
            </w:r>
            <w:r w:rsidRPr="002955CE">
              <w:rPr>
                <w:rFonts w:cs="Arial"/>
                <w:sz w:val="20"/>
                <w:szCs w:val="20"/>
              </w:rPr>
              <w:t>Maintain a register of health practitioner students</w:t>
            </w:r>
          </w:p>
        </w:tc>
        <w:tc>
          <w:tcPr>
            <w:tcW w:w="1250" w:type="pct"/>
            <w:vMerge/>
            <w:vAlign w:val="center"/>
          </w:tcPr>
          <w:p w:rsidR="009A2AF2" w:rsidRPr="000D2AB8" w:rsidRDefault="009A2AF2" w:rsidP="00293CCC">
            <w:pPr>
              <w:spacing w:before="120" w:after="120"/>
              <w:rPr>
                <w:rFonts w:cs="Arial"/>
                <w:b/>
                <w:sz w:val="20"/>
                <w:szCs w:val="20"/>
              </w:rPr>
            </w:pPr>
          </w:p>
        </w:tc>
      </w:tr>
      <w:tr w:rsidR="009A2AF2" w:rsidRPr="00F578F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1.1.5 </w:t>
            </w:r>
            <w:r>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9A2AF2" w:rsidRPr="00F578F8" w:rsidRDefault="009A2AF2" w:rsidP="00293CCC">
            <w:pPr>
              <w:spacing w:before="120" w:after="120"/>
              <w:rPr>
                <w:rFonts w:cs="Arial"/>
                <w:b/>
                <w:sz w:val="20"/>
                <w:szCs w:val="20"/>
              </w:rPr>
            </w:pPr>
          </w:p>
        </w:tc>
      </w:tr>
      <w:tr w:rsidR="009A2AF2" w:rsidRPr="00F578F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1.1.6 </w:t>
            </w:r>
            <w:r>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9A2AF2" w:rsidRPr="00F578F8" w:rsidRDefault="009A2AF2" w:rsidP="00293CCC">
            <w:pPr>
              <w:spacing w:before="120" w:after="120"/>
              <w:rPr>
                <w:rFonts w:cs="Arial"/>
                <w:b/>
                <w:sz w:val="20"/>
                <w:szCs w:val="20"/>
              </w:rPr>
            </w:pPr>
          </w:p>
        </w:tc>
      </w:tr>
    </w:tbl>
    <w:p w:rsidR="009A2AF2" w:rsidRPr="00F578F8" w:rsidRDefault="009A2AF2"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497171" w:rsidRDefault="009A2AF2" w:rsidP="002955CE">
            <w:pPr>
              <w:pStyle w:val="AHPRASubheadinglevel2"/>
              <w:rPr>
                <w:szCs w:val="20"/>
              </w:rPr>
            </w:pPr>
            <w:r w:rsidRPr="003D1528">
              <w:rPr>
                <w:rFonts w:cs="Arial"/>
                <w:szCs w:val="20"/>
              </w:rPr>
              <w:br w:type="page"/>
            </w:r>
            <w:r w:rsidRPr="003D1528">
              <w:rPr>
                <w:szCs w:val="20"/>
              </w:rPr>
              <w:t xml:space="preserve">1.2 </w:t>
            </w:r>
            <w:r>
              <w:rPr>
                <w:szCs w:val="20"/>
              </w:rPr>
              <w:tab/>
            </w:r>
            <w:r w:rsidRPr="003D1528">
              <w:rPr>
                <w:szCs w:val="20"/>
              </w:rPr>
              <w:t>Notifications</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1.2.1 </w:t>
            </w:r>
            <w:r>
              <w:rPr>
                <w:rFonts w:cs="Arial"/>
                <w:sz w:val="20"/>
                <w:szCs w:val="20"/>
              </w:rPr>
              <w:tab/>
              <w:t>D</w:t>
            </w:r>
            <w:r w:rsidRPr="002955CE">
              <w:rPr>
                <w:rFonts w:cs="Arial"/>
                <w:sz w:val="20"/>
                <w:szCs w:val="20"/>
              </w:rPr>
              <w:t>evelop, implement and regularly review nationally consistent procedures to receive and deal with notifications against persons who are or were registered health practitioners and students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1.2.2 </w:t>
            </w:r>
            <w:r>
              <w:rPr>
                <w:rFonts w:cs="Arial"/>
                <w:sz w:val="20"/>
                <w:szCs w:val="20"/>
              </w:rPr>
              <w:tab/>
            </w:r>
            <w:r w:rsidRPr="002955CE">
              <w:rPr>
                <w:rFonts w:cs="Arial"/>
                <w:sz w:val="20"/>
                <w:szCs w:val="20"/>
              </w:rPr>
              <w:t xml:space="preserve">Manage the end to end notification process </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color w:val="4D4D4F"/>
                <w:sz w:val="20"/>
                <w:szCs w:val="20"/>
              </w:rPr>
            </w:pPr>
            <w:r w:rsidRPr="002955CE">
              <w:rPr>
                <w:rFonts w:cs="Arial"/>
                <w:sz w:val="20"/>
                <w:szCs w:val="20"/>
              </w:rPr>
              <w:t xml:space="preserve">1.2.3 </w:t>
            </w:r>
            <w:r>
              <w:rPr>
                <w:rFonts w:cs="Arial"/>
                <w:sz w:val="20"/>
                <w:szCs w:val="20"/>
              </w:rPr>
              <w:tab/>
            </w:r>
            <w:r w:rsidRPr="002955CE">
              <w:rPr>
                <w:rFonts w:cs="Arial"/>
                <w:color w:val="4D4D4F"/>
                <w:sz w:val="20"/>
                <w:szCs w:val="20"/>
              </w:rPr>
              <w:t>Establish and maintain relationships with co-regulatory authorities.</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Pr="000D2AB8" w:rsidRDefault="009A2AF2"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szCs w:val="20"/>
              </w:rPr>
              <w:t xml:space="preserve">1.3 </w:t>
            </w:r>
            <w:r>
              <w:rPr>
                <w:szCs w:val="20"/>
              </w:rPr>
              <w:tab/>
            </w:r>
            <w:r w:rsidRPr="003D1528">
              <w:rPr>
                <w:szCs w:val="20"/>
              </w:rPr>
              <w:t>Compliance</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1.3.1 </w:t>
            </w:r>
            <w:r>
              <w:rPr>
                <w:rFonts w:cs="Arial"/>
                <w:sz w:val="20"/>
                <w:szCs w:val="20"/>
              </w:rPr>
              <w:tab/>
            </w:r>
            <w:r w:rsidRPr="002955CE">
              <w:rPr>
                <w:rFonts w:cs="Arial"/>
                <w:sz w:val="20"/>
                <w:szCs w:val="20"/>
              </w:rPr>
              <w:t xml:space="preserve">Develop compliance policy, process and systems </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w:t>
            </w:r>
            <w:r w:rsidRPr="003D1528">
              <w:rPr>
                <w:i/>
                <w:sz w:val="20"/>
                <w:szCs w:val="20"/>
              </w:rPr>
              <w:lastRenderedPageBreak/>
              <w:t xml:space="preserve">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1.3.2 </w:t>
            </w:r>
            <w:r>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lastRenderedPageBreak/>
              <w:t xml:space="preserve">1.3.3 </w:t>
            </w:r>
            <w:r>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Default="009A2AF2" w:rsidP="00293CCC">
      <w:pPr>
        <w:ind w:left="357"/>
        <w:rPr>
          <w:rFonts w:cs="Arial"/>
          <w:b/>
          <w:sz w:val="20"/>
          <w:szCs w:val="20"/>
        </w:rPr>
      </w:pPr>
    </w:p>
    <w:p w:rsidR="009A2AF2" w:rsidRDefault="009A2AF2">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szCs w:val="20"/>
              </w:rPr>
              <w:lastRenderedPageBreak/>
              <w:t xml:space="preserve">1.4  </w:t>
            </w:r>
            <w:r>
              <w:rPr>
                <w:szCs w:val="20"/>
              </w:rPr>
              <w:tab/>
            </w:r>
            <w:r w:rsidRPr="003D1528">
              <w:rPr>
                <w:szCs w:val="20"/>
              </w:rPr>
              <w:t>Legal Services</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1.4.1 </w:t>
            </w:r>
            <w:r>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1.4.2 </w:t>
            </w:r>
            <w:r>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Default="009A2AF2" w:rsidP="00485FEB">
      <w:pPr>
        <w:spacing w:after="0"/>
        <w:ind w:left="357"/>
        <w:rPr>
          <w:rFonts w:cs="Arial"/>
          <w:b/>
          <w:sz w:val="20"/>
          <w:szCs w:val="20"/>
        </w:rPr>
      </w:pPr>
    </w:p>
    <w:p w:rsidR="009A2AF2" w:rsidRDefault="009A2AF2" w:rsidP="008D1EC3">
      <w:pPr>
        <w:pStyle w:val="AHPRASubheading"/>
        <w:numPr>
          <w:ilvl w:val="0"/>
          <w:numId w:val="15"/>
        </w:numPr>
        <w:spacing w:before="0"/>
        <w:ind w:left="357" w:hanging="357"/>
      </w:pPr>
      <w:r w:rsidRPr="00293CCC">
        <w:t xml:space="preserve">Governance and </w:t>
      </w:r>
      <w:r w:rsidR="00B67A8C">
        <w:t>s</w:t>
      </w:r>
      <w:r w:rsidRPr="00293CCC">
        <w:t>ecretariat</w:t>
      </w: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b w:val="0"/>
                <w:szCs w:val="20"/>
              </w:rPr>
            </w:pPr>
            <w:r w:rsidRPr="003D1528">
              <w:rPr>
                <w:szCs w:val="20"/>
              </w:rPr>
              <w:t xml:space="preserve">2.1 </w:t>
            </w:r>
            <w:r>
              <w:rPr>
                <w:szCs w:val="20"/>
              </w:rPr>
              <w:tab/>
            </w:r>
            <w:r w:rsidRPr="003D1528">
              <w:rPr>
                <w:szCs w:val="20"/>
              </w:rPr>
              <w:t xml:space="preserve">Governance </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2.1.1 </w:t>
            </w:r>
            <w:r>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2.1.2 </w:t>
            </w:r>
            <w:r>
              <w:rPr>
                <w:rFonts w:cs="Arial"/>
                <w:sz w:val="20"/>
                <w:szCs w:val="20"/>
              </w:rPr>
              <w:tab/>
            </w:r>
            <w:r w:rsidRPr="002955CE">
              <w:rPr>
                <w:rFonts w:cs="Arial"/>
                <w:sz w:val="20"/>
                <w:szCs w:val="20"/>
              </w:rPr>
              <w:t>Provide National Board member orientation, induction and professional development</w:t>
            </w:r>
            <w:r w:rsidRPr="002955CE">
              <w:rPr>
                <w:sz w:val="20"/>
                <w:szCs w:val="20"/>
              </w:rPr>
              <w:t xml:space="preserve"> </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2.1.3 </w:t>
            </w:r>
            <w:r>
              <w:rPr>
                <w:rFonts w:cs="Arial"/>
                <w:sz w:val="20"/>
                <w:szCs w:val="20"/>
              </w:rPr>
              <w:tab/>
            </w:r>
            <w:r w:rsidRPr="002955CE">
              <w:rPr>
                <w:rFonts w:cs="Arial"/>
                <w:sz w:val="20"/>
                <w:szCs w:val="20"/>
              </w:rPr>
              <w:t>Support working relationships with relevant committees</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Pr="000D2AB8" w:rsidRDefault="009A2AF2"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b w:val="0"/>
                <w:szCs w:val="20"/>
              </w:rPr>
            </w:pPr>
            <w:r w:rsidRPr="003D1528">
              <w:rPr>
                <w:szCs w:val="20"/>
              </w:rPr>
              <w:t xml:space="preserve">2.2 </w:t>
            </w:r>
            <w:r>
              <w:rPr>
                <w:szCs w:val="20"/>
              </w:rPr>
              <w:tab/>
            </w:r>
            <w:r w:rsidRPr="003D1528">
              <w:rPr>
                <w:szCs w:val="20"/>
              </w:rPr>
              <w:t>Secretariat</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2.2.1 </w:t>
            </w:r>
            <w:r>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2.2.2 </w:t>
            </w:r>
            <w:r>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2.2.3 </w:t>
            </w:r>
            <w:r>
              <w:rPr>
                <w:rFonts w:cs="Arial"/>
                <w:sz w:val="20"/>
                <w:szCs w:val="20"/>
              </w:rPr>
              <w:tab/>
            </w:r>
            <w:r w:rsidRPr="002955CE">
              <w:rPr>
                <w:rFonts w:cs="Arial"/>
                <w:sz w:val="20"/>
                <w:szCs w:val="20"/>
              </w:rPr>
              <w:t>Provide panel hearing secretariat support</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2.2.4 </w:t>
            </w:r>
            <w:r>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Default="009A2AF2" w:rsidP="00485FEB">
      <w:pPr>
        <w:pStyle w:val="ListParagraph"/>
        <w:spacing w:after="0"/>
        <w:ind w:left="357"/>
        <w:contextualSpacing w:val="0"/>
        <w:rPr>
          <w:b/>
          <w:sz w:val="20"/>
          <w:szCs w:val="20"/>
        </w:rPr>
      </w:pPr>
    </w:p>
    <w:p w:rsidR="009A2AF2" w:rsidRDefault="009A2AF2" w:rsidP="008D1EC3">
      <w:pPr>
        <w:pStyle w:val="AHPRASubheading"/>
        <w:numPr>
          <w:ilvl w:val="0"/>
          <w:numId w:val="15"/>
        </w:numPr>
        <w:spacing w:before="0"/>
        <w:ind w:left="357" w:hanging="357"/>
      </w:pPr>
      <w:r w:rsidRPr="00293CCC">
        <w:t xml:space="preserve">Communication and </w:t>
      </w:r>
      <w:r w:rsidR="00B67A8C">
        <w:t>e</w:t>
      </w:r>
      <w:r w:rsidRPr="00293CCC">
        <w:t>ngagement</w:t>
      </w: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szCs w:val="20"/>
              </w:rPr>
              <w:t xml:space="preserve">3.1 </w:t>
            </w:r>
            <w:r>
              <w:rPr>
                <w:szCs w:val="20"/>
              </w:rPr>
              <w:tab/>
            </w:r>
            <w:r w:rsidRPr="003D1528">
              <w:rPr>
                <w:szCs w:val="20"/>
              </w:rPr>
              <w:t>Communication</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vAlign w:val="center"/>
          </w:tcPr>
          <w:p w:rsidR="009A2AF2" w:rsidRPr="002955CE" w:rsidRDefault="009A2AF2" w:rsidP="00FA230B">
            <w:pPr>
              <w:spacing w:before="120" w:after="120"/>
              <w:ind w:left="720" w:hanging="720"/>
              <w:rPr>
                <w:sz w:val="20"/>
                <w:szCs w:val="20"/>
              </w:rPr>
            </w:pPr>
            <w:r w:rsidRPr="002955CE">
              <w:rPr>
                <w:sz w:val="20"/>
                <w:szCs w:val="20"/>
              </w:rPr>
              <w:t xml:space="preserve">3.1.1 </w:t>
            </w:r>
            <w:r>
              <w:rPr>
                <w:sz w:val="20"/>
                <w:szCs w:val="20"/>
              </w:rPr>
              <w:tab/>
            </w:r>
            <w:r w:rsidRPr="002955CE">
              <w:rPr>
                <w:sz w:val="20"/>
                <w:szCs w:val="20"/>
              </w:rPr>
              <w:t>Develop, implement and review communication strategies, tools and guidelines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 xml:space="preserve">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vAlign w:val="center"/>
          </w:tcPr>
          <w:p w:rsidR="009A2AF2" w:rsidRPr="002955CE" w:rsidRDefault="009A2AF2" w:rsidP="00FA230B">
            <w:pPr>
              <w:spacing w:before="120" w:after="120"/>
              <w:ind w:left="720" w:hanging="720"/>
              <w:rPr>
                <w:sz w:val="20"/>
                <w:szCs w:val="20"/>
              </w:rPr>
            </w:pPr>
            <w:r w:rsidRPr="002955CE">
              <w:rPr>
                <w:sz w:val="20"/>
                <w:szCs w:val="20"/>
              </w:rPr>
              <w:lastRenderedPageBreak/>
              <w:t xml:space="preserve">3.1.2 </w:t>
            </w:r>
            <w:r>
              <w:rPr>
                <w:sz w:val="20"/>
                <w:szCs w:val="20"/>
              </w:rPr>
              <w:tab/>
            </w:r>
            <w:r w:rsidRPr="002955CE">
              <w:rPr>
                <w:sz w:val="20"/>
                <w:szCs w:val="20"/>
              </w:rPr>
              <w:t>Develop and release National Board communiqués</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vAlign w:val="center"/>
          </w:tcPr>
          <w:p w:rsidR="009A2AF2" w:rsidRPr="002955CE" w:rsidRDefault="009A2AF2" w:rsidP="00FA230B">
            <w:pPr>
              <w:spacing w:before="120" w:after="120"/>
              <w:ind w:left="720" w:hanging="720"/>
              <w:rPr>
                <w:sz w:val="20"/>
                <w:szCs w:val="20"/>
              </w:rPr>
            </w:pPr>
            <w:r w:rsidRPr="002955CE">
              <w:rPr>
                <w:sz w:val="20"/>
                <w:szCs w:val="20"/>
              </w:rPr>
              <w:t xml:space="preserve">3.1.3 </w:t>
            </w:r>
            <w:r>
              <w:rPr>
                <w:sz w:val="20"/>
                <w:szCs w:val="20"/>
              </w:rPr>
              <w:tab/>
            </w:r>
            <w:r w:rsidRPr="002955CE">
              <w:rPr>
                <w:sz w:val="20"/>
                <w:szCs w:val="20"/>
              </w:rPr>
              <w:t>Review and release National Board media releases</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3.1.4 </w:t>
            </w:r>
            <w:r>
              <w:rPr>
                <w:sz w:val="20"/>
                <w:szCs w:val="20"/>
              </w:rPr>
              <w:tab/>
            </w:r>
            <w:r w:rsidRPr="002955CE">
              <w:rPr>
                <w:sz w:val="20"/>
                <w:szCs w:val="20"/>
              </w:rPr>
              <w:t>Develop and maintain National Board website and resources</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3.1.5 </w:t>
            </w:r>
            <w:r>
              <w:rPr>
                <w:sz w:val="20"/>
                <w:szCs w:val="20"/>
              </w:rPr>
              <w:tab/>
            </w:r>
            <w:r w:rsidRPr="002955CE">
              <w:rPr>
                <w:sz w:val="20"/>
                <w:szCs w:val="20"/>
              </w:rPr>
              <w:t>Coordinate and manage the production of the AHPRA annual report and other publications</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3.1.6 </w:t>
            </w:r>
            <w:r>
              <w:rPr>
                <w:sz w:val="20"/>
                <w:szCs w:val="20"/>
              </w:rPr>
              <w:tab/>
            </w:r>
            <w:r w:rsidRPr="002955CE">
              <w:rPr>
                <w:sz w:val="20"/>
                <w:szCs w:val="20"/>
              </w:rPr>
              <w:t>Provide communications support for crisis and issue management</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3.1.7 </w:t>
            </w:r>
            <w:r>
              <w:rPr>
                <w:sz w:val="20"/>
                <w:szCs w:val="20"/>
              </w:rPr>
              <w:tab/>
            </w:r>
            <w:r w:rsidRPr="002955CE">
              <w:rPr>
                <w:sz w:val="20"/>
                <w:szCs w:val="20"/>
              </w:rPr>
              <w:t>Develop and produce National Board newsletters and news updates</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3.1.8 </w:t>
            </w:r>
            <w:r>
              <w:rPr>
                <w:sz w:val="20"/>
                <w:szCs w:val="20"/>
              </w:rPr>
              <w:tab/>
            </w:r>
            <w:r w:rsidRPr="002955CE">
              <w:rPr>
                <w:sz w:val="20"/>
                <w:szCs w:val="20"/>
              </w:rPr>
              <w:t>Develop Branding for National Board and AHPRA Communication</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3.1.9 </w:t>
            </w:r>
            <w:r>
              <w:rPr>
                <w:sz w:val="20"/>
                <w:szCs w:val="20"/>
              </w:rPr>
              <w:tab/>
            </w:r>
            <w:r w:rsidRPr="002955CE">
              <w:rPr>
                <w:sz w:val="20"/>
                <w:szCs w:val="20"/>
              </w:rPr>
              <w:t>Report on relevant media coverage</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sz w:val="20"/>
                <w:szCs w:val="20"/>
              </w:rPr>
            </w:pPr>
            <w:r w:rsidRPr="002955CE">
              <w:rPr>
                <w:sz w:val="20"/>
                <w:szCs w:val="20"/>
              </w:rPr>
              <w:t xml:space="preserve">3.1.10 </w:t>
            </w:r>
            <w:r>
              <w:rPr>
                <w:sz w:val="20"/>
                <w:szCs w:val="20"/>
              </w:rPr>
              <w:tab/>
            </w:r>
            <w:r w:rsidRPr="002955CE">
              <w:rPr>
                <w:sz w:val="20"/>
                <w:szCs w:val="20"/>
              </w:rPr>
              <w:t>Manage social media</w:t>
            </w:r>
          </w:p>
        </w:tc>
        <w:tc>
          <w:tcPr>
            <w:tcW w:w="1250" w:type="pct"/>
            <w:vMerge/>
            <w:vAlign w:val="center"/>
          </w:tcPr>
          <w:p w:rsidR="009A2AF2" w:rsidRPr="003D1528" w:rsidRDefault="009A2AF2" w:rsidP="00293CCC">
            <w:pPr>
              <w:spacing w:before="120" w:after="120"/>
              <w:rPr>
                <w:rFonts w:cs="Arial"/>
                <w:sz w:val="20"/>
                <w:szCs w:val="20"/>
              </w:rPr>
            </w:pPr>
          </w:p>
        </w:tc>
      </w:tr>
    </w:tbl>
    <w:p w:rsidR="009A2AF2" w:rsidRPr="000D2AB8" w:rsidRDefault="009A2AF2"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szCs w:val="20"/>
              </w:rPr>
              <w:t xml:space="preserve">3.2 </w:t>
            </w:r>
            <w:r>
              <w:rPr>
                <w:szCs w:val="20"/>
              </w:rPr>
              <w:tab/>
            </w:r>
            <w:r w:rsidRPr="003D1528">
              <w:rPr>
                <w:szCs w:val="20"/>
              </w:rPr>
              <w:t>Engagement</w:t>
            </w:r>
          </w:p>
        </w:tc>
      </w:tr>
      <w:tr w:rsidR="009A2AF2" w:rsidRPr="003D1528" w:rsidTr="00B66108">
        <w:tc>
          <w:tcPr>
            <w:tcW w:w="3781"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81" w:type="pct"/>
            <w:vAlign w:val="center"/>
          </w:tcPr>
          <w:p w:rsidR="009A2AF2" w:rsidRPr="002955CE" w:rsidRDefault="009A2AF2" w:rsidP="00FA230B">
            <w:pPr>
              <w:spacing w:before="120" w:after="120"/>
              <w:ind w:left="720" w:hanging="720"/>
              <w:rPr>
                <w:sz w:val="20"/>
                <w:szCs w:val="20"/>
              </w:rPr>
            </w:pPr>
            <w:r w:rsidRPr="002955CE">
              <w:rPr>
                <w:sz w:val="20"/>
                <w:szCs w:val="20"/>
              </w:rPr>
              <w:t xml:space="preserve">3.2.1 </w:t>
            </w:r>
            <w:r>
              <w:rPr>
                <w:sz w:val="20"/>
                <w:szCs w:val="20"/>
              </w:rPr>
              <w:tab/>
            </w:r>
            <w:r w:rsidRPr="002955CE">
              <w:rPr>
                <w:sz w:val="20"/>
                <w:szCs w:val="20"/>
              </w:rPr>
              <w:t>Engage with external stakeholders</w:t>
            </w:r>
          </w:p>
        </w:tc>
        <w:tc>
          <w:tcPr>
            <w:tcW w:w="1219"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81" w:type="pct"/>
            <w:vAlign w:val="center"/>
          </w:tcPr>
          <w:p w:rsidR="009A2AF2" w:rsidRPr="002955CE" w:rsidRDefault="009A2AF2" w:rsidP="00FA230B">
            <w:pPr>
              <w:spacing w:before="120" w:after="120"/>
              <w:ind w:left="720" w:hanging="720"/>
              <w:rPr>
                <w:sz w:val="20"/>
                <w:szCs w:val="20"/>
              </w:rPr>
            </w:pPr>
            <w:r w:rsidRPr="002955CE">
              <w:rPr>
                <w:sz w:val="20"/>
                <w:szCs w:val="20"/>
              </w:rPr>
              <w:t xml:space="preserve">3.2.2 </w:t>
            </w:r>
            <w:r>
              <w:rPr>
                <w:sz w:val="20"/>
                <w:szCs w:val="20"/>
              </w:rPr>
              <w:tab/>
            </w:r>
            <w:r w:rsidRPr="002955CE">
              <w:rPr>
                <w:sz w:val="20"/>
                <w:szCs w:val="20"/>
              </w:rPr>
              <w:t>Manage intergovernmental relations</w:t>
            </w:r>
          </w:p>
        </w:tc>
        <w:tc>
          <w:tcPr>
            <w:tcW w:w="1219"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81" w:type="pct"/>
            <w:vAlign w:val="center"/>
          </w:tcPr>
          <w:p w:rsidR="009A2AF2" w:rsidRPr="002955CE" w:rsidRDefault="009A2AF2" w:rsidP="00FA230B">
            <w:pPr>
              <w:spacing w:before="120" w:after="120"/>
              <w:ind w:left="720" w:hanging="720"/>
              <w:rPr>
                <w:sz w:val="20"/>
                <w:szCs w:val="20"/>
              </w:rPr>
            </w:pPr>
            <w:r w:rsidRPr="002955CE">
              <w:rPr>
                <w:sz w:val="20"/>
                <w:szCs w:val="20"/>
              </w:rPr>
              <w:t xml:space="preserve">3.2.3 </w:t>
            </w:r>
            <w:r>
              <w:rPr>
                <w:sz w:val="20"/>
                <w:szCs w:val="20"/>
              </w:rPr>
              <w:tab/>
            </w:r>
            <w:r w:rsidRPr="002955CE">
              <w:rPr>
                <w:sz w:val="20"/>
                <w:szCs w:val="20"/>
              </w:rPr>
              <w:t>Undertake consultation to support cross-profession strategies and guidelines</w:t>
            </w:r>
          </w:p>
        </w:tc>
        <w:tc>
          <w:tcPr>
            <w:tcW w:w="1219"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81" w:type="pct"/>
            <w:vAlign w:val="center"/>
          </w:tcPr>
          <w:p w:rsidR="009A2AF2" w:rsidRPr="002955CE" w:rsidRDefault="009A2AF2" w:rsidP="00FA230B">
            <w:pPr>
              <w:spacing w:before="120" w:after="120"/>
              <w:ind w:left="720" w:hanging="720"/>
              <w:rPr>
                <w:sz w:val="20"/>
                <w:szCs w:val="20"/>
              </w:rPr>
            </w:pPr>
            <w:r w:rsidRPr="002955CE">
              <w:rPr>
                <w:sz w:val="20"/>
                <w:szCs w:val="20"/>
              </w:rPr>
              <w:t xml:space="preserve">3.2.4 </w:t>
            </w:r>
            <w:r>
              <w:rPr>
                <w:sz w:val="20"/>
                <w:szCs w:val="20"/>
              </w:rPr>
              <w:tab/>
            </w:r>
            <w:r w:rsidRPr="002955CE">
              <w:rPr>
                <w:sz w:val="20"/>
                <w:szCs w:val="20"/>
              </w:rPr>
              <w:t xml:space="preserve">Engage with external advisory groups </w:t>
            </w:r>
          </w:p>
        </w:tc>
        <w:tc>
          <w:tcPr>
            <w:tcW w:w="1219"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81" w:type="pct"/>
            <w:tcBorders>
              <w:bottom w:val="single" w:sz="4" w:space="0" w:color="auto"/>
            </w:tcBorders>
            <w:vAlign w:val="center"/>
          </w:tcPr>
          <w:p w:rsidR="009A2AF2" w:rsidRPr="002955CE" w:rsidRDefault="009A2AF2" w:rsidP="00FA230B">
            <w:pPr>
              <w:spacing w:before="120" w:after="120"/>
              <w:ind w:left="720" w:hanging="720"/>
              <w:rPr>
                <w:sz w:val="20"/>
                <w:szCs w:val="20"/>
              </w:rPr>
            </w:pPr>
            <w:r w:rsidRPr="002955CE">
              <w:rPr>
                <w:sz w:val="20"/>
                <w:szCs w:val="20"/>
              </w:rPr>
              <w:t xml:space="preserve">3.2.5 </w:t>
            </w:r>
            <w:r>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9A2AF2" w:rsidRPr="003D1528" w:rsidRDefault="009A2AF2" w:rsidP="00293CCC">
            <w:pPr>
              <w:spacing w:before="120" w:after="120"/>
              <w:rPr>
                <w:rFonts w:cs="Arial"/>
                <w:sz w:val="20"/>
                <w:szCs w:val="20"/>
              </w:rPr>
            </w:pPr>
          </w:p>
        </w:tc>
      </w:tr>
    </w:tbl>
    <w:p w:rsidR="009A2AF2" w:rsidRDefault="009A2AF2" w:rsidP="00485FEB">
      <w:pPr>
        <w:spacing w:after="0"/>
        <w:ind w:left="357"/>
        <w:rPr>
          <w:rFonts w:cs="Arial"/>
          <w:b/>
          <w:sz w:val="20"/>
        </w:rPr>
      </w:pPr>
    </w:p>
    <w:p w:rsidR="009A2AF2" w:rsidRDefault="00B67A8C" w:rsidP="008D1EC3">
      <w:pPr>
        <w:pStyle w:val="AHPRASubheading"/>
        <w:numPr>
          <w:ilvl w:val="0"/>
          <w:numId w:val="15"/>
        </w:numPr>
        <w:spacing w:before="0"/>
        <w:ind w:left="357" w:hanging="357"/>
        <w:rPr>
          <w:szCs w:val="20"/>
        </w:rPr>
      </w:pPr>
      <w:r>
        <w:rPr>
          <w:szCs w:val="20"/>
        </w:rPr>
        <w:t>Planning and r</w:t>
      </w:r>
      <w:r w:rsidR="009A2AF2" w:rsidRPr="003D1528">
        <w:rPr>
          <w:szCs w:val="20"/>
        </w:rPr>
        <w:t>eporting</w:t>
      </w: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b w:val="0"/>
                <w:szCs w:val="20"/>
              </w:rPr>
            </w:pPr>
            <w:r w:rsidRPr="003D1528">
              <w:rPr>
                <w:szCs w:val="20"/>
              </w:rPr>
              <w:t xml:space="preserve">4.1 </w:t>
            </w:r>
            <w:r>
              <w:rPr>
                <w:szCs w:val="20"/>
              </w:rPr>
              <w:tab/>
            </w:r>
            <w:r w:rsidRPr="003D1528">
              <w:rPr>
                <w:szCs w:val="20"/>
              </w:rPr>
              <w:t>Planning</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4.1.1 </w:t>
            </w:r>
            <w:r>
              <w:rPr>
                <w:rFonts w:cs="Arial"/>
                <w:sz w:val="20"/>
                <w:szCs w:val="20"/>
              </w:rPr>
              <w:tab/>
            </w:r>
            <w:r w:rsidRPr="002955CE">
              <w:rPr>
                <w:rFonts w:cs="Arial"/>
                <w:sz w:val="20"/>
                <w:szCs w:val="20"/>
              </w:rPr>
              <w:t>Inform and support the NRAS Strategy</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4.1.2 </w:t>
            </w:r>
            <w:r>
              <w:rPr>
                <w:rFonts w:cs="Arial"/>
                <w:sz w:val="20"/>
                <w:szCs w:val="20"/>
              </w:rPr>
              <w:tab/>
            </w:r>
            <w:r w:rsidRPr="002955CE">
              <w:rPr>
                <w:rFonts w:cs="Arial"/>
                <w:sz w:val="20"/>
                <w:szCs w:val="20"/>
              </w:rPr>
              <w:t>Develop and implement AHPRA Business Plan</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4.1.3 </w:t>
            </w:r>
            <w:r>
              <w:rPr>
                <w:rFonts w:cs="Arial"/>
                <w:sz w:val="20"/>
                <w:szCs w:val="20"/>
              </w:rPr>
              <w:tab/>
            </w:r>
            <w:r w:rsidRPr="002955CE">
              <w:rPr>
                <w:rFonts w:cs="Arial"/>
                <w:sz w:val="20"/>
                <w:szCs w:val="20"/>
              </w:rPr>
              <w:t xml:space="preserve">Develop and implement National Board Regulatory </w:t>
            </w:r>
            <w:r>
              <w:rPr>
                <w:rFonts w:cs="Arial"/>
                <w:sz w:val="20"/>
                <w:szCs w:val="20"/>
              </w:rPr>
              <w:t>Plan</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lastRenderedPageBreak/>
              <w:t xml:space="preserve">4.1.4  </w:t>
            </w:r>
            <w:r>
              <w:rPr>
                <w:rFonts w:cs="Arial"/>
                <w:sz w:val="20"/>
                <w:szCs w:val="20"/>
              </w:rPr>
              <w:tab/>
            </w:r>
            <w:r w:rsidRPr="002955CE">
              <w:rPr>
                <w:rFonts w:cs="Arial"/>
                <w:sz w:val="20"/>
                <w:szCs w:val="20"/>
              </w:rPr>
              <w:t>HPA engagement and development</w:t>
            </w:r>
          </w:p>
        </w:tc>
        <w:tc>
          <w:tcPr>
            <w:tcW w:w="1250" w:type="pct"/>
            <w:vMerge/>
            <w:vAlign w:val="center"/>
          </w:tcPr>
          <w:p w:rsidR="009A2AF2" w:rsidRPr="003D1528" w:rsidRDefault="009A2AF2" w:rsidP="00293CCC">
            <w:pPr>
              <w:spacing w:before="120" w:after="120"/>
              <w:rPr>
                <w:rFonts w:cs="Arial"/>
                <w:sz w:val="20"/>
                <w:szCs w:val="20"/>
              </w:rPr>
            </w:pPr>
          </w:p>
        </w:tc>
      </w:tr>
    </w:tbl>
    <w:p w:rsidR="009A2AF2" w:rsidRDefault="009A2AF2" w:rsidP="00293CCC">
      <w:pPr>
        <w:ind w:left="357"/>
        <w:rPr>
          <w:rFonts w:cs="Arial"/>
          <w:b/>
          <w:sz w:val="20"/>
          <w:szCs w:val="20"/>
        </w:rPr>
      </w:pPr>
    </w:p>
    <w:p w:rsidR="009A2AF2" w:rsidRDefault="009A2AF2">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b w:val="0"/>
                <w:szCs w:val="20"/>
              </w:rPr>
            </w:pPr>
            <w:r w:rsidRPr="003D1528">
              <w:rPr>
                <w:szCs w:val="20"/>
              </w:rPr>
              <w:lastRenderedPageBreak/>
              <w:t xml:space="preserve">4.2 </w:t>
            </w:r>
            <w:r>
              <w:rPr>
                <w:szCs w:val="20"/>
              </w:rPr>
              <w:tab/>
            </w:r>
            <w:r w:rsidRPr="003D1528">
              <w:rPr>
                <w:szCs w:val="20"/>
              </w:rPr>
              <w:t>Reporting</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4.2.1 </w:t>
            </w:r>
            <w:r>
              <w:rPr>
                <w:rFonts w:cs="Arial"/>
                <w:sz w:val="20"/>
                <w:szCs w:val="20"/>
              </w:rPr>
              <w:tab/>
            </w:r>
            <w:r w:rsidRPr="002955CE">
              <w:rPr>
                <w:rFonts w:cs="Arial"/>
                <w:sz w:val="20"/>
                <w:szCs w:val="20"/>
              </w:rPr>
              <w:t>Develop and report on outcomes related to National Boards’ regulatory functions and AHPRA’s administrative assistance and support to National Boards and the Boards’ committees, in exercising their functions.</w:t>
            </w:r>
            <w:r w:rsidRPr="002955CE" w:rsidDel="00D23CC2">
              <w:rPr>
                <w:rFonts w:cs="Arial"/>
                <w:sz w:val="20"/>
                <w:szCs w:val="20"/>
              </w:rPr>
              <w:t xml:space="preserve"> </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4.2.2 </w:t>
            </w:r>
            <w:r>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4.2.3 </w:t>
            </w:r>
            <w:r>
              <w:rPr>
                <w:rFonts w:cs="Arial"/>
                <w:sz w:val="20"/>
                <w:szCs w:val="20"/>
              </w:rPr>
              <w:tab/>
            </w:r>
            <w:r w:rsidRPr="002955CE">
              <w:rPr>
                <w:rFonts w:cs="Arial"/>
                <w:sz w:val="20"/>
                <w:szCs w:val="20"/>
              </w:rPr>
              <w:t>Fulfil annual reporting requirements</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Pr="00F578F8" w:rsidRDefault="009A2AF2" w:rsidP="00485FEB">
      <w:pPr>
        <w:spacing w:after="0"/>
        <w:ind w:left="357"/>
        <w:rPr>
          <w:rFonts w:cs="Arial"/>
          <w:b/>
          <w:sz w:val="20"/>
          <w:szCs w:val="20"/>
        </w:rPr>
      </w:pPr>
    </w:p>
    <w:p w:rsidR="009A2AF2" w:rsidRDefault="009A2AF2" w:rsidP="008D1EC3">
      <w:pPr>
        <w:pStyle w:val="AHPRASubheading"/>
        <w:numPr>
          <w:ilvl w:val="0"/>
          <w:numId w:val="15"/>
        </w:numPr>
        <w:spacing w:before="0"/>
        <w:ind w:left="357" w:hanging="357"/>
        <w:rPr>
          <w:szCs w:val="20"/>
        </w:rPr>
      </w:pPr>
      <w:r w:rsidRPr="003D1528">
        <w:rPr>
          <w:szCs w:val="20"/>
        </w:rPr>
        <w:t xml:space="preserve">Policy and </w:t>
      </w:r>
      <w:r w:rsidR="00B67A8C">
        <w:rPr>
          <w:szCs w:val="20"/>
        </w:rPr>
        <w:t>a</w:t>
      </w:r>
      <w:r w:rsidRPr="003D1528">
        <w:rPr>
          <w:szCs w:val="20"/>
        </w:rPr>
        <w:t>ccreditation</w:t>
      </w:r>
    </w:p>
    <w:tbl>
      <w:tblPr>
        <w:tblStyle w:val="TableGrid"/>
        <w:tblW w:w="9039" w:type="dxa"/>
        <w:tblLayout w:type="fixed"/>
        <w:tblLook w:val="04A0" w:firstRow="1" w:lastRow="0" w:firstColumn="1" w:lastColumn="0" w:noHBand="0" w:noVBand="1"/>
      </w:tblPr>
      <w:tblGrid>
        <w:gridCol w:w="6779"/>
        <w:gridCol w:w="2260"/>
      </w:tblGrid>
      <w:tr w:rsidR="009A2AF2" w:rsidRPr="003D1528" w:rsidTr="00293CCC">
        <w:tc>
          <w:tcPr>
            <w:tcW w:w="5000" w:type="pct"/>
            <w:gridSpan w:val="2"/>
            <w:vAlign w:val="center"/>
          </w:tcPr>
          <w:p w:rsidR="009A2AF2" w:rsidRPr="003D1528" w:rsidRDefault="009A2AF2" w:rsidP="002955CE">
            <w:pPr>
              <w:pStyle w:val="AHPRASubheadinglevel2"/>
              <w:rPr>
                <w:b w:val="0"/>
                <w:szCs w:val="20"/>
              </w:rPr>
            </w:pPr>
            <w:r w:rsidRPr="003D1528">
              <w:rPr>
                <w:szCs w:val="20"/>
              </w:rPr>
              <w:t xml:space="preserve">5.1 </w:t>
            </w:r>
            <w:r>
              <w:rPr>
                <w:szCs w:val="20"/>
              </w:rPr>
              <w:tab/>
            </w:r>
            <w:r w:rsidRPr="003D1528">
              <w:rPr>
                <w:szCs w:val="20"/>
              </w:rPr>
              <w:t>Policy</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5.1.1 </w:t>
            </w:r>
            <w:r>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5.1.2 </w:t>
            </w:r>
            <w:r>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5.1.3 </w:t>
            </w:r>
            <w:r>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5.1.4 </w:t>
            </w:r>
            <w:r>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9A2AF2" w:rsidRPr="003D1528" w:rsidRDefault="009A2AF2" w:rsidP="00293CCC">
            <w:pPr>
              <w:spacing w:before="120" w:after="120"/>
              <w:rPr>
                <w:rFonts w:cs="Arial"/>
                <w:sz w:val="20"/>
                <w:szCs w:val="20"/>
              </w:rPr>
            </w:pPr>
          </w:p>
        </w:tc>
      </w:tr>
    </w:tbl>
    <w:p w:rsidR="009A2AF2" w:rsidRDefault="009A2AF2"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rFonts w:cs="Arial"/>
                <w:szCs w:val="20"/>
              </w:rPr>
              <w:br w:type="page"/>
            </w:r>
            <w:r w:rsidRPr="003D1528">
              <w:rPr>
                <w:szCs w:val="20"/>
              </w:rPr>
              <w:t xml:space="preserve">5.2 </w:t>
            </w:r>
            <w:r>
              <w:rPr>
                <w:szCs w:val="20"/>
              </w:rPr>
              <w:tab/>
            </w:r>
            <w:r w:rsidRPr="003D1528">
              <w:rPr>
                <w:szCs w:val="20"/>
              </w:rPr>
              <w:t>Accreditation</w:t>
            </w:r>
            <w:r w:rsidRPr="003D1528">
              <w:rPr>
                <w:rFonts w:cs="Arial"/>
                <w:szCs w:val="20"/>
              </w:rPr>
              <w:t xml:space="preserve"> </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5.2.1 </w:t>
            </w:r>
            <w:r>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5.2.2 </w:t>
            </w:r>
            <w:r>
              <w:rPr>
                <w:rFonts w:cs="Arial"/>
                <w:sz w:val="20"/>
                <w:szCs w:val="20"/>
              </w:rPr>
              <w:tab/>
            </w:r>
            <w:r w:rsidRPr="002955CE">
              <w:rPr>
                <w:rFonts w:cs="Arial"/>
                <w:sz w:val="20"/>
                <w:szCs w:val="20"/>
              </w:rPr>
              <w:t>Supporting accreditation committees to deliver the accreditation functions, where applicable</w:t>
            </w:r>
          </w:p>
        </w:tc>
        <w:tc>
          <w:tcPr>
            <w:tcW w:w="1250" w:type="pct"/>
            <w:vMerge/>
            <w:vAlign w:val="center"/>
          </w:tcPr>
          <w:p w:rsidR="009A2AF2" w:rsidRPr="003D1528" w:rsidRDefault="009A2AF2" w:rsidP="00293CCC">
            <w:pPr>
              <w:spacing w:before="120" w:after="120"/>
              <w:rPr>
                <w:rFonts w:cs="Arial"/>
                <w:sz w:val="20"/>
                <w:szCs w:val="20"/>
              </w:rPr>
            </w:pPr>
          </w:p>
        </w:tc>
      </w:tr>
      <w:tr w:rsidR="009A2AF2" w:rsidRPr="003D1528" w:rsidTr="00293CCC">
        <w:tc>
          <w:tcPr>
            <w:tcW w:w="3750" w:type="pct"/>
            <w:vAlign w:val="center"/>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5.2.3 </w:t>
            </w:r>
            <w:r>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9A2AF2" w:rsidRPr="003D1528" w:rsidRDefault="009A2AF2" w:rsidP="00293CCC">
            <w:pPr>
              <w:spacing w:before="120" w:after="120"/>
              <w:rPr>
                <w:rFonts w:cs="Arial"/>
                <w:sz w:val="20"/>
                <w:szCs w:val="20"/>
              </w:rPr>
            </w:pPr>
          </w:p>
        </w:tc>
      </w:tr>
    </w:tbl>
    <w:p w:rsidR="009A2AF2" w:rsidRDefault="009A2AF2" w:rsidP="00293CCC">
      <w:pPr>
        <w:ind w:left="357"/>
        <w:rPr>
          <w:rFonts w:cs="Arial"/>
          <w:sz w:val="20"/>
          <w:szCs w:val="20"/>
        </w:rPr>
      </w:pPr>
    </w:p>
    <w:p w:rsidR="009A2AF2" w:rsidRDefault="009A2AF2">
      <w:pPr>
        <w:spacing w:after="0"/>
        <w:rPr>
          <w:rFonts w:cs="Arial"/>
          <w:sz w:val="20"/>
          <w:szCs w:val="20"/>
        </w:rPr>
      </w:pPr>
      <w:r>
        <w:rPr>
          <w:rFonts w:cs="Arial"/>
          <w:sz w:val="20"/>
          <w:szCs w:val="20"/>
        </w:rPr>
        <w:br w:type="page"/>
      </w:r>
    </w:p>
    <w:p w:rsidR="009A2AF2" w:rsidRDefault="009A2AF2" w:rsidP="008D1EC3">
      <w:pPr>
        <w:pStyle w:val="AHPRASubheading"/>
        <w:numPr>
          <w:ilvl w:val="0"/>
          <w:numId w:val="15"/>
        </w:numPr>
      </w:pPr>
      <w:r w:rsidRPr="00293CCC">
        <w:lastRenderedPageBreak/>
        <w:t>Data,</w:t>
      </w:r>
      <w:r w:rsidR="00B67A8C" w:rsidRPr="00293CCC">
        <w:t xml:space="preserve"> research and analysis</w:t>
      </w: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szCs w:val="20"/>
              </w:rPr>
              <w:t xml:space="preserve">6.1 </w:t>
            </w:r>
            <w:r>
              <w:rPr>
                <w:szCs w:val="20"/>
              </w:rPr>
              <w:tab/>
            </w:r>
            <w:r w:rsidR="00B67A8C">
              <w:rPr>
                <w:szCs w:val="20"/>
              </w:rPr>
              <w:t>Evidence a</w:t>
            </w:r>
            <w:r w:rsidRPr="003D1528">
              <w:rPr>
                <w:szCs w:val="20"/>
              </w:rPr>
              <w:t>cquisition</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6.1.1 </w:t>
            </w:r>
            <w:r>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6.1.2 </w:t>
            </w:r>
            <w:r>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6.1.3 </w:t>
            </w:r>
            <w:r>
              <w:rPr>
                <w:rFonts w:cs="Arial"/>
                <w:sz w:val="20"/>
                <w:szCs w:val="20"/>
              </w:rPr>
              <w:tab/>
            </w:r>
            <w:r w:rsidRPr="002955CE">
              <w:rPr>
                <w:rFonts w:cs="Arial"/>
                <w:sz w:val="20"/>
                <w:szCs w:val="20"/>
              </w:rPr>
              <w:t>Provide descriptive statistics for all professions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6.1.4 </w:t>
            </w:r>
            <w:r>
              <w:rPr>
                <w:rFonts w:cs="Arial"/>
                <w:sz w:val="20"/>
                <w:szCs w:val="20"/>
              </w:rPr>
              <w:tab/>
            </w:r>
            <w:r w:rsidRPr="002955CE">
              <w:rPr>
                <w:rFonts w:cs="Arial"/>
                <w:sz w:val="20"/>
                <w:szCs w:val="20"/>
              </w:rPr>
              <w:t>Undertake cross-profession regulatory risk analyses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6.1.5 </w:t>
            </w:r>
            <w:r>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6.1.6 </w:t>
            </w:r>
            <w:r>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6.1.7 </w:t>
            </w:r>
            <w:r>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6.1.8 </w:t>
            </w:r>
            <w:r>
              <w:rPr>
                <w:rFonts w:cs="Arial"/>
                <w:sz w:val="20"/>
                <w:szCs w:val="20"/>
              </w:rPr>
              <w:tab/>
            </w:r>
            <w:r w:rsidRPr="002955CE">
              <w:rPr>
                <w:rFonts w:cs="Arial"/>
                <w:sz w:val="20"/>
                <w:szCs w:val="20"/>
              </w:rPr>
              <w:t xml:space="preserve">Broker and maintain formal strategic data and research partnerships with external organisations </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Pr="000D2AB8" w:rsidRDefault="009A2AF2"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9A2AF2" w:rsidRPr="003D1528" w:rsidTr="00293CCC">
        <w:tc>
          <w:tcPr>
            <w:tcW w:w="5000" w:type="pct"/>
            <w:gridSpan w:val="2"/>
            <w:vAlign w:val="center"/>
          </w:tcPr>
          <w:p w:rsidR="009A2AF2" w:rsidRPr="003D1528" w:rsidRDefault="009A2AF2" w:rsidP="002955CE">
            <w:pPr>
              <w:pStyle w:val="AHPRASubheadinglevel2"/>
              <w:rPr>
                <w:rFonts w:cs="Arial"/>
                <w:b w:val="0"/>
                <w:szCs w:val="20"/>
              </w:rPr>
            </w:pPr>
            <w:r w:rsidRPr="003D1528">
              <w:rPr>
                <w:szCs w:val="20"/>
              </w:rPr>
              <w:t xml:space="preserve">6.2 </w:t>
            </w:r>
            <w:r>
              <w:rPr>
                <w:szCs w:val="20"/>
              </w:rPr>
              <w:tab/>
            </w:r>
            <w:r w:rsidRPr="003D1528">
              <w:rPr>
                <w:szCs w:val="20"/>
              </w:rPr>
              <w:t>Data governance and organisational capacity</w:t>
            </w:r>
          </w:p>
        </w:tc>
      </w:tr>
      <w:tr w:rsidR="009A2AF2" w:rsidRPr="003D1528" w:rsidTr="00B66108">
        <w:tc>
          <w:tcPr>
            <w:tcW w:w="3750" w:type="pct"/>
            <w:shd w:val="clear" w:color="auto" w:fill="4F81BD" w:themeFill="accent1"/>
            <w:vAlign w:val="center"/>
          </w:tcPr>
          <w:p w:rsidR="009A2AF2" w:rsidRPr="003D1528" w:rsidRDefault="009A2AF2"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9A2AF2" w:rsidRPr="003D1528" w:rsidRDefault="00B67A8C" w:rsidP="00293CCC">
            <w:pPr>
              <w:spacing w:before="120" w:after="120"/>
              <w:rPr>
                <w:rFonts w:cs="Arial"/>
                <w:b/>
                <w:sz w:val="20"/>
                <w:szCs w:val="20"/>
              </w:rPr>
            </w:pPr>
            <w:r>
              <w:rPr>
                <w:rFonts w:cs="Arial"/>
                <w:b/>
                <w:bCs/>
                <w:color w:val="FFFFFF" w:themeColor="background1"/>
                <w:sz w:val="20"/>
                <w:szCs w:val="20"/>
              </w:rPr>
              <w:t>Profession specific</w:t>
            </w:r>
          </w:p>
        </w:tc>
      </w:tr>
      <w:tr w:rsidR="009A2AF2" w:rsidRPr="003D1528" w:rsidTr="00485FEB">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6.2.1 </w:t>
            </w:r>
            <w:r>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9A2AF2" w:rsidRPr="003D1528" w:rsidRDefault="009A2AF2" w:rsidP="00485FEB">
            <w:pPr>
              <w:spacing w:before="120" w:after="120"/>
              <w:rPr>
                <w:rFonts w:cs="Arial"/>
                <w:i/>
                <w:sz w:val="20"/>
                <w:szCs w:val="20"/>
              </w:rPr>
            </w:pPr>
            <w:r w:rsidRPr="003D1528">
              <w:rPr>
                <w:i/>
                <w:sz w:val="20"/>
                <w:szCs w:val="20"/>
              </w:rPr>
              <w:t xml:space="preserve">Profession-specific services, as listed in the National Board’s regulatory </w:t>
            </w:r>
            <w:r>
              <w:rPr>
                <w:i/>
                <w:sz w:val="20"/>
                <w:szCs w:val="20"/>
              </w:rPr>
              <w:t>plan</w:t>
            </w:r>
            <w:r w:rsidRPr="003D1528">
              <w:rPr>
                <w:i/>
                <w:sz w:val="20"/>
                <w:szCs w:val="20"/>
              </w:rPr>
              <w:t xml:space="preserve"> and annual budget.</w:t>
            </w: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6.2.2 </w:t>
            </w:r>
            <w:r>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293CCC">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6.2.3 </w:t>
            </w:r>
            <w:r>
              <w:rPr>
                <w:rFonts w:cs="Arial"/>
                <w:sz w:val="20"/>
                <w:szCs w:val="20"/>
              </w:rPr>
              <w:tab/>
            </w:r>
            <w:r w:rsidRPr="002955CE">
              <w:rPr>
                <w:rFonts w:cs="Arial"/>
                <w:sz w:val="20"/>
                <w:szCs w:val="20"/>
              </w:rPr>
              <w:t>Provide tools and training to support evidence informed regulatory policy development</w:t>
            </w:r>
          </w:p>
        </w:tc>
        <w:tc>
          <w:tcPr>
            <w:tcW w:w="1250" w:type="pct"/>
            <w:vMerge/>
            <w:vAlign w:val="center"/>
          </w:tcPr>
          <w:p w:rsidR="009A2AF2" w:rsidRPr="003D1528" w:rsidRDefault="009A2AF2" w:rsidP="00293CCC">
            <w:pPr>
              <w:spacing w:before="120" w:after="120"/>
              <w:rPr>
                <w:rFonts w:cs="Arial"/>
                <w:b/>
                <w:sz w:val="20"/>
                <w:szCs w:val="20"/>
              </w:rPr>
            </w:pPr>
          </w:p>
        </w:tc>
      </w:tr>
      <w:tr w:rsidR="009A2AF2" w:rsidRPr="003D1528" w:rsidTr="00D97C19">
        <w:tc>
          <w:tcPr>
            <w:tcW w:w="3750" w:type="pct"/>
          </w:tcPr>
          <w:p w:rsidR="009A2AF2" w:rsidRPr="002955CE" w:rsidRDefault="009A2AF2" w:rsidP="00FA230B">
            <w:pPr>
              <w:spacing w:before="120" w:after="120"/>
              <w:ind w:left="720" w:hanging="720"/>
              <w:rPr>
                <w:rFonts w:cs="Arial"/>
                <w:sz w:val="20"/>
                <w:szCs w:val="20"/>
              </w:rPr>
            </w:pPr>
            <w:r w:rsidRPr="002955CE">
              <w:rPr>
                <w:rFonts w:cs="Arial"/>
                <w:sz w:val="20"/>
                <w:szCs w:val="20"/>
              </w:rPr>
              <w:t xml:space="preserve">6.2.4 </w:t>
            </w:r>
            <w:r>
              <w:rPr>
                <w:rFonts w:cs="Arial"/>
                <w:sz w:val="20"/>
                <w:szCs w:val="20"/>
              </w:rPr>
              <w:tab/>
            </w:r>
            <w:r w:rsidRPr="002955CE">
              <w:rPr>
                <w:rFonts w:cs="Arial"/>
                <w:sz w:val="20"/>
                <w:szCs w:val="20"/>
              </w:rPr>
              <w:t>Develop organisational infrastructure for delivering regulatory research</w:t>
            </w:r>
          </w:p>
        </w:tc>
        <w:tc>
          <w:tcPr>
            <w:tcW w:w="1250" w:type="pct"/>
            <w:vMerge/>
            <w:vAlign w:val="center"/>
          </w:tcPr>
          <w:p w:rsidR="009A2AF2" w:rsidRPr="003D1528" w:rsidRDefault="009A2AF2" w:rsidP="00293CCC">
            <w:pPr>
              <w:spacing w:before="120" w:after="120"/>
              <w:rPr>
                <w:rFonts w:cs="Arial"/>
                <w:b/>
                <w:sz w:val="20"/>
                <w:szCs w:val="20"/>
              </w:rPr>
            </w:pPr>
          </w:p>
        </w:tc>
      </w:tr>
    </w:tbl>
    <w:p w:rsidR="009A2AF2" w:rsidRDefault="009A2AF2" w:rsidP="00293CCC">
      <w:pPr>
        <w:ind w:left="357"/>
        <w:rPr>
          <w:rFonts w:cs="Arial"/>
          <w:sz w:val="20"/>
          <w:szCs w:val="20"/>
        </w:rPr>
      </w:pPr>
    </w:p>
    <w:p w:rsidR="009A2AF2" w:rsidRDefault="009A2AF2" w:rsidP="00293CCC">
      <w:pPr>
        <w:ind w:left="357"/>
        <w:rPr>
          <w:rFonts w:cs="Arial"/>
          <w:sz w:val="20"/>
          <w:szCs w:val="20"/>
        </w:rPr>
        <w:sectPr w:rsidR="009A2AF2"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9A2AF2" w:rsidRPr="007C7B7F" w:rsidRDefault="009A2AF2" w:rsidP="007C7B7F">
      <w:pPr>
        <w:pStyle w:val="AHPRADocumentsubheading"/>
      </w:pPr>
      <w:r w:rsidRPr="00AE322F">
        <w:lastRenderedPageBreak/>
        <w:t xml:space="preserve">Schedule 2: </w:t>
      </w:r>
      <w:r w:rsidR="00D15CE0" w:rsidRPr="00130FEA">
        <w:t>Summary of National Scheme Strategy, implementation map, and National Board’s regulatory plan</w:t>
      </w:r>
    </w:p>
    <w:p w:rsidR="009A2AF2" w:rsidRPr="007F3A76" w:rsidRDefault="009A2AF2" w:rsidP="007F3A76">
      <w:r>
        <w:rPr>
          <w:noProof/>
          <w:lang w:eastAsia="en-AU"/>
        </w:rPr>
        <w:lastRenderedPageBreak/>
        <w:drawing>
          <wp:inline distT="0" distB="0" distL="0" distR="0">
            <wp:extent cx="5644800" cy="3985200"/>
            <wp:effectExtent l="0" t="0" r="0" b="0"/>
            <wp:docPr id="10" name="Picture 10" descr="An accessible version of the National Registration and Accreditation Scheme Strategy 2015-20 is available on the AHPRA website under About &gt; What we do &gt; Nras strategy 2015-2020. This is the direct link: https://www.ahpra.gov.au/About-AHPRA/What-We-Do/NRAS-Strategy-2015-2020.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1A09EA">
        <w:rPr>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3988435</wp:posOffset>
                </wp:positionV>
                <wp:extent cx="53816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CE0" w:rsidRPr="00384257" w:rsidRDefault="00D15CE0" w:rsidP="00D15CE0">
                            <w:pPr>
                              <w:pStyle w:val="AHPRAbody"/>
                              <w:rPr>
                                <w:b/>
                                <w:color w:val="007DC3"/>
                              </w:rPr>
                            </w:pPr>
                            <w:r w:rsidRPr="00384257">
                              <w:rPr>
                                <w:b/>
                                <w:color w:val="007DC3"/>
                              </w:rPr>
                              <w:t>National Scheme Strategy Implementation Map</w:t>
                            </w:r>
                          </w:p>
                          <w:p w:rsidR="00D15CE0" w:rsidRPr="00384257" w:rsidRDefault="00D15CE0" w:rsidP="00D15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4.05pt;width:42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" fillcolor="white [3201]" stroked="f" strokeweight=".5pt">
                <v:path arrowok="t"/>
                <v:textbox>
                  <w:txbxContent>
                    <w:p w:rsidR="00D15CE0" w:rsidRPr="00384257" w:rsidRDefault="00D15CE0" w:rsidP="00D15CE0">
                      <w:pPr>
                        <w:pStyle w:val="AHPRAbody"/>
                        <w:rPr>
                          <w:b/>
                          <w:color w:val="007DC3"/>
                        </w:rPr>
                      </w:pPr>
                      <w:r w:rsidRPr="00384257">
                        <w:rPr>
                          <w:b/>
                          <w:color w:val="007DC3"/>
                        </w:rPr>
                        <w:t>National Scheme Strategy Implementation Map</w:t>
                      </w:r>
                    </w:p>
                    <w:p w:rsidR="00D15CE0" w:rsidRPr="00384257" w:rsidRDefault="00D15CE0" w:rsidP="00D15CE0"/>
                  </w:txbxContent>
                </v:textbox>
              </v:shape>
            </w:pict>
          </mc:Fallback>
        </mc:AlternateContent>
      </w:r>
      <w:r w:rsidRPr="00142B24">
        <w:rPr>
          <w:noProof/>
          <w:lang w:eastAsia="en-AU"/>
        </w:rPr>
        <w:drawing>
          <wp:inline distT="0" distB="0" distL="0" distR="0">
            <wp:extent cx="5727065" cy="4294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D15CE0" w:rsidRDefault="00D15CE0" w:rsidP="007F3A76">
      <w:pPr>
        <w:pStyle w:val="AHPRASubheadinglevel2"/>
        <w:rPr>
          <w:rFonts w:cs="Arial"/>
        </w:rPr>
        <w:sectPr w:rsidR="00D15CE0" w:rsidSect="00363196">
          <w:headerReference w:type="even" r:id="rId19"/>
          <w:headerReference w:type="default" r:id="rId20"/>
          <w:headerReference w:type="first" r:id="rId21"/>
          <w:footerReference w:type="first" r:id="rId22"/>
          <w:pgSz w:w="11900" w:h="16840"/>
          <w:pgMar w:top="1440" w:right="1440" w:bottom="1440" w:left="1440" w:header="284" w:footer="686" w:gutter="0"/>
          <w:cols w:space="708"/>
          <w:titlePg/>
          <w:docGrid w:linePitch="326"/>
        </w:sectPr>
      </w:pPr>
    </w:p>
    <w:p w:rsidR="009A2AF2" w:rsidRDefault="00D15CE0" w:rsidP="007F3A76">
      <w:pPr>
        <w:pStyle w:val="AHPRASubheadinglevel2"/>
        <w:rPr>
          <w:rFonts w:cs="Arial"/>
        </w:rPr>
      </w:pPr>
      <w:r>
        <w:rPr>
          <w:color w:val="007DC3"/>
        </w:rPr>
        <w:lastRenderedPageBreak/>
        <w:t>National Board Regulatory Plan</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131"/>
      </w:tblGrid>
      <w:tr w:rsidR="00D15CE0" w:rsidRPr="00D15CE0" w:rsidTr="00D15CE0">
        <w:trPr>
          <w:tblHeader/>
        </w:trPr>
        <w:tc>
          <w:tcPr>
            <w:tcW w:w="2158" w:type="pct"/>
            <w:shd w:val="clear" w:color="auto" w:fill="007DC3"/>
          </w:tcPr>
          <w:p w:rsidR="00D15CE0" w:rsidRPr="00D15CE0" w:rsidRDefault="00D15CE0" w:rsidP="00522375">
            <w:pPr>
              <w:spacing w:before="60" w:after="60"/>
              <w:rPr>
                <w:rFonts w:cs="Arial"/>
                <w:b/>
                <w:color w:val="FFFFFF" w:themeColor="background1"/>
                <w:sz w:val="20"/>
                <w:szCs w:val="20"/>
              </w:rPr>
            </w:pPr>
            <w:r w:rsidRPr="00D15CE0">
              <w:rPr>
                <w:rFonts w:cs="Arial"/>
                <w:b/>
                <w:color w:val="FFFFFF" w:themeColor="background1"/>
                <w:sz w:val="20"/>
                <w:szCs w:val="20"/>
              </w:rPr>
              <w:t>Scheme strategic outcomes</w:t>
            </w:r>
          </w:p>
        </w:tc>
        <w:tc>
          <w:tcPr>
            <w:tcW w:w="2842" w:type="pct"/>
            <w:shd w:val="clear" w:color="auto" w:fill="007DC3"/>
          </w:tcPr>
          <w:p w:rsidR="00D15CE0" w:rsidRPr="00D15CE0" w:rsidRDefault="00D15CE0" w:rsidP="00522375">
            <w:pPr>
              <w:spacing w:before="60" w:after="60"/>
              <w:rPr>
                <w:rFonts w:cs="Arial"/>
                <w:b/>
                <w:color w:val="FFFFFF" w:themeColor="background1"/>
                <w:sz w:val="20"/>
                <w:szCs w:val="20"/>
              </w:rPr>
            </w:pPr>
            <w:r w:rsidRPr="00D15CE0">
              <w:rPr>
                <w:rFonts w:cs="Arial"/>
                <w:b/>
                <w:color w:val="FFFFFF" w:themeColor="background1"/>
                <w:sz w:val="20"/>
                <w:szCs w:val="20"/>
              </w:rPr>
              <w:t>Regulatory objectives</w:t>
            </w:r>
          </w:p>
        </w:tc>
      </w:tr>
      <w:tr w:rsidR="00D15CE0" w:rsidRPr="00E57572" w:rsidTr="00D15CE0">
        <w:tc>
          <w:tcPr>
            <w:tcW w:w="2158" w:type="pct"/>
          </w:tcPr>
          <w:p w:rsidR="00D15CE0" w:rsidRPr="00CA6A71" w:rsidRDefault="00D15CE0" w:rsidP="008D1EC3">
            <w:pPr>
              <w:pStyle w:val="ListParagraph"/>
              <w:numPr>
                <w:ilvl w:val="0"/>
                <w:numId w:val="18"/>
              </w:numPr>
              <w:spacing w:before="60" w:after="60" w:line="276" w:lineRule="auto"/>
              <w:ind w:left="357" w:hanging="357"/>
              <w:contextualSpacing w:val="0"/>
              <w:rPr>
                <w:rFonts w:eastAsia="Times New Roman" w:cs="Arial"/>
                <w:kern w:val="24"/>
                <w:sz w:val="20"/>
                <w:szCs w:val="36"/>
              </w:rPr>
            </w:pPr>
            <w:r w:rsidRPr="00CA6A71">
              <w:rPr>
                <w:rFonts w:eastAsia="Times New Roman" w:cs="Arial"/>
                <w:kern w:val="24"/>
                <w:sz w:val="20"/>
                <w:szCs w:val="36"/>
                <w:lang w:eastAsia="en-AU"/>
              </w:rPr>
              <w:t xml:space="preserve">Reduced risk of harm to the public associated with the practice of regulated health professions. </w:t>
            </w:r>
          </w:p>
        </w:tc>
        <w:tc>
          <w:tcPr>
            <w:tcW w:w="2842" w:type="pct"/>
            <w:shd w:val="clear" w:color="auto" w:fill="auto"/>
          </w:tcPr>
          <w:p w:rsidR="00D15CE0" w:rsidRPr="00ED1534" w:rsidRDefault="00D15CE0" w:rsidP="00522375">
            <w:pPr>
              <w:spacing w:before="60" w:after="60"/>
              <w:ind w:left="449" w:hanging="449"/>
              <w:rPr>
                <w:rFonts w:cs="Arial"/>
                <w:sz w:val="20"/>
                <w:szCs w:val="20"/>
              </w:rPr>
            </w:pPr>
            <w:r w:rsidRPr="00ED1534">
              <w:rPr>
                <w:rFonts w:cs="Arial"/>
                <w:sz w:val="20"/>
                <w:szCs w:val="20"/>
              </w:rPr>
              <w:t>1.1</w:t>
            </w:r>
            <w:r w:rsidRPr="00ED1534">
              <w:rPr>
                <w:rFonts w:cs="Arial"/>
                <w:sz w:val="20"/>
                <w:szCs w:val="20"/>
              </w:rPr>
              <w:tab/>
            </w:r>
            <w:r>
              <w:rPr>
                <w:rFonts w:cs="Arial"/>
                <w:sz w:val="20"/>
                <w:szCs w:val="20"/>
              </w:rPr>
              <w:t>Utilise the risk profile to consider the management and mitigation of risks relating to professional conduct and performance (including supervision)</w:t>
            </w:r>
          </w:p>
          <w:p w:rsidR="00D15CE0" w:rsidRDefault="00D15CE0" w:rsidP="00522375">
            <w:pPr>
              <w:spacing w:before="60" w:after="60"/>
              <w:ind w:left="449" w:hanging="449"/>
              <w:rPr>
                <w:rFonts w:cs="Arial"/>
                <w:sz w:val="20"/>
                <w:szCs w:val="20"/>
              </w:rPr>
            </w:pPr>
            <w:r>
              <w:rPr>
                <w:rFonts w:cs="Arial"/>
                <w:sz w:val="20"/>
                <w:szCs w:val="20"/>
              </w:rPr>
              <w:t>1.2</w:t>
            </w:r>
            <w:r w:rsidRPr="00ED1534">
              <w:rPr>
                <w:rFonts w:cs="Arial"/>
                <w:sz w:val="20"/>
                <w:szCs w:val="20"/>
              </w:rPr>
              <w:tab/>
            </w:r>
            <w:r>
              <w:rPr>
                <w:rFonts w:cs="Arial"/>
                <w:sz w:val="20"/>
                <w:szCs w:val="20"/>
              </w:rPr>
              <w:t>Utilise the risk profile to consider the management and mitigation of risks relating to high risk physiotherapy practices</w:t>
            </w:r>
          </w:p>
          <w:p w:rsidR="00D15CE0" w:rsidRDefault="00D15CE0" w:rsidP="00522375">
            <w:pPr>
              <w:spacing w:before="60" w:after="60"/>
              <w:ind w:left="449" w:hanging="449"/>
              <w:rPr>
                <w:rFonts w:cs="Arial"/>
                <w:sz w:val="20"/>
                <w:szCs w:val="20"/>
              </w:rPr>
            </w:pPr>
            <w:r>
              <w:rPr>
                <w:rFonts w:cs="Arial"/>
                <w:sz w:val="20"/>
                <w:szCs w:val="20"/>
              </w:rPr>
              <w:t>1.3</w:t>
            </w:r>
            <w:r>
              <w:rPr>
                <w:rFonts w:cs="Arial"/>
                <w:sz w:val="20"/>
                <w:szCs w:val="20"/>
              </w:rPr>
              <w:tab/>
              <w:t>Monitor consistency of notifications data (CIC)</w:t>
            </w:r>
          </w:p>
          <w:p w:rsidR="00D15CE0" w:rsidRPr="00ED1534" w:rsidRDefault="00D15CE0" w:rsidP="00522375">
            <w:pPr>
              <w:spacing w:before="60" w:after="60"/>
              <w:ind w:left="449" w:hanging="449"/>
              <w:rPr>
                <w:rFonts w:cs="Arial"/>
                <w:sz w:val="20"/>
                <w:szCs w:val="20"/>
              </w:rPr>
            </w:pPr>
            <w:r>
              <w:rPr>
                <w:rFonts w:cs="Arial"/>
                <w:sz w:val="20"/>
                <w:szCs w:val="20"/>
              </w:rPr>
              <w:t>1.4</w:t>
            </w:r>
            <w:r>
              <w:rPr>
                <w:rFonts w:cs="Arial"/>
                <w:sz w:val="20"/>
                <w:szCs w:val="20"/>
              </w:rPr>
              <w:tab/>
              <w:t>Engaging disengaged practitioners by way of a Board project</w:t>
            </w:r>
          </w:p>
        </w:tc>
      </w:tr>
      <w:tr w:rsidR="00D15CE0" w:rsidRPr="00E57572" w:rsidTr="00D15CE0">
        <w:tc>
          <w:tcPr>
            <w:tcW w:w="2158" w:type="pct"/>
          </w:tcPr>
          <w:p w:rsidR="00D15CE0" w:rsidRPr="00F753FA" w:rsidRDefault="00D15CE0" w:rsidP="008D1EC3">
            <w:pPr>
              <w:pStyle w:val="ListParagraph"/>
              <w:numPr>
                <w:ilvl w:val="0"/>
                <w:numId w:val="18"/>
              </w:numPr>
              <w:autoSpaceDE w:val="0"/>
              <w:autoSpaceDN w:val="0"/>
              <w:adjustRightInd w:val="0"/>
              <w:spacing w:before="60" w:after="60"/>
              <w:ind w:left="357" w:hanging="357"/>
              <w:contextualSpacing w:val="0"/>
              <w:rPr>
                <w:rFonts w:cs="Arial"/>
                <w:sz w:val="20"/>
              </w:rPr>
            </w:pPr>
            <w:r w:rsidRPr="00F753FA">
              <w:rPr>
                <w:rFonts w:cs="Arial"/>
                <w:sz w:val="20"/>
              </w:rPr>
              <w:t>Assurance that registered health practitioners are suitably trained and qualified to practise in a competent and ethical manner.</w:t>
            </w:r>
          </w:p>
        </w:tc>
        <w:tc>
          <w:tcPr>
            <w:tcW w:w="2842" w:type="pct"/>
            <w:shd w:val="clear" w:color="auto" w:fill="auto"/>
          </w:tcPr>
          <w:p w:rsidR="00D15CE0" w:rsidRPr="00ED1534" w:rsidRDefault="00D15CE0" w:rsidP="00522375">
            <w:pPr>
              <w:spacing w:before="60" w:after="60"/>
              <w:ind w:left="449" w:hanging="449"/>
              <w:rPr>
                <w:rFonts w:cs="Arial"/>
                <w:sz w:val="20"/>
                <w:szCs w:val="20"/>
              </w:rPr>
            </w:pPr>
            <w:r w:rsidRPr="00ED1534">
              <w:rPr>
                <w:rFonts w:cs="Arial"/>
                <w:sz w:val="20"/>
                <w:szCs w:val="20"/>
              </w:rPr>
              <w:t>2.1</w:t>
            </w:r>
            <w:r w:rsidRPr="00ED1534">
              <w:rPr>
                <w:rFonts w:cs="Arial"/>
                <w:sz w:val="20"/>
                <w:szCs w:val="20"/>
              </w:rPr>
              <w:tab/>
            </w:r>
            <w:r>
              <w:rPr>
                <w:rFonts w:cs="Arial"/>
                <w:sz w:val="20"/>
                <w:szCs w:val="20"/>
              </w:rPr>
              <w:t>Complete current review and undertake regular ongoing review of registration standards, codes and guidelines in conjunction with other relevant NRAS professions and ensure consistency of associated decision-making processes</w:t>
            </w:r>
          </w:p>
          <w:p w:rsidR="00D15CE0" w:rsidRDefault="00D15CE0" w:rsidP="00522375">
            <w:pPr>
              <w:spacing w:before="60" w:after="60"/>
              <w:ind w:left="449" w:hanging="449"/>
              <w:rPr>
                <w:rFonts w:cs="Arial"/>
                <w:sz w:val="20"/>
                <w:szCs w:val="20"/>
              </w:rPr>
            </w:pPr>
            <w:r w:rsidRPr="00ED1534">
              <w:rPr>
                <w:rFonts w:cs="Arial"/>
                <w:sz w:val="20"/>
                <w:szCs w:val="20"/>
              </w:rPr>
              <w:t>2.2</w:t>
            </w:r>
            <w:r w:rsidRPr="00ED1534">
              <w:rPr>
                <w:rFonts w:cs="Arial"/>
                <w:sz w:val="20"/>
                <w:szCs w:val="20"/>
              </w:rPr>
              <w:tab/>
            </w:r>
            <w:r>
              <w:rPr>
                <w:rFonts w:cs="Arial"/>
                <w:sz w:val="20"/>
                <w:szCs w:val="20"/>
              </w:rPr>
              <w:t>Influence the development of the multi-professional approach to supe</w:t>
            </w:r>
            <w:r w:rsidR="00B67A8C">
              <w:rPr>
                <w:rFonts w:cs="Arial"/>
                <w:sz w:val="20"/>
                <w:szCs w:val="20"/>
              </w:rPr>
              <w:t>rvision (supervision guidelines</w:t>
            </w:r>
            <w:r>
              <w:rPr>
                <w:rFonts w:cs="Arial"/>
                <w:sz w:val="20"/>
                <w:szCs w:val="20"/>
              </w:rPr>
              <w:t>)</w:t>
            </w:r>
            <w:r w:rsidR="00B67A8C">
              <w:rPr>
                <w:rFonts w:cs="Arial"/>
                <w:sz w:val="20"/>
                <w:szCs w:val="20"/>
              </w:rPr>
              <w:t xml:space="preserve"> </w:t>
            </w:r>
            <w:r>
              <w:rPr>
                <w:rFonts w:cs="Arial"/>
                <w:sz w:val="20"/>
                <w:szCs w:val="20"/>
              </w:rPr>
              <w:t>through increased understanding of:</w:t>
            </w:r>
          </w:p>
          <w:p w:rsidR="00D15CE0" w:rsidRPr="00B67A8C" w:rsidRDefault="00D15CE0" w:rsidP="008D1EC3">
            <w:pPr>
              <w:pStyle w:val="ListParagraph"/>
              <w:numPr>
                <w:ilvl w:val="2"/>
                <w:numId w:val="22"/>
              </w:numPr>
              <w:spacing w:before="60" w:after="60"/>
              <w:ind w:left="924" w:hanging="425"/>
              <w:rPr>
                <w:rFonts w:cs="Arial"/>
                <w:sz w:val="20"/>
                <w:szCs w:val="20"/>
              </w:rPr>
            </w:pPr>
            <w:r w:rsidRPr="00B67A8C">
              <w:rPr>
                <w:rFonts w:cs="Arial"/>
                <w:sz w:val="20"/>
                <w:szCs w:val="20"/>
              </w:rPr>
              <w:t>clarity of requirements</w:t>
            </w:r>
          </w:p>
          <w:p w:rsidR="00D15CE0" w:rsidRPr="00B67A8C" w:rsidRDefault="00D15CE0" w:rsidP="008D1EC3">
            <w:pPr>
              <w:pStyle w:val="ListParagraph"/>
              <w:numPr>
                <w:ilvl w:val="2"/>
                <w:numId w:val="22"/>
              </w:numPr>
              <w:spacing w:before="60" w:after="60"/>
              <w:ind w:left="924" w:hanging="425"/>
              <w:rPr>
                <w:rFonts w:cs="Arial"/>
                <w:sz w:val="20"/>
                <w:szCs w:val="20"/>
              </w:rPr>
            </w:pPr>
            <w:r w:rsidRPr="00B67A8C">
              <w:rPr>
                <w:rFonts w:cs="Arial"/>
                <w:sz w:val="20"/>
                <w:szCs w:val="20"/>
              </w:rPr>
              <w:t>where the problems are</w:t>
            </w:r>
          </w:p>
          <w:p w:rsidR="00D15CE0" w:rsidRPr="00ED1534" w:rsidRDefault="00D15CE0" w:rsidP="00522375">
            <w:pPr>
              <w:spacing w:before="60" w:after="60"/>
              <w:ind w:left="449" w:hanging="449"/>
              <w:rPr>
                <w:rFonts w:cs="Arial"/>
                <w:sz w:val="20"/>
                <w:szCs w:val="20"/>
              </w:rPr>
            </w:pPr>
            <w:r>
              <w:rPr>
                <w:rFonts w:cs="Arial"/>
                <w:sz w:val="20"/>
                <w:szCs w:val="20"/>
              </w:rPr>
              <w:t>2.3</w:t>
            </w:r>
            <w:r>
              <w:rPr>
                <w:rFonts w:cs="Arial"/>
                <w:sz w:val="20"/>
                <w:szCs w:val="20"/>
              </w:rPr>
              <w:tab/>
              <w:t>Continue to work closely with other boards, AHPRA and delegated authorities on multi-professional approaches to issues such as prescribing, endorsements, accreditation of programs of study and overseeing assessment of overseas trained practitioners.</w:t>
            </w:r>
          </w:p>
        </w:tc>
      </w:tr>
      <w:tr w:rsidR="00D15CE0" w:rsidRPr="00E57572" w:rsidTr="00D15CE0">
        <w:tc>
          <w:tcPr>
            <w:tcW w:w="2158" w:type="pct"/>
          </w:tcPr>
          <w:p w:rsidR="00D15CE0" w:rsidRPr="00CA6A71" w:rsidRDefault="00D15CE0" w:rsidP="008D1EC3">
            <w:pPr>
              <w:pStyle w:val="ListParagraph"/>
              <w:numPr>
                <w:ilvl w:val="0"/>
                <w:numId w:val="18"/>
              </w:numPr>
              <w:spacing w:before="60" w:after="60" w:line="276" w:lineRule="auto"/>
              <w:ind w:left="357" w:hanging="357"/>
              <w:contextualSpacing w:val="0"/>
              <w:rPr>
                <w:rFonts w:eastAsia="Times New Roman" w:cs="Arial"/>
                <w:kern w:val="24"/>
                <w:sz w:val="20"/>
                <w:szCs w:val="36"/>
              </w:rPr>
            </w:pPr>
            <w:r w:rsidRPr="00CA6A71">
              <w:rPr>
                <w:rFonts w:eastAsia="Times New Roman" w:cs="Arial"/>
                <w:kern w:val="24"/>
                <w:sz w:val="20"/>
                <w:szCs w:val="36"/>
                <w:lang w:eastAsia="en-AU"/>
              </w:rPr>
              <w:t xml:space="preserve">Increased public confidence in the effective and efficient regulation of health practitioners. </w:t>
            </w:r>
          </w:p>
        </w:tc>
        <w:tc>
          <w:tcPr>
            <w:tcW w:w="2842" w:type="pct"/>
            <w:shd w:val="clear" w:color="auto" w:fill="auto"/>
          </w:tcPr>
          <w:p w:rsidR="00D15CE0" w:rsidRDefault="00D15CE0" w:rsidP="00522375">
            <w:pPr>
              <w:spacing w:before="60" w:after="60"/>
              <w:ind w:left="449" w:hanging="449"/>
              <w:rPr>
                <w:rFonts w:cs="Arial"/>
                <w:sz w:val="20"/>
                <w:szCs w:val="20"/>
              </w:rPr>
            </w:pPr>
            <w:r>
              <w:rPr>
                <w:rFonts w:cs="Arial"/>
                <w:sz w:val="20"/>
                <w:szCs w:val="20"/>
              </w:rPr>
              <w:t>3.1</w:t>
            </w:r>
            <w:r>
              <w:rPr>
                <w:rFonts w:cs="Arial"/>
                <w:sz w:val="20"/>
                <w:szCs w:val="20"/>
              </w:rPr>
              <w:tab/>
              <w:t xml:space="preserve">Complete stakeholder mapping to develop, implement and evaluate an engagement framework using IAP2 model </w:t>
            </w:r>
            <w:r w:rsidRPr="0058161D">
              <w:rPr>
                <w:rFonts w:cs="Arial"/>
                <w:sz w:val="20"/>
                <w:szCs w:val="20"/>
              </w:rPr>
              <w:t>(external consultant for development component 2016)</w:t>
            </w:r>
          </w:p>
          <w:p w:rsidR="00D15CE0" w:rsidRDefault="00D15CE0" w:rsidP="00522375">
            <w:pPr>
              <w:spacing w:before="60" w:after="60"/>
              <w:ind w:left="449" w:hanging="449"/>
              <w:rPr>
                <w:rFonts w:cs="Arial"/>
                <w:sz w:val="20"/>
                <w:szCs w:val="20"/>
              </w:rPr>
            </w:pPr>
            <w:r>
              <w:rPr>
                <w:rFonts w:cs="Arial"/>
                <w:sz w:val="20"/>
                <w:szCs w:val="20"/>
              </w:rPr>
              <w:t>3.2</w:t>
            </w:r>
            <w:r>
              <w:rPr>
                <w:rFonts w:cs="Arial"/>
                <w:sz w:val="20"/>
                <w:szCs w:val="20"/>
              </w:rPr>
              <w:tab/>
              <w:t>Engage with stakeholders using cross-professional approaches, learning from and aligning with other approaches. The Board notes the cross professional approach to engage with consumers.</w:t>
            </w:r>
          </w:p>
          <w:p w:rsidR="00D15CE0" w:rsidRDefault="00D15CE0" w:rsidP="00522375">
            <w:pPr>
              <w:spacing w:before="60" w:after="60"/>
              <w:ind w:left="449" w:hanging="449"/>
              <w:rPr>
                <w:rFonts w:cs="Arial"/>
                <w:sz w:val="20"/>
                <w:szCs w:val="20"/>
              </w:rPr>
            </w:pPr>
            <w:r>
              <w:rPr>
                <w:rFonts w:cs="Arial"/>
                <w:sz w:val="20"/>
                <w:szCs w:val="20"/>
              </w:rPr>
              <w:t>3.3</w:t>
            </w:r>
            <w:r>
              <w:rPr>
                <w:rFonts w:cs="Arial"/>
                <w:sz w:val="20"/>
                <w:szCs w:val="20"/>
              </w:rPr>
              <w:tab/>
              <w:t>With respect to the changing environment, for example, the multi-professional approaches within the scheme, continue to monitor and review fees/equity position.</w:t>
            </w:r>
          </w:p>
          <w:p w:rsidR="00D15CE0" w:rsidRDefault="00D15CE0" w:rsidP="00522375">
            <w:pPr>
              <w:spacing w:before="60" w:after="60"/>
              <w:ind w:left="449" w:hanging="449"/>
              <w:rPr>
                <w:rFonts w:cs="Arial"/>
                <w:sz w:val="20"/>
                <w:szCs w:val="20"/>
              </w:rPr>
            </w:pPr>
            <w:r>
              <w:rPr>
                <w:rFonts w:cs="Arial"/>
                <w:sz w:val="20"/>
                <w:szCs w:val="20"/>
              </w:rPr>
              <w:t>3.4</w:t>
            </w:r>
            <w:r>
              <w:rPr>
                <w:rFonts w:cs="Arial"/>
                <w:sz w:val="20"/>
                <w:szCs w:val="20"/>
              </w:rPr>
              <w:tab/>
              <w:t>Identify research that informs the development of a communications strategy.</w:t>
            </w:r>
          </w:p>
          <w:p w:rsidR="00D15CE0" w:rsidRPr="00D254A5" w:rsidRDefault="00D15CE0" w:rsidP="00522375">
            <w:pPr>
              <w:spacing w:before="60" w:after="60"/>
              <w:ind w:left="449" w:hanging="449"/>
              <w:rPr>
                <w:rFonts w:cs="Arial"/>
                <w:sz w:val="20"/>
                <w:szCs w:val="20"/>
              </w:rPr>
            </w:pPr>
            <w:r>
              <w:rPr>
                <w:rFonts w:cs="Arial"/>
                <w:sz w:val="20"/>
                <w:szCs w:val="20"/>
              </w:rPr>
              <w:t>3.5</w:t>
            </w:r>
            <w:r>
              <w:rPr>
                <w:rFonts w:cs="Arial"/>
                <w:sz w:val="20"/>
                <w:szCs w:val="20"/>
              </w:rPr>
              <w:tab/>
              <w:t>Develop a strategic approach to assessing requests from sDARC, including for use of the registrant newsletter to publicise research (CIC)</w:t>
            </w:r>
          </w:p>
        </w:tc>
      </w:tr>
      <w:tr w:rsidR="00D15CE0" w:rsidRPr="00E57572" w:rsidTr="00D15CE0">
        <w:tc>
          <w:tcPr>
            <w:tcW w:w="2158" w:type="pct"/>
          </w:tcPr>
          <w:p w:rsidR="00D15CE0" w:rsidRPr="00CA6A71" w:rsidRDefault="00D15CE0" w:rsidP="008D1EC3">
            <w:pPr>
              <w:pStyle w:val="ListParagraph"/>
              <w:numPr>
                <w:ilvl w:val="0"/>
                <w:numId w:val="18"/>
              </w:numPr>
              <w:spacing w:before="60" w:after="60" w:line="276" w:lineRule="auto"/>
              <w:ind w:left="357" w:hanging="357"/>
              <w:contextualSpacing w:val="0"/>
              <w:rPr>
                <w:rFonts w:eastAsia="Times New Roman" w:cs="Arial"/>
                <w:kern w:val="24"/>
                <w:sz w:val="20"/>
                <w:szCs w:val="36"/>
              </w:rPr>
            </w:pPr>
            <w:r w:rsidRPr="00CA6A71">
              <w:rPr>
                <w:rFonts w:eastAsia="Times New Roman" w:cs="Arial"/>
                <w:kern w:val="24"/>
                <w:sz w:val="20"/>
                <w:szCs w:val="36"/>
                <w:lang w:eastAsia="en-AU"/>
              </w:rPr>
              <w:t xml:space="preserve">Increased public benefit from the use of our data for practitioner </w:t>
            </w:r>
            <w:r w:rsidRPr="00CA6A71">
              <w:rPr>
                <w:rFonts w:eastAsia="Times New Roman" w:cs="Arial"/>
                <w:kern w:val="24"/>
                <w:sz w:val="20"/>
                <w:szCs w:val="36"/>
                <w:lang w:eastAsia="en-AU"/>
              </w:rPr>
              <w:lastRenderedPageBreak/>
              <w:t xml:space="preserve">regulation, health workforce planning and research. </w:t>
            </w:r>
          </w:p>
        </w:tc>
        <w:tc>
          <w:tcPr>
            <w:tcW w:w="2842" w:type="pct"/>
            <w:shd w:val="clear" w:color="auto" w:fill="auto"/>
          </w:tcPr>
          <w:p w:rsidR="00D15CE0" w:rsidRPr="00ED1534" w:rsidRDefault="00D15CE0" w:rsidP="00522375">
            <w:pPr>
              <w:spacing w:before="60" w:after="60"/>
              <w:ind w:left="449" w:hanging="449"/>
              <w:rPr>
                <w:rFonts w:cs="Arial"/>
                <w:sz w:val="20"/>
                <w:szCs w:val="20"/>
              </w:rPr>
            </w:pPr>
            <w:r w:rsidRPr="00ED1534">
              <w:rPr>
                <w:rFonts w:cs="Arial"/>
                <w:sz w:val="20"/>
                <w:szCs w:val="20"/>
              </w:rPr>
              <w:lastRenderedPageBreak/>
              <w:t>4.1</w:t>
            </w:r>
            <w:r w:rsidRPr="00ED1534">
              <w:rPr>
                <w:rFonts w:cs="Arial"/>
                <w:sz w:val="20"/>
                <w:szCs w:val="20"/>
              </w:rPr>
              <w:tab/>
            </w:r>
            <w:r>
              <w:rPr>
                <w:rFonts w:cs="Arial"/>
                <w:sz w:val="20"/>
                <w:szCs w:val="20"/>
              </w:rPr>
              <w:t>Provide strategic guidance to the Board’s working groups about its expectations including desired outcomes.</w:t>
            </w:r>
          </w:p>
          <w:p w:rsidR="00D15CE0" w:rsidRDefault="00D15CE0" w:rsidP="00522375">
            <w:pPr>
              <w:spacing w:before="60" w:after="60"/>
              <w:ind w:left="449" w:hanging="449"/>
              <w:rPr>
                <w:rFonts w:cs="Arial"/>
                <w:sz w:val="20"/>
                <w:szCs w:val="20"/>
              </w:rPr>
            </w:pPr>
            <w:r w:rsidRPr="00ED1534">
              <w:rPr>
                <w:rFonts w:cs="Arial"/>
                <w:sz w:val="20"/>
                <w:szCs w:val="20"/>
              </w:rPr>
              <w:lastRenderedPageBreak/>
              <w:t>4.2</w:t>
            </w:r>
            <w:r w:rsidRPr="00ED1534">
              <w:rPr>
                <w:rFonts w:cs="Arial"/>
                <w:sz w:val="20"/>
                <w:szCs w:val="20"/>
              </w:rPr>
              <w:tab/>
            </w:r>
            <w:r>
              <w:rPr>
                <w:rFonts w:cs="Arial"/>
                <w:sz w:val="20"/>
                <w:szCs w:val="20"/>
              </w:rPr>
              <w:t>Promote a culture of evaluation and incorporate measurement in all activities (including a reflection item on ‘value add’ to each board agenda)</w:t>
            </w:r>
          </w:p>
          <w:p w:rsidR="00D15CE0" w:rsidRDefault="00D15CE0" w:rsidP="00522375">
            <w:pPr>
              <w:spacing w:before="60" w:after="60"/>
              <w:ind w:left="449" w:hanging="449"/>
              <w:rPr>
                <w:rFonts w:cs="Arial"/>
                <w:sz w:val="20"/>
                <w:szCs w:val="20"/>
              </w:rPr>
            </w:pPr>
            <w:r>
              <w:rPr>
                <w:rFonts w:cs="Arial"/>
                <w:sz w:val="20"/>
                <w:szCs w:val="20"/>
              </w:rPr>
              <w:t>4.3</w:t>
            </w:r>
            <w:r>
              <w:rPr>
                <w:rFonts w:cs="Arial"/>
                <w:sz w:val="20"/>
                <w:szCs w:val="20"/>
              </w:rPr>
              <w:tab/>
              <w:t>Continue to disseminate regular registrant newsletters distributed via established AHPRA process, in alignment with stakeholder engagement framework.</w:t>
            </w:r>
          </w:p>
          <w:p w:rsidR="00D15CE0" w:rsidRPr="00BE0C2C" w:rsidRDefault="00D15CE0" w:rsidP="00522375">
            <w:pPr>
              <w:spacing w:before="60" w:after="60"/>
              <w:ind w:left="449" w:hanging="449"/>
              <w:rPr>
                <w:rFonts w:cs="Arial"/>
                <w:sz w:val="20"/>
                <w:szCs w:val="20"/>
              </w:rPr>
            </w:pPr>
            <w:r>
              <w:rPr>
                <w:rFonts w:cs="Arial"/>
                <w:sz w:val="20"/>
                <w:szCs w:val="20"/>
              </w:rPr>
              <w:t>4.4</w:t>
            </w:r>
            <w:r>
              <w:rPr>
                <w:rFonts w:cs="Arial"/>
                <w:sz w:val="20"/>
                <w:szCs w:val="20"/>
              </w:rPr>
              <w:tab/>
            </w:r>
            <w:r>
              <w:rPr>
                <w:rFonts w:eastAsia="Arial Unicode MS" w:cs="Arial"/>
                <w:sz w:val="20"/>
                <w:szCs w:val="20"/>
              </w:rPr>
              <w:t>Undertake regular meetings with key stakeholders as per the following schedule</w:t>
            </w:r>
          </w:p>
          <w:p w:rsidR="00D15CE0" w:rsidRPr="00BE0C2C" w:rsidRDefault="00D15CE0" w:rsidP="008D1EC3">
            <w:pPr>
              <w:pStyle w:val="ListParagraph"/>
              <w:numPr>
                <w:ilvl w:val="0"/>
                <w:numId w:val="20"/>
              </w:numPr>
              <w:spacing w:after="0"/>
              <w:ind w:left="924" w:hanging="425"/>
              <w:contextualSpacing w:val="0"/>
              <w:rPr>
                <w:rFonts w:cs="Arial"/>
                <w:sz w:val="20"/>
                <w:szCs w:val="20"/>
              </w:rPr>
            </w:pPr>
            <w:r w:rsidRPr="00BE0C2C">
              <w:rPr>
                <w:rFonts w:eastAsia="Arial Unicode MS" w:cs="Arial"/>
                <w:sz w:val="20"/>
                <w:szCs w:val="20"/>
              </w:rPr>
              <w:t>Participate in ‘think tank’ with APC, APA, CPDANZ, PhysioNZ and PhysioBNZ (annual)</w:t>
            </w:r>
          </w:p>
          <w:p w:rsidR="00D15CE0" w:rsidRDefault="00D15CE0" w:rsidP="008D1EC3">
            <w:pPr>
              <w:pStyle w:val="ListParagraph"/>
              <w:numPr>
                <w:ilvl w:val="0"/>
                <w:numId w:val="20"/>
              </w:numPr>
              <w:spacing w:after="0"/>
              <w:ind w:left="924" w:hanging="425"/>
              <w:contextualSpacing w:val="0"/>
              <w:rPr>
                <w:rFonts w:cs="Arial"/>
                <w:sz w:val="20"/>
                <w:szCs w:val="20"/>
              </w:rPr>
            </w:pPr>
            <w:r>
              <w:rPr>
                <w:rFonts w:cs="Arial"/>
                <w:sz w:val="20"/>
                <w:szCs w:val="20"/>
              </w:rPr>
              <w:t>Meet with APC (every three months)</w:t>
            </w:r>
          </w:p>
          <w:p w:rsidR="00D15CE0" w:rsidRDefault="00D15CE0" w:rsidP="008D1EC3">
            <w:pPr>
              <w:pStyle w:val="ListParagraph"/>
              <w:numPr>
                <w:ilvl w:val="0"/>
                <w:numId w:val="20"/>
              </w:numPr>
              <w:spacing w:after="0"/>
              <w:ind w:left="924" w:hanging="425"/>
              <w:contextualSpacing w:val="0"/>
              <w:rPr>
                <w:rFonts w:cs="Arial"/>
                <w:sz w:val="20"/>
                <w:szCs w:val="20"/>
              </w:rPr>
            </w:pPr>
            <w:r>
              <w:rPr>
                <w:rFonts w:cs="Arial"/>
                <w:sz w:val="20"/>
                <w:szCs w:val="20"/>
              </w:rPr>
              <w:t>Conversation between Chair PhysioBA and APC Chair (every two months)</w:t>
            </w:r>
          </w:p>
          <w:p w:rsidR="00D15CE0" w:rsidRDefault="00D15CE0" w:rsidP="008D1EC3">
            <w:pPr>
              <w:pStyle w:val="ListParagraph"/>
              <w:numPr>
                <w:ilvl w:val="0"/>
                <w:numId w:val="20"/>
              </w:numPr>
              <w:spacing w:after="0"/>
              <w:ind w:left="924" w:hanging="425"/>
              <w:contextualSpacing w:val="0"/>
              <w:rPr>
                <w:rFonts w:cs="Arial"/>
                <w:sz w:val="20"/>
                <w:szCs w:val="20"/>
              </w:rPr>
            </w:pPr>
            <w:r>
              <w:rPr>
                <w:rFonts w:cs="Arial"/>
                <w:sz w:val="20"/>
                <w:szCs w:val="20"/>
              </w:rPr>
              <w:t>Meet with CPDANZ (twice a year)</w:t>
            </w:r>
          </w:p>
          <w:p w:rsidR="00D15CE0" w:rsidRDefault="00D15CE0" w:rsidP="008D1EC3">
            <w:pPr>
              <w:pStyle w:val="ListParagraph"/>
              <w:numPr>
                <w:ilvl w:val="0"/>
                <w:numId w:val="20"/>
              </w:numPr>
              <w:spacing w:after="0"/>
              <w:ind w:left="924" w:hanging="425"/>
              <w:contextualSpacing w:val="0"/>
              <w:rPr>
                <w:rFonts w:cs="Arial"/>
                <w:sz w:val="20"/>
                <w:szCs w:val="20"/>
              </w:rPr>
            </w:pPr>
            <w:r>
              <w:rPr>
                <w:rFonts w:cs="Arial"/>
                <w:sz w:val="20"/>
                <w:szCs w:val="20"/>
              </w:rPr>
              <w:t>Representation on INPTRA</w:t>
            </w:r>
          </w:p>
          <w:p w:rsidR="00D15CE0" w:rsidRDefault="00D15CE0" w:rsidP="008D1EC3">
            <w:pPr>
              <w:pStyle w:val="ListParagraph"/>
              <w:numPr>
                <w:ilvl w:val="0"/>
                <w:numId w:val="20"/>
              </w:numPr>
              <w:spacing w:after="0"/>
              <w:ind w:left="924" w:hanging="425"/>
              <w:contextualSpacing w:val="0"/>
              <w:rPr>
                <w:rFonts w:cs="Arial"/>
                <w:sz w:val="20"/>
                <w:szCs w:val="20"/>
              </w:rPr>
            </w:pPr>
            <w:r w:rsidRPr="0075551D">
              <w:rPr>
                <w:rFonts w:cs="Arial"/>
                <w:sz w:val="20"/>
                <w:szCs w:val="20"/>
              </w:rPr>
              <w:t>Meet with Physiotherapy Council of NSW (quarterly)</w:t>
            </w:r>
          </w:p>
          <w:p w:rsidR="00D15CE0" w:rsidRPr="0075551D" w:rsidRDefault="00D15CE0" w:rsidP="00522375">
            <w:pPr>
              <w:spacing w:before="60" w:after="60"/>
              <w:ind w:left="449" w:hanging="449"/>
              <w:rPr>
                <w:rFonts w:cs="Arial"/>
                <w:sz w:val="20"/>
                <w:szCs w:val="20"/>
              </w:rPr>
            </w:pPr>
            <w:r>
              <w:rPr>
                <w:rFonts w:cs="Arial"/>
                <w:sz w:val="20"/>
                <w:szCs w:val="20"/>
              </w:rPr>
              <w:t>4.5</w:t>
            </w:r>
            <w:r>
              <w:rPr>
                <w:rFonts w:cs="Arial"/>
                <w:sz w:val="20"/>
                <w:szCs w:val="20"/>
              </w:rPr>
              <w:tab/>
              <w:t>Provide input to quarterly review with AHPRA and receive feedback via Chair</w:t>
            </w:r>
          </w:p>
        </w:tc>
      </w:tr>
      <w:tr w:rsidR="00D15CE0" w:rsidRPr="00E57572" w:rsidTr="00D15CE0">
        <w:tc>
          <w:tcPr>
            <w:tcW w:w="2158" w:type="pct"/>
          </w:tcPr>
          <w:p w:rsidR="00D15CE0" w:rsidRPr="00CA6A71" w:rsidRDefault="00D15CE0" w:rsidP="008D1EC3">
            <w:pPr>
              <w:pStyle w:val="ListParagraph"/>
              <w:numPr>
                <w:ilvl w:val="0"/>
                <w:numId w:val="18"/>
              </w:numPr>
              <w:spacing w:before="60" w:after="60" w:line="276" w:lineRule="auto"/>
              <w:ind w:left="357" w:hanging="357"/>
              <w:contextualSpacing w:val="0"/>
              <w:rPr>
                <w:rFonts w:eastAsia="Times New Roman" w:cs="Arial"/>
                <w:kern w:val="24"/>
                <w:sz w:val="20"/>
                <w:szCs w:val="36"/>
              </w:rPr>
            </w:pPr>
            <w:r w:rsidRPr="00CA6A71">
              <w:rPr>
                <w:rFonts w:eastAsia="Times New Roman" w:cs="Arial"/>
                <w:kern w:val="24"/>
                <w:sz w:val="20"/>
                <w:szCs w:val="36"/>
                <w:lang w:eastAsia="en-AU"/>
              </w:rPr>
              <w:lastRenderedPageBreak/>
              <w:t>Improved access to health care through our contribution to a more sustainable health workforce.</w:t>
            </w:r>
          </w:p>
        </w:tc>
        <w:tc>
          <w:tcPr>
            <w:tcW w:w="2842" w:type="pct"/>
            <w:shd w:val="clear" w:color="auto" w:fill="auto"/>
          </w:tcPr>
          <w:p w:rsidR="00D15CE0" w:rsidRPr="005E4F2E" w:rsidRDefault="00D15CE0" w:rsidP="00522375">
            <w:pPr>
              <w:spacing w:before="60" w:after="60"/>
              <w:ind w:left="449" w:hanging="449"/>
              <w:rPr>
                <w:rFonts w:cs="Arial"/>
                <w:sz w:val="20"/>
                <w:szCs w:val="20"/>
              </w:rPr>
            </w:pPr>
            <w:r w:rsidRPr="00ED1534">
              <w:rPr>
                <w:rFonts w:cs="Arial"/>
                <w:sz w:val="20"/>
                <w:szCs w:val="20"/>
              </w:rPr>
              <w:t>5.1</w:t>
            </w:r>
            <w:r w:rsidRPr="00ED1534">
              <w:rPr>
                <w:rFonts w:cs="Arial"/>
                <w:sz w:val="20"/>
                <w:szCs w:val="20"/>
              </w:rPr>
              <w:tab/>
            </w:r>
            <w:r w:rsidRPr="005E4F2E">
              <w:rPr>
                <w:rFonts w:cs="Arial"/>
                <w:sz w:val="20"/>
                <w:szCs w:val="20"/>
              </w:rPr>
              <w:t>Analyse workforce data to deepen understanding of current trends and future issues, considering</w:t>
            </w:r>
          </w:p>
          <w:p w:rsidR="00D15CE0" w:rsidRDefault="00D15CE0" w:rsidP="008D1EC3">
            <w:pPr>
              <w:pStyle w:val="ListParagraph"/>
              <w:numPr>
                <w:ilvl w:val="0"/>
                <w:numId w:val="21"/>
              </w:numPr>
              <w:spacing w:after="0"/>
              <w:ind w:left="924" w:hanging="425"/>
              <w:contextualSpacing w:val="0"/>
              <w:rPr>
                <w:rFonts w:cs="Arial"/>
                <w:sz w:val="20"/>
                <w:szCs w:val="20"/>
              </w:rPr>
            </w:pPr>
            <w:r w:rsidRPr="005E4F2E">
              <w:rPr>
                <w:rFonts w:cs="Arial"/>
                <w:sz w:val="20"/>
                <w:szCs w:val="20"/>
              </w:rPr>
              <w:t>What are the gaps in the profession?</w:t>
            </w:r>
          </w:p>
          <w:p w:rsidR="00D15CE0" w:rsidRDefault="00D15CE0" w:rsidP="008D1EC3">
            <w:pPr>
              <w:pStyle w:val="ListParagraph"/>
              <w:numPr>
                <w:ilvl w:val="0"/>
                <w:numId w:val="21"/>
              </w:numPr>
              <w:spacing w:after="0"/>
              <w:ind w:left="924" w:hanging="425"/>
              <w:contextualSpacing w:val="0"/>
              <w:rPr>
                <w:rFonts w:cs="Arial"/>
                <w:sz w:val="20"/>
                <w:szCs w:val="20"/>
              </w:rPr>
            </w:pPr>
            <w:r w:rsidRPr="005E4F2E">
              <w:rPr>
                <w:rFonts w:cs="Arial"/>
                <w:sz w:val="20"/>
                <w:szCs w:val="20"/>
              </w:rPr>
              <w:t>Are graduates continuing in the profession?</w:t>
            </w:r>
          </w:p>
          <w:p w:rsidR="00D15CE0" w:rsidRDefault="00D15CE0" w:rsidP="008D1EC3">
            <w:pPr>
              <w:pStyle w:val="ListParagraph"/>
              <w:numPr>
                <w:ilvl w:val="0"/>
                <w:numId w:val="21"/>
              </w:numPr>
              <w:spacing w:after="0"/>
              <w:ind w:left="924" w:hanging="425"/>
              <w:contextualSpacing w:val="0"/>
              <w:rPr>
                <w:rFonts w:cs="Arial"/>
                <w:sz w:val="20"/>
                <w:szCs w:val="20"/>
              </w:rPr>
            </w:pPr>
            <w:r w:rsidRPr="005E4F2E">
              <w:rPr>
                <w:rFonts w:cs="Arial"/>
                <w:sz w:val="20"/>
                <w:szCs w:val="20"/>
              </w:rPr>
              <w:t>Demographic mix/ full time or part time?</w:t>
            </w:r>
          </w:p>
          <w:p w:rsidR="00D15CE0" w:rsidRPr="008D1EC3" w:rsidRDefault="008D1EC3" w:rsidP="008D1EC3">
            <w:pPr>
              <w:spacing w:before="60" w:after="60"/>
              <w:ind w:left="425" w:hanging="425"/>
              <w:rPr>
                <w:rFonts w:cs="Arial"/>
                <w:sz w:val="20"/>
                <w:szCs w:val="20"/>
              </w:rPr>
            </w:pPr>
            <w:r>
              <w:rPr>
                <w:rFonts w:cs="Arial"/>
                <w:sz w:val="20"/>
                <w:szCs w:val="20"/>
              </w:rPr>
              <w:t>5.2</w:t>
            </w:r>
            <w:r>
              <w:rPr>
                <w:rFonts w:cs="Arial"/>
                <w:sz w:val="20"/>
                <w:szCs w:val="20"/>
              </w:rPr>
              <w:tab/>
            </w:r>
            <w:r w:rsidR="00D15CE0" w:rsidRPr="008D1EC3">
              <w:rPr>
                <w:rFonts w:cs="Arial"/>
                <w:sz w:val="20"/>
                <w:szCs w:val="20"/>
              </w:rPr>
              <w:t>Review questions asked in the renewal survey and explore opportunities for additional questions</w:t>
            </w:r>
          </w:p>
          <w:p w:rsidR="00D15CE0" w:rsidRPr="008D1EC3" w:rsidRDefault="008D1EC3" w:rsidP="008D1EC3">
            <w:pPr>
              <w:spacing w:before="60" w:after="60"/>
              <w:ind w:left="425" w:hanging="425"/>
              <w:rPr>
                <w:rFonts w:cs="Arial"/>
                <w:sz w:val="20"/>
                <w:szCs w:val="20"/>
              </w:rPr>
            </w:pPr>
            <w:r>
              <w:rPr>
                <w:rFonts w:cs="Arial"/>
                <w:sz w:val="20"/>
                <w:szCs w:val="20"/>
              </w:rPr>
              <w:t>5.3</w:t>
            </w:r>
            <w:r>
              <w:rPr>
                <w:rFonts w:cs="Arial"/>
                <w:sz w:val="20"/>
                <w:szCs w:val="20"/>
              </w:rPr>
              <w:tab/>
            </w:r>
            <w:r w:rsidR="00D15CE0" w:rsidRPr="008D1EC3">
              <w:rPr>
                <w:rFonts w:cs="Arial"/>
                <w:sz w:val="20"/>
                <w:szCs w:val="20"/>
              </w:rPr>
              <w:t>Develop options and, subject to further information and review (by way of a prescribing project), implement the process for a submission to Ministerial Council for approval of endorsement for prescribing scheduled medicines (external consultant)</w:t>
            </w:r>
          </w:p>
          <w:p w:rsidR="00D15CE0" w:rsidRPr="008D1EC3" w:rsidRDefault="00D15CE0" w:rsidP="008D1EC3">
            <w:pPr>
              <w:pStyle w:val="ListParagraph"/>
              <w:numPr>
                <w:ilvl w:val="1"/>
                <w:numId w:val="23"/>
              </w:numPr>
              <w:spacing w:before="60" w:after="60"/>
              <w:ind w:left="425" w:hanging="425"/>
              <w:rPr>
                <w:rFonts w:cs="Arial"/>
                <w:sz w:val="20"/>
                <w:szCs w:val="20"/>
              </w:rPr>
            </w:pPr>
            <w:r w:rsidRPr="008D1EC3">
              <w:rPr>
                <w:rFonts w:cs="Arial"/>
                <w:sz w:val="20"/>
                <w:szCs w:val="20"/>
              </w:rPr>
              <w:t>Engage on a cross-professional perspective through the Forum of Chairs.</w:t>
            </w:r>
          </w:p>
          <w:p w:rsidR="00D15CE0" w:rsidRPr="008D1EC3" w:rsidRDefault="00D15CE0" w:rsidP="008D1EC3">
            <w:pPr>
              <w:pStyle w:val="ListParagraph"/>
              <w:numPr>
                <w:ilvl w:val="1"/>
                <w:numId w:val="23"/>
              </w:numPr>
              <w:spacing w:before="60" w:after="60"/>
              <w:ind w:left="425" w:hanging="425"/>
              <w:rPr>
                <w:rFonts w:cs="Arial"/>
                <w:sz w:val="20"/>
                <w:szCs w:val="20"/>
              </w:rPr>
            </w:pPr>
            <w:r w:rsidRPr="008D1EC3">
              <w:rPr>
                <w:rFonts w:cs="Arial"/>
                <w:sz w:val="20"/>
                <w:szCs w:val="20"/>
              </w:rPr>
              <w:t>Continue to collaborate with AHPRA, APA, APC, AHMAC and state/territory health departments regarding potential areas for development of regulatory solutions to facilitate access, as well as workforce development and innovation, including advanced practice initiatives</w:t>
            </w:r>
          </w:p>
        </w:tc>
      </w:tr>
    </w:tbl>
    <w:p w:rsidR="00D15CE0" w:rsidRPr="00D15CE0" w:rsidRDefault="00D15CE0" w:rsidP="00D15CE0">
      <w:pPr>
        <w:sectPr w:rsidR="00D15CE0" w:rsidRPr="00D15CE0" w:rsidSect="00363196">
          <w:pgSz w:w="11900" w:h="16840"/>
          <w:pgMar w:top="1440" w:right="1440" w:bottom="1440" w:left="1440" w:header="284" w:footer="686" w:gutter="0"/>
          <w:cols w:space="708"/>
          <w:titlePg/>
          <w:docGrid w:linePitch="326"/>
        </w:sectPr>
      </w:pPr>
    </w:p>
    <w:p w:rsidR="009A2AF2" w:rsidRPr="00363196" w:rsidRDefault="009A2AF2" w:rsidP="007C7B7F">
      <w:pPr>
        <w:pStyle w:val="AHPRADocumentsubheading"/>
      </w:pPr>
      <w:r w:rsidRPr="00363196">
        <w:lastRenderedPageBreak/>
        <w:t>Schedule 3: Fees payable by health practitioners</w:t>
      </w:r>
    </w:p>
    <w:p w:rsidR="009A2AF2" w:rsidRPr="00363196" w:rsidRDefault="00B67A8C" w:rsidP="00363196">
      <w:pPr>
        <w:pStyle w:val="Default"/>
        <w:contextualSpacing/>
        <w:rPr>
          <w:b/>
          <w:color w:val="007DC3"/>
          <w:sz w:val="20"/>
        </w:rPr>
      </w:pPr>
      <w:r>
        <w:rPr>
          <w:b/>
          <w:color w:val="007DC3"/>
          <w:sz w:val="20"/>
        </w:rPr>
        <w:t>Physiotherapy</w:t>
      </w:r>
      <w:r w:rsidRPr="00363196">
        <w:rPr>
          <w:b/>
          <w:color w:val="007DC3"/>
          <w:sz w:val="20"/>
        </w:rPr>
        <w:t xml:space="preserve"> Board </w:t>
      </w:r>
      <w:r>
        <w:rPr>
          <w:b/>
          <w:color w:val="007DC3"/>
          <w:sz w:val="20"/>
        </w:rPr>
        <w:t>o</w:t>
      </w:r>
      <w:r w:rsidRPr="00363196">
        <w:rPr>
          <w:b/>
          <w:color w:val="007DC3"/>
          <w:sz w:val="20"/>
        </w:rPr>
        <w:t>f Australia</w:t>
      </w:r>
    </w:p>
    <w:tbl>
      <w:tblPr>
        <w:tblW w:w="14850" w:type="dxa"/>
        <w:tblLook w:val="04A0" w:firstRow="1" w:lastRow="0" w:firstColumn="1" w:lastColumn="0" w:noHBand="0" w:noVBand="1"/>
      </w:tblPr>
      <w:tblGrid>
        <w:gridCol w:w="2773"/>
        <w:gridCol w:w="597"/>
        <w:gridCol w:w="991"/>
        <w:gridCol w:w="877"/>
        <w:gridCol w:w="1257"/>
        <w:gridCol w:w="313"/>
        <w:gridCol w:w="790"/>
        <w:gridCol w:w="876"/>
        <w:gridCol w:w="789"/>
        <w:gridCol w:w="877"/>
        <w:gridCol w:w="877"/>
        <w:gridCol w:w="856"/>
        <w:gridCol w:w="876"/>
        <w:gridCol w:w="789"/>
        <w:gridCol w:w="1312"/>
      </w:tblGrid>
      <w:tr w:rsidR="00361523" w:rsidRPr="00361523" w:rsidTr="00230AC8">
        <w:trPr>
          <w:trHeight w:val="330"/>
        </w:trPr>
        <w:tc>
          <w:tcPr>
            <w:tcW w:w="2773" w:type="dxa"/>
            <w:tcBorders>
              <w:top w:val="nil"/>
              <w:left w:val="nil"/>
              <w:bottom w:val="nil"/>
              <w:right w:val="nil"/>
            </w:tcBorders>
            <w:shd w:val="clear" w:color="auto" w:fill="auto"/>
            <w:noWrap/>
            <w:vAlign w:val="bottom"/>
          </w:tcPr>
          <w:p w:rsidR="00361523" w:rsidRPr="00361523" w:rsidRDefault="00361523" w:rsidP="00361523">
            <w:pPr>
              <w:spacing w:before="60" w:after="60"/>
              <w:rPr>
                <w:rFonts w:eastAsia="Times New Roman" w:cs="Arial"/>
                <w:b/>
                <w:bCs/>
                <w:color w:val="000000"/>
                <w:sz w:val="18"/>
                <w:szCs w:val="18"/>
                <w:lang w:val="en-US"/>
              </w:rPr>
            </w:pPr>
          </w:p>
        </w:tc>
        <w:tc>
          <w:tcPr>
            <w:tcW w:w="597" w:type="dxa"/>
            <w:tcBorders>
              <w:top w:val="nil"/>
              <w:left w:val="nil"/>
              <w:bottom w:val="nil"/>
              <w:right w:val="nil"/>
            </w:tcBorders>
            <w:shd w:val="clear" w:color="auto" w:fill="auto"/>
            <w:noWrap/>
            <w:vAlign w:val="bottom"/>
            <w:hideMark/>
          </w:tcPr>
          <w:p w:rsidR="00361523" w:rsidRPr="00361523" w:rsidRDefault="00361523" w:rsidP="00361523">
            <w:pPr>
              <w:spacing w:before="60" w:after="60"/>
              <w:rPr>
                <w:rFonts w:eastAsia="Times New Roman" w:cs="Arial"/>
                <w:b/>
                <w:bCs/>
                <w:color w:val="000000"/>
                <w:sz w:val="18"/>
                <w:szCs w:val="18"/>
                <w:lang w:val="en-US"/>
              </w:rPr>
            </w:pPr>
          </w:p>
        </w:tc>
        <w:tc>
          <w:tcPr>
            <w:tcW w:w="3125" w:type="dxa"/>
            <w:gridSpan w:val="3"/>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National Fee</w:t>
            </w:r>
          </w:p>
        </w:tc>
        <w:tc>
          <w:tcPr>
            <w:tcW w:w="313"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p>
        </w:tc>
        <w:tc>
          <w:tcPr>
            <w:tcW w:w="6730" w:type="dxa"/>
            <w:gridSpan w:val="8"/>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NSW Fee</w:t>
            </w:r>
          </w:p>
        </w:tc>
        <w:tc>
          <w:tcPr>
            <w:tcW w:w="1312" w:type="dxa"/>
            <w:tcBorders>
              <w:top w:val="nil"/>
              <w:left w:val="nil"/>
              <w:bottom w:val="nil"/>
              <w:right w:val="nil"/>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p>
        </w:tc>
      </w:tr>
      <w:tr w:rsidR="00D15CE0" w:rsidRPr="00361523" w:rsidTr="00230AC8">
        <w:trPr>
          <w:trHeight w:val="315"/>
        </w:trPr>
        <w:tc>
          <w:tcPr>
            <w:tcW w:w="2773" w:type="dxa"/>
            <w:tcBorders>
              <w:top w:val="nil"/>
              <w:left w:val="nil"/>
              <w:bottom w:val="nil"/>
              <w:right w:val="nil"/>
            </w:tcBorders>
            <w:shd w:val="clear" w:color="auto" w:fill="auto"/>
            <w:noWrap/>
            <w:vAlign w:val="bottom"/>
            <w:hideMark/>
          </w:tcPr>
          <w:p w:rsidR="00361523" w:rsidRPr="00361523" w:rsidRDefault="00361523" w:rsidP="00361523">
            <w:pPr>
              <w:spacing w:before="60" w:after="60"/>
              <w:rPr>
                <w:rFonts w:eastAsia="Times New Roman" w:cs="Arial"/>
                <w:b/>
                <w:bCs/>
                <w:color w:val="000000"/>
                <w:sz w:val="18"/>
                <w:szCs w:val="18"/>
                <w:lang w:val="en-US"/>
              </w:rPr>
            </w:pPr>
            <w:r w:rsidRPr="00361523">
              <w:rPr>
                <w:rFonts w:eastAsia="Times New Roman" w:cs="Arial"/>
                <w:b/>
                <w:bCs/>
                <w:color w:val="000000"/>
                <w:sz w:val="18"/>
                <w:szCs w:val="18"/>
                <w:lang w:val="en-US"/>
              </w:rPr>
              <w:t>Registration type</w:t>
            </w:r>
          </w:p>
        </w:tc>
        <w:tc>
          <w:tcPr>
            <w:tcW w:w="597" w:type="dxa"/>
            <w:tcBorders>
              <w:top w:val="nil"/>
              <w:left w:val="nil"/>
              <w:bottom w:val="nil"/>
              <w:right w:val="nil"/>
            </w:tcBorders>
            <w:shd w:val="clear" w:color="auto" w:fill="auto"/>
            <w:noWrap/>
            <w:vAlign w:val="bottom"/>
            <w:hideMark/>
          </w:tcPr>
          <w:p w:rsidR="00361523" w:rsidRPr="00361523" w:rsidRDefault="00361523" w:rsidP="00361523">
            <w:pPr>
              <w:spacing w:before="60" w:after="60"/>
              <w:rPr>
                <w:rFonts w:eastAsia="Times New Roman" w:cs="Arial"/>
                <w:b/>
                <w:bCs/>
                <w:color w:val="000000"/>
                <w:sz w:val="18"/>
                <w:szCs w:val="18"/>
                <w:lang w:val="en-US"/>
              </w:rPr>
            </w:pPr>
          </w:p>
        </w:tc>
        <w:tc>
          <w:tcPr>
            <w:tcW w:w="991" w:type="dxa"/>
            <w:tcBorders>
              <w:top w:val="single" w:sz="8" w:space="0" w:color="auto"/>
              <w:left w:val="single" w:sz="8" w:space="0" w:color="auto"/>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2015-16</w:t>
            </w:r>
          </w:p>
        </w:tc>
        <w:tc>
          <w:tcPr>
            <w:tcW w:w="877" w:type="dxa"/>
            <w:tcBorders>
              <w:top w:val="single" w:sz="8" w:space="0" w:color="auto"/>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Change</w:t>
            </w:r>
          </w:p>
        </w:tc>
        <w:tc>
          <w:tcPr>
            <w:tcW w:w="1257" w:type="dxa"/>
            <w:tcBorders>
              <w:top w:val="single" w:sz="8" w:space="0" w:color="auto"/>
              <w:left w:val="nil"/>
              <w:bottom w:val="nil"/>
              <w:right w:val="single" w:sz="8" w:space="0" w:color="auto"/>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2016-17</w:t>
            </w:r>
          </w:p>
        </w:tc>
        <w:tc>
          <w:tcPr>
            <w:tcW w:w="313"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p>
        </w:tc>
        <w:tc>
          <w:tcPr>
            <w:tcW w:w="2455" w:type="dxa"/>
            <w:gridSpan w:val="3"/>
            <w:tcBorders>
              <w:top w:val="single" w:sz="8" w:space="0" w:color="auto"/>
              <w:left w:val="single" w:sz="8" w:space="0" w:color="auto"/>
              <w:bottom w:val="nil"/>
              <w:right w:val="single" w:sz="8" w:space="0" w:color="000000"/>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2015-16</w:t>
            </w:r>
          </w:p>
        </w:tc>
        <w:tc>
          <w:tcPr>
            <w:tcW w:w="877" w:type="dxa"/>
            <w:tcBorders>
              <w:top w:val="single" w:sz="8" w:space="0" w:color="auto"/>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Change</w:t>
            </w:r>
          </w:p>
        </w:tc>
        <w:tc>
          <w:tcPr>
            <w:tcW w:w="877" w:type="dxa"/>
            <w:tcBorders>
              <w:top w:val="single" w:sz="8" w:space="0" w:color="auto"/>
              <w:left w:val="nil"/>
              <w:bottom w:val="nil"/>
              <w:right w:val="single" w:sz="8" w:space="0" w:color="auto"/>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Change</w:t>
            </w:r>
          </w:p>
        </w:tc>
        <w:tc>
          <w:tcPr>
            <w:tcW w:w="2521" w:type="dxa"/>
            <w:gridSpan w:val="3"/>
            <w:tcBorders>
              <w:top w:val="single" w:sz="8" w:space="0" w:color="auto"/>
              <w:left w:val="nil"/>
              <w:bottom w:val="nil"/>
              <w:right w:val="single" w:sz="8" w:space="0" w:color="000000"/>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2016-17</w:t>
            </w:r>
          </w:p>
        </w:tc>
        <w:tc>
          <w:tcPr>
            <w:tcW w:w="1312" w:type="dxa"/>
            <w:tcBorders>
              <w:top w:val="single" w:sz="8" w:space="0" w:color="auto"/>
              <w:left w:val="single" w:sz="8" w:space="0" w:color="auto"/>
              <w:bottom w:val="nil"/>
              <w:right w:val="single" w:sz="8" w:space="0" w:color="auto"/>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NSW Rebate</w:t>
            </w:r>
          </w:p>
        </w:tc>
      </w:tr>
      <w:tr w:rsidR="00D15CE0" w:rsidRPr="00361523" w:rsidTr="00230AC8">
        <w:trPr>
          <w:trHeight w:val="300"/>
        </w:trPr>
        <w:tc>
          <w:tcPr>
            <w:tcW w:w="2773" w:type="dxa"/>
            <w:tcBorders>
              <w:top w:val="nil"/>
              <w:left w:val="nil"/>
              <w:bottom w:val="nil"/>
              <w:right w:val="nil"/>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p>
        </w:tc>
        <w:tc>
          <w:tcPr>
            <w:tcW w:w="597"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color w:val="000000"/>
                <w:sz w:val="18"/>
                <w:szCs w:val="18"/>
                <w:lang w:val="en-US"/>
              </w:rPr>
            </w:pPr>
            <w:r w:rsidRPr="00361523">
              <w:rPr>
                <w:rFonts w:eastAsia="Times New Roman" w:cs="Arial"/>
                <w:color w:val="000000"/>
                <w:sz w:val="18"/>
                <w:szCs w:val="18"/>
                <w:lang w:val="en-US"/>
              </w:rPr>
              <w:t>Note</w:t>
            </w:r>
          </w:p>
        </w:tc>
        <w:tc>
          <w:tcPr>
            <w:tcW w:w="991" w:type="dxa"/>
            <w:tcBorders>
              <w:top w:val="nil"/>
              <w:left w:val="single" w:sz="8" w:space="0" w:color="auto"/>
              <w:bottom w:val="nil"/>
              <w:right w:val="nil"/>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877" w:type="dxa"/>
            <w:tcBorders>
              <w:top w:val="nil"/>
              <w:left w:val="nil"/>
              <w:bottom w:val="single" w:sz="4" w:space="0" w:color="auto"/>
              <w:right w:val="nil"/>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1257" w:type="dxa"/>
            <w:tcBorders>
              <w:top w:val="nil"/>
              <w:left w:val="nil"/>
              <w:bottom w:val="single" w:sz="4" w:space="0" w:color="auto"/>
              <w:right w:val="single" w:sz="8" w:space="0" w:color="auto"/>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313" w:type="dxa"/>
            <w:tcBorders>
              <w:top w:val="nil"/>
              <w:left w:val="nil"/>
              <w:bottom w:val="nil"/>
              <w:right w:val="nil"/>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p>
        </w:tc>
        <w:tc>
          <w:tcPr>
            <w:tcW w:w="790" w:type="dxa"/>
            <w:tcBorders>
              <w:top w:val="nil"/>
              <w:left w:val="single" w:sz="8" w:space="0" w:color="auto"/>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Board</w:t>
            </w:r>
          </w:p>
        </w:tc>
        <w:tc>
          <w:tcPr>
            <w:tcW w:w="876"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Council</w:t>
            </w:r>
          </w:p>
        </w:tc>
        <w:tc>
          <w:tcPr>
            <w:tcW w:w="789"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Total</w:t>
            </w:r>
          </w:p>
        </w:tc>
        <w:tc>
          <w:tcPr>
            <w:tcW w:w="877" w:type="dxa"/>
            <w:tcBorders>
              <w:top w:val="nil"/>
              <w:left w:val="single" w:sz="8" w:space="0" w:color="auto"/>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Board</w:t>
            </w:r>
          </w:p>
        </w:tc>
        <w:tc>
          <w:tcPr>
            <w:tcW w:w="877" w:type="dxa"/>
            <w:tcBorders>
              <w:top w:val="nil"/>
              <w:left w:val="nil"/>
              <w:bottom w:val="nil"/>
              <w:right w:val="single" w:sz="8" w:space="0" w:color="auto"/>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Council</w:t>
            </w:r>
          </w:p>
        </w:tc>
        <w:tc>
          <w:tcPr>
            <w:tcW w:w="856"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Board</w:t>
            </w:r>
          </w:p>
        </w:tc>
        <w:tc>
          <w:tcPr>
            <w:tcW w:w="876"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Council</w:t>
            </w:r>
          </w:p>
        </w:tc>
        <w:tc>
          <w:tcPr>
            <w:tcW w:w="789" w:type="dxa"/>
            <w:tcBorders>
              <w:top w:val="nil"/>
              <w:left w:val="nil"/>
              <w:bottom w:val="nil"/>
              <w:right w:val="nil"/>
            </w:tcBorders>
            <w:shd w:val="clear" w:color="auto" w:fill="auto"/>
            <w:noWrap/>
            <w:vAlign w:val="bottom"/>
            <w:hideMark/>
          </w:tcPr>
          <w:p w:rsidR="00361523" w:rsidRPr="00361523" w:rsidRDefault="00361523" w:rsidP="00361523">
            <w:pPr>
              <w:spacing w:before="60" w:after="60"/>
              <w:jc w:val="center"/>
              <w:rPr>
                <w:rFonts w:eastAsia="Times New Roman" w:cs="Arial"/>
                <w:b/>
                <w:bCs/>
                <w:color w:val="000000"/>
                <w:sz w:val="18"/>
                <w:szCs w:val="18"/>
                <w:lang w:val="en-US"/>
              </w:rPr>
            </w:pPr>
            <w:r w:rsidRPr="00361523">
              <w:rPr>
                <w:rFonts w:eastAsia="Times New Roman" w:cs="Arial"/>
                <w:b/>
                <w:bCs/>
                <w:color w:val="000000"/>
                <w:sz w:val="18"/>
                <w:szCs w:val="18"/>
                <w:lang w:val="en-US"/>
              </w:rPr>
              <w:t>Total</w:t>
            </w:r>
          </w:p>
        </w:tc>
        <w:tc>
          <w:tcPr>
            <w:tcW w:w="1312" w:type="dxa"/>
            <w:tcBorders>
              <w:top w:val="nil"/>
              <w:left w:val="single" w:sz="8" w:space="0" w:color="auto"/>
              <w:bottom w:val="nil"/>
              <w:right w:val="single" w:sz="8" w:space="0" w:color="auto"/>
            </w:tcBorders>
            <w:shd w:val="clear" w:color="auto" w:fill="auto"/>
            <w:noWrap/>
            <w:vAlign w:val="bottom"/>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Application for initial general registration</w:t>
            </w:r>
          </w:p>
        </w:tc>
        <w:tc>
          <w:tcPr>
            <w:tcW w:w="597"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single" w:sz="4" w:space="0" w:color="auto"/>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1257" w:type="dxa"/>
            <w:tcBorders>
              <w:top w:val="nil"/>
              <w:left w:val="nil"/>
              <w:bottom w:val="single" w:sz="4" w:space="0" w:color="auto"/>
              <w:right w:val="single" w:sz="8" w:space="0" w:color="auto"/>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313" w:type="dxa"/>
            <w:tcBorders>
              <w:top w:val="nil"/>
              <w:left w:val="nil"/>
              <w:bottom w:val="nil"/>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p>
        </w:tc>
        <w:tc>
          <w:tcPr>
            <w:tcW w:w="790" w:type="dxa"/>
            <w:tcBorders>
              <w:top w:val="single" w:sz="4" w:space="0" w:color="auto"/>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single" w:sz="4" w:space="0" w:color="auto"/>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single" w:sz="4" w:space="0" w:color="auto"/>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877"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single" w:sz="4" w:space="0" w:color="auto"/>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single" w:sz="4" w:space="0" w:color="auto"/>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1312"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Application for limited registration</w:t>
            </w:r>
          </w:p>
        </w:tc>
        <w:tc>
          <w:tcPr>
            <w:tcW w:w="597"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1257" w:type="dxa"/>
            <w:tcBorders>
              <w:top w:val="nil"/>
              <w:left w:val="nil"/>
              <w:bottom w:val="single" w:sz="4" w:space="0" w:color="auto"/>
              <w:right w:val="single" w:sz="8" w:space="0" w:color="auto"/>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313" w:type="dxa"/>
            <w:tcBorders>
              <w:top w:val="nil"/>
              <w:left w:val="nil"/>
              <w:bottom w:val="nil"/>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Application for non-practising registration</w:t>
            </w:r>
          </w:p>
        </w:tc>
        <w:tc>
          <w:tcPr>
            <w:tcW w:w="597"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1257" w:type="dxa"/>
            <w:tcBorders>
              <w:top w:val="nil"/>
              <w:left w:val="nil"/>
              <w:bottom w:val="single" w:sz="4" w:space="0" w:color="auto"/>
              <w:right w:val="single" w:sz="8" w:space="0" w:color="auto"/>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313" w:type="dxa"/>
            <w:tcBorders>
              <w:top w:val="nil"/>
              <w:left w:val="nil"/>
              <w:bottom w:val="nil"/>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Application for fast track registration</w:t>
            </w:r>
          </w:p>
        </w:tc>
        <w:tc>
          <w:tcPr>
            <w:tcW w:w="597" w:type="dxa"/>
            <w:tcBorders>
              <w:top w:val="nil"/>
              <w:left w:val="nil"/>
              <w:bottom w:val="single" w:sz="4" w:space="0" w:color="auto"/>
              <w:right w:val="nil"/>
            </w:tcBorders>
            <w:shd w:val="clear" w:color="auto" w:fill="auto"/>
            <w:vAlign w:val="center"/>
            <w:hideMark/>
          </w:tcPr>
          <w:p w:rsidR="00361523" w:rsidRPr="00361523" w:rsidRDefault="00361523" w:rsidP="00361523">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60 </w:t>
            </w:r>
          </w:p>
        </w:tc>
        <w:tc>
          <w:tcPr>
            <w:tcW w:w="877"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60 </w:t>
            </w:r>
          </w:p>
        </w:tc>
        <w:tc>
          <w:tcPr>
            <w:tcW w:w="313" w:type="dxa"/>
            <w:tcBorders>
              <w:top w:val="nil"/>
              <w:left w:val="nil"/>
              <w:bottom w:val="nil"/>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60 </w:t>
            </w:r>
          </w:p>
        </w:tc>
        <w:tc>
          <w:tcPr>
            <w:tcW w:w="877" w:type="dxa"/>
            <w:tcBorders>
              <w:top w:val="nil"/>
              <w:left w:val="single" w:sz="8" w:space="0" w:color="auto"/>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   </w:t>
            </w:r>
          </w:p>
        </w:tc>
        <w:tc>
          <w:tcPr>
            <w:tcW w:w="789" w:type="dxa"/>
            <w:tcBorders>
              <w:top w:val="nil"/>
              <w:left w:val="nil"/>
              <w:bottom w:val="single" w:sz="4" w:space="0" w:color="auto"/>
              <w:right w:val="nil"/>
            </w:tcBorders>
            <w:shd w:val="clear" w:color="auto" w:fill="auto"/>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361523" w:rsidRPr="00361523" w:rsidRDefault="00361523" w:rsidP="00361523">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Annual renewal of general registration</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55 </w:t>
            </w:r>
          </w:p>
        </w:tc>
        <w:tc>
          <w:tcPr>
            <w:tcW w:w="87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65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877" w:type="dxa"/>
            <w:tcBorders>
              <w:top w:val="nil"/>
              <w:left w:val="nil"/>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45 </w:t>
            </w:r>
          </w:p>
        </w:tc>
        <w:tc>
          <w:tcPr>
            <w:tcW w:w="876" w:type="dxa"/>
            <w:tcBorders>
              <w:top w:val="nil"/>
              <w:left w:val="nil"/>
              <w:bottom w:val="single" w:sz="4" w:space="0" w:color="auto"/>
              <w:right w:val="nil"/>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9" w:type="dxa"/>
            <w:tcBorders>
              <w:top w:val="nil"/>
              <w:left w:val="nil"/>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1312" w:type="dxa"/>
            <w:tcBorders>
              <w:top w:val="nil"/>
              <w:left w:val="single" w:sz="8" w:space="0" w:color="auto"/>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Annual renewal of limited registration</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55 </w:t>
            </w:r>
          </w:p>
        </w:tc>
        <w:tc>
          <w:tcPr>
            <w:tcW w:w="87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65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120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(10)</w:t>
            </w:r>
          </w:p>
        </w:tc>
        <w:tc>
          <w:tcPr>
            <w:tcW w:w="877" w:type="dxa"/>
            <w:tcBorders>
              <w:top w:val="nil"/>
              <w:left w:val="nil"/>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45 </w:t>
            </w:r>
          </w:p>
        </w:tc>
        <w:tc>
          <w:tcPr>
            <w:tcW w:w="876" w:type="dxa"/>
            <w:tcBorders>
              <w:top w:val="nil"/>
              <w:left w:val="nil"/>
              <w:bottom w:val="single" w:sz="4" w:space="0" w:color="auto"/>
              <w:right w:val="nil"/>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9" w:type="dxa"/>
            <w:tcBorders>
              <w:top w:val="nil"/>
              <w:left w:val="nil"/>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1312" w:type="dxa"/>
            <w:tcBorders>
              <w:top w:val="nil"/>
              <w:left w:val="single" w:sz="8" w:space="0" w:color="auto"/>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r>
      <w:tr w:rsidR="00D15CE0" w:rsidRPr="00361523" w:rsidTr="00230AC8">
        <w:trPr>
          <w:trHeight w:val="51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Annual renewal of non-practising registration</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25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25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14 </w:t>
            </w:r>
          </w:p>
        </w:tc>
        <w:tc>
          <w:tcPr>
            <w:tcW w:w="87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11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25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14 </w:t>
            </w:r>
          </w:p>
        </w:tc>
        <w:tc>
          <w:tcPr>
            <w:tcW w:w="876" w:type="dxa"/>
            <w:tcBorders>
              <w:top w:val="nil"/>
              <w:left w:val="nil"/>
              <w:bottom w:val="single" w:sz="4" w:space="0" w:color="auto"/>
              <w:right w:val="nil"/>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789" w:type="dxa"/>
            <w:tcBorders>
              <w:top w:val="nil"/>
              <w:left w:val="nil"/>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c>
          <w:tcPr>
            <w:tcW w:w="1312" w:type="dxa"/>
            <w:tcBorders>
              <w:top w:val="nil"/>
              <w:left w:val="single" w:sz="8" w:space="0" w:color="auto"/>
              <w:bottom w:val="single" w:sz="4" w:space="0" w:color="auto"/>
              <w:right w:val="single" w:sz="8" w:space="0" w:color="auto"/>
            </w:tcBorders>
            <w:shd w:val="clear" w:color="auto" w:fill="auto"/>
            <w:noWrap/>
            <w:vAlign w:val="center"/>
          </w:tcPr>
          <w:p w:rsidR="00D15CE0" w:rsidRPr="00361523" w:rsidRDefault="00D15CE0" w:rsidP="00D15CE0">
            <w:pPr>
              <w:spacing w:before="60" w:after="60"/>
              <w:jc w:val="right"/>
              <w:rPr>
                <w:rFonts w:eastAsia="Times New Roman" w:cs="Arial"/>
                <w:color w:val="000000"/>
                <w:sz w:val="18"/>
                <w:szCs w:val="18"/>
                <w:lang w:val="en-US"/>
              </w:rPr>
            </w:pPr>
            <w:r>
              <w:rPr>
                <w:rFonts w:eastAsia="Times New Roman" w:cs="Arial"/>
                <w:color w:val="000000"/>
                <w:sz w:val="18"/>
                <w:szCs w:val="18"/>
                <w:lang w:val="en-US"/>
              </w:rPr>
              <w:t>TBC</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Late renewal of general registration</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Late renewal of limited registration</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30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Late renewal of non-practising registration</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 </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6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FF0000"/>
                <w:sz w:val="18"/>
                <w:szCs w:val="18"/>
                <w:lang w:val="en-US"/>
              </w:rPr>
              <w:t>(1)</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Replacement of registration certificate</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jc w:val="center"/>
              <w:rPr>
                <w:rFonts w:eastAsia="Times New Roman" w:cs="Arial"/>
                <w:i/>
                <w:iCs/>
                <w:color w:val="000000"/>
                <w:sz w:val="18"/>
                <w:szCs w:val="18"/>
                <w:lang w:val="en-US"/>
              </w:rPr>
            </w:pPr>
            <w:r w:rsidRPr="00361523">
              <w:rPr>
                <w:rFonts w:eastAsia="Times New Roman" w:cs="Arial"/>
                <w:i/>
                <w:iCs/>
                <w:color w:val="000000"/>
                <w:sz w:val="18"/>
                <w:szCs w:val="18"/>
                <w:lang w:val="en-US"/>
              </w:rPr>
              <w:t>1</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Extract from the register</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jc w:val="center"/>
              <w:rPr>
                <w:rFonts w:eastAsia="Times New Roman" w:cs="Arial"/>
                <w:i/>
                <w:iCs/>
                <w:color w:val="000000"/>
                <w:sz w:val="18"/>
                <w:szCs w:val="18"/>
                <w:lang w:val="en-US"/>
              </w:rPr>
            </w:pPr>
            <w:r w:rsidRPr="00361523">
              <w:rPr>
                <w:rFonts w:eastAsia="Times New Roman" w:cs="Arial"/>
                <w:i/>
                <w:iCs/>
                <w:color w:val="000000"/>
                <w:sz w:val="18"/>
                <w:szCs w:val="18"/>
                <w:lang w:val="en-US"/>
              </w:rPr>
              <w:t>1</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10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510"/>
        </w:trPr>
        <w:tc>
          <w:tcPr>
            <w:tcW w:w="2773"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Copy of the register (if application is assessed to be in the public interest)</w:t>
            </w:r>
          </w:p>
        </w:tc>
        <w:tc>
          <w:tcPr>
            <w:tcW w:w="597" w:type="dxa"/>
            <w:tcBorders>
              <w:top w:val="nil"/>
              <w:left w:val="nil"/>
              <w:bottom w:val="single" w:sz="4" w:space="0" w:color="auto"/>
              <w:right w:val="nil"/>
            </w:tcBorders>
            <w:shd w:val="clear" w:color="auto" w:fill="auto"/>
            <w:vAlign w:val="center"/>
            <w:hideMark/>
          </w:tcPr>
          <w:p w:rsidR="00D15CE0" w:rsidRPr="00361523" w:rsidRDefault="00D15CE0" w:rsidP="00D15CE0">
            <w:pPr>
              <w:spacing w:before="60" w:after="60"/>
              <w:jc w:val="center"/>
              <w:rPr>
                <w:rFonts w:eastAsia="Times New Roman" w:cs="Arial"/>
                <w:i/>
                <w:iCs/>
                <w:color w:val="000000"/>
                <w:sz w:val="18"/>
                <w:szCs w:val="18"/>
                <w:lang w:val="en-US"/>
              </w:rPr>
            </w:pPr>
            <w:r w:rsidRPr="00361523">
              <w:rPr>
                <w:rFonts w:eastAsia="Times New Roman" w:cs="Arial"/>
                <w:i/>
                <w:iCs/>
                <w:color w:val="000000"/>
                <w:sz w:val="18"/>
                <w:szCs w:val="18"/>
                <w:lang w:val="en-US"/>
              </w:rPr>
              <w:t>1</w:t>
            </w:r>
          </w:p>
        </w:tc>
        <w:tc>
          <w:tcPr>
            <w:tcW w:w="991"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2,000 </w:t>
            </w:r>
          </w:p>
        </w:tc>
        <w:tc>
          <w:tcPr>
            <w:tcW w:w="877"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4"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2,000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2,000 </w:t>
            </w:r>
          </w:p>
        </w:tc>
        <w:tc>
          <w:tcPr>
            <w:tcW w:w="877" w:type="dxa"/>
            <w:tcBorders>
              <w:top w:val="nil"/>
              <w:left w:val="single" w:sz="8" w:space="0" w:color="auto"/>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2,000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4"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2,000 </w:t>
            </w:r>
          </w:p>
        </w:tc>
        <w:tc>
          <w:tcPr>
            <w:tcW w:w="131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15"/>
        </w:trPr>
        <w:tc>
          <w:tcPr>
            <w:tcW w:w="2773" w:type="dxa"/>
            <w:tcBorders>
              <w:top w:val="nil"/>
              <w:left w:val="nil"/>
              <w:bottom w:val="nil"/>
              <w:right w:val="nil"/>
            </w:tcBorders>
            <w:shd w:val="clear" w:color="auto" w:fill="auto"/>
            <w:vAlign w:val="center"/>
            <w:hideMark/>
          </w:tcPr>
          <w:p w:rsidR="00D15CE0" w:rsidRPr="00361523" w:rsidRDefault="00D15CE0" w:rsidP="00D15CE0">
            <w:pPr>
              <w:spacing w:before="60" w:after="60"/>
              <w:rPr>
                <w:rFonts w:eastAsia="Times New Roman" w:cs="Arial"/>
                <w:color w:val="000000"/>
                <w:sz w:val="18"/>
                <w:szCs w:val="18"/>
                <w:lang w:val="en-US"/>
              </w:rPr>
            </w:pPr>
            <w:r w:rsidRPr="00361523">
              <w:rPr>
                <w:rFonts w:eastAsia="Times New Roman" w:cs="Arial"/>
                <w:color w:val="000000"/>
                <w:sz w:val="18"/>
                <w:szCs w:val="18"/>
                <w:lang w:val="en-US"/>
              </w:rPr>
              <w:t>Verification of registration status</w:t>
            </w:r>
          </w:p>
        </w:tc>
        <w:tc>
          <w:tcPr>
            <w:tcW w:w="597" w:type="dxa"/>
            <w:tcBorders>
              <w:top w:val="nil"/>
              <w:left w:val="nil"/>
              <w:bottom w:val="nil"/>
              <w:right w:val="nil"/>
            </w:tcBorders>
            <w:shd w:val="clear" w:color="auto" w:fill="auto"/>
            <w:vAlign w:val="center"/>
            <w:hideMark/>
          </w:tcPr>
          <w:p w:rsidR="00D15CE0" w:rsidRPr="00361523" w:rsidRDefault="00D15CE0" w:rsidP="00D15CE0">
            <w:pPr>
              <w:spacing w:before="60" w:after="60"/>
              <w:jc w:val="center"/>
              <w:rPr>
                <w:rFonts w:eastAsia="Times New Roman" w:cs="Arial"/>
                <w:i/>
                <w:iCs/>
                <w:color w:val="000000"/>
                <w:sz w:val="18"/>
                <w:szCs w:val="18"/>
                <w:lang w:val="en-US"/>
              </w:rPr>
            </w:pPr>
            <w:r w:rsidRPr="00361523">
              <w:rPr>
                <w:rFonts w:eastAsia="Times New Roman" w:cs="Arial"/>
                <w:i/>
                <w:iCs/>
                <w:color w:val="000000"/>
                <w:sz w:val="18"/>
                <w:szCs w:val="18"/>
                <w:lang w:val="en-US"/>
              </w:rPr>
              <w:t>1</w:t>
            </w:r>
          </w:p>
        </w:tc>
        <w:tc>
          <w:tcPr>
            <w:tcW w:w="991" w:type="dxa"/>
            <w:tcBorders>
              <w:top w:val="nil"/>
              <w:left w:val="single" w:sz="8" w:space="0" w:color="auto"/>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50 </w:t>
            </w:r>
          </w:p>
        </w:tc>
        <w:tc>
          <w:tcPr>
            <w:tcW w:w="877" w:type="dxa"/>
            <w:tcBorders>
              <w:top w:val="nil"/>
              <w:left w:val="nil"/>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1257" w:type="dxa"/>
            <w:tcBorders>
              <w:top w:val="nil"/>
              <w:left w:val="nil"/>
              <w:bottom w:val="single" w:sz="8" w:space="0" w:color="auto"/>
              <w:right w:val="single" w:sz="8" w:space="0" w:color="auto"/>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50 </w:t>
            </w: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p>
        </w:tc>
        <w:tc>
          <w:tcPr>
            <w:tcW w:w="790" w:type="dxa"/>
            <w:tcBorders>
              <w:top w:val="nil"/>
              <w:left w:val="single" w:sz="8" w:space="0" w:color="auto"/>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50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50 </w:t>
            </w:r>
          </w:p>
        </w:tc>
        <w:tc>
          <w:tcPr>
            <w:tcW w:w="877" w:type="dxa"/>
            <w:tcBorders>
              <w:top w:val="nil"/>
              <w:left w:val="single" w:sz="8" w:space="0" w:color="auto"/>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0</w:t>
            </w:r>
          </w:p>
        </w:tc>
        <w:tc>
          <w:tcPr>
            <w:tcW w:w="877" w:type="dxa"/>
            <w:tcBorders>
              <w:top w:val="nil"/>
              <w:left w:val="nil"/>
              <w:bottom w:val="single" w:sz="8"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856" w:type="dxa"/>
            <w:tcBorders>
              <w:top w:val="nil"/>
              <w:left w:val="nil"/>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50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c>
          <w:tcPr>
            <w:tcW w:w="789" w:type="dxa"/>
            <w:tcBorders>
              <w:top w:val="nil"/>
              <w:left w:val="nil"/>
              <w:bottom w:val="single" w:sz="8" w:space="0" w:color="auto"/>
              <w:right w:val="nil"/>
            </w:tcBorders>
            <w:shd w:val="clear" w:color="auto" w:fill="auto"/>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xml:space="preserve">              50 </w:t>
            </w:r>
          </w:p>
        </w:tc>
        <w:tc>
          <w:tcPr>
            <w:tcW w:w="1312"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D15CE0" w:rsidRPr="00361523" w:rsidRDefault="00D15CE0" w:rsidP="00D15CE0">
            <w:pPr>
              <w:spacing w:before="60" w:after="60"/>
              <w:jc w:val="right"/>
              <w:rPr>
                <w:rFonts w:eastAsia="Times New Roman" w:cs="Arial"/>
                <w:color w:val="000000"/>
                <w:sz w:val="18"/>
                <w:szCs w:val="18"/>
                <w:lang w:val="en-US"/>
              </w:rPr>
            </w:pPr>
            <w:r w:rsidRPr="00361523">
              <w:rPr>
                <w:rFonts w:eastAsia="Times New Roman" w:cs="Arial"/>
                <w:color w:val="000000"/>
                <w:sz w:val="18"/>
                <w:szCs w:val="18"/>
                <w:lang w:val="en-US"/>
              </w:rPr>
              <w:t> </w:t>
            </w:r>
          </w:p>
        </w:tc>
      </w:tr>
      <w:tr w:rsidR="00D15CE0" w:rsidRPr="00361523" w:rsidTr="00230AC8">
        <w:trPr>
          <w:trHeight w:val="300"/>
        </w:trPr>
        <w:tc>
          <w:tcPr>
            <w:tcW w:w="5238" w:type="dxa"/>
            <w:gridSpan w:val="4"/>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i/>
                <w:iCs/>
                <w:color w:val="000000"/>
                <w:sz w:val="18"/>
                <w:szCs w:val="18"/>
                <w:lang w:val="en-US"/>
              </w:rPr>
            </w:pPr>
            <w:r w:rsidRPr="00361523">
              <w:rPr>
                <w:rFonts w:eastAsia="Times New Roman" w:cs="Arial"/>
                <w:i/>
                <w:iCs/>
                <w:color w:val="000000"/>
                <w:sz w:val="18"/>
                <w:szCs w:val="18"/>
                <w:lang w:val="en-US"/>
              </w:rPr>
              <w:t>Note 1: These fees are consistent across all professions and remain unchanged</w:t>
            </w:r>
          </w:p>
        </w:tc>
        <w:tc>
          <w:tcPr>
            <w:tcW w:w="1257"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313"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790"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876"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789"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877"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877"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856"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876"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789"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c>
          <w:tcPr>
            <w:tcW w:w="1312" w:type="dxa"/>
            <w:tcBorders>
              <w:top w:val="nil"/>
              <w:left w:val="nil"/>
              <w:bottom w:val="nil"/>
              <w:right w:val="nil"/>
            </w:tcBorders>
            <w:shd w:val="clear" w:color="auto" w:fill="auto"/>
            <w:noWrap/>
            <w:vAlign w:val="center"/>
            <w:hideMark/>
          </w:tcPr>
          <w:p w:rsidR="00D15CE0" w:rsidRPr="00361523" w:rsidRDefault="00D15CE0" w:rsidP="00D15CE0">
            <w:pPr>
              <w:spacing w:before="60" w:after="60"/>
              <w:rPr>
                <w:rFonts w:eastAsia="Times New Roman" w:cs="Arial"/>
                <w:color w:val="000000"/>
                <w:sz w:val="18"/>
                <w:szCs w:val="18"/>
                <w:lang w:val="en-US"/>
              </w:rPr>
            </w:pPr>
          </w:p>
        </w:tc>
      </w:tr>
    </w:tbl>
    <w:p w:rsidR="009A2AF2" w:rsidRPr="00361523" w:rsidRDefault="00D15CE0" w:rsidP="007C7B7F">
      <w:pPr>
        <w:spacing w:after="0"/>
        <w:rPr>
          <w:sz w:val="20"/>
          <w:lang w:val="en-US"/>
        </w:rPr>
      </w:pPr>
      <w:r>
        <w:rPr>
          <w:rFonts w:eastAsia="Times New Roman" w:cs="Arial"/>
          <w:i/>
          <w:iCs/>
          <w:color w:val="000000"/>
          <w:sz w:val="18"/>
          <w:szCs w:val="18"/>
          <w:lang w:val="en-US"/>
        </w:rPr>
        <w:t>“TBC”: Awaiting Ministerial approval of NSW Health P</w:t>
      </w:r>
      <w:r w:rsidRPr="00FD03FB">
        <w:rPr>
          <w:rFonts w:eastAsia="Times New Roman" w:cs="Arial"/>
          <w:i/>
          <w:iCs/>
          <w:color w:val="000000"/>
          <w:sz w:val="18"/>
          <w:szCs w:val="18"/>
          <w:lang w:val="en-US"/>
        </w:rPr>
        <w:t>rofessions Council fees</w:t>
      </w:r>
      <w:r>
        <w:rPr>
          <w:rFonts w:eastAsia="Times New Roman" w:cs="Arial"/>
          <w:i/>
          <w:iCs/>
          <w:color w:val="000000"/>
          <w:sz w:val="18"/>
          <w:szCs w:val="18"/>
          <w:lang w:val="en-US"/>
        </w:rPr>
        <w:t>.</w:t>
      </w:r>
    </w:p>
    <w:p w:rsidR="009A2AF2" w:rsidRDefault="009A2AF2" w:rsidP="007C7B7F">
      <w:pPr>
        <w:spacing w:after="0"/>
        <w:rPr>
          <w:rFonts w:cs="Arial"/>
          <w:sz w:val="16"/>
        </w:rPr>
      </w:pPr>
    </w:p>
    <w:p w:rsidR="00361523" w:rsidRPr="00361523" w:rsidRDefault="00361523" w:rsidP="007C7B7F">
      <w:pPr>
        <w:spacing w:after="0"/>
        <w:rPr>
          <w:rFonts w:cs="Arial"/>
          <w:sz w:val="16"/>
        </w:rPr>
        <w:sectPr w:rsidR="00361523" w:rsidRPr="00361523" w:rsidSect="001D449A">
          <w:headerReference w:type="even" r:id="rId23"/>
          <w:headerReference w:type="default" r:id="rId24"/>
          <w:headerReference w:type="first" r:id="rId25"/>
          <w:footerReference w:type="first" r:id="rId26"/>
          <w:pgSz w:w="16840" w:h="11900" w:orient="landscape"/>
          <w:pgMar w:top="1440" w:right="1440" w:bottom="1440" w:left="1440" w:header="284" w:footer="686" w:gutter="0"/>
          <w:cols w:space="708"/>
          <w:titlePg/>
          <w:docGrid w:linePitch="326"/>
        </w:sectPr>
      </w:pPr>
    </w:p>
    <w:p w:rsidR="00361523" w:rsidRDefault="00361523" w:rsidP="00361523">
      <w:pPr>
        <w:pStyle w:val="AHPRADocumentsubheading"/>
      </w:pPr>
      <w:r>
        <w:lastRenderedPageBreak/>
        <w:t>Schedule 4: Summary of National Board’s annual budget</w:t>
      </w:r>
    </w:p>
    <w:p w:rsidR="00361523" w:rsidRDefault="00B67A8C" w:rsidP="00361523">
      <w:pPr>
        <w:pStyle w:val="AHPRAbody"/>
        <w:rPr>
          <w:b/>
          <w:color w:val="007DC3"/>
        </w:rPr>
      </w:pPr>
      <w:r>
        <w:rPr>
          <w:b/>
          <w:color w:val="007DC3"/>
        </w:rPr>
        <w:t>Physiotherapy Board of Australia</w:t>
      </w:r>
    </w:p>
    <w:p w:rsidR="00361523" w:rsidRPr="007C7B7F" w:rsidRDefault="00361523" w:rsidP="00361523">
      <w:pPr>
        <w:pStyle w:val="AHPRASubheadinglevel2"/>
      </w:pPr>
      <w:r>
        <w:t>Income and expenditure budget and notes</w:t>
      </w:r>
    </w:p>
    <w:p w:rsidR="00361523" w:rsidRDefault="00361523" w:rsidP="00361523">
      <w:pPr>
        <w:pStyle w:val="AHPRAbody"/>
        <w:spacing w:after="400"/>
        <w:rPr>
          <w:b/>
        </w:rPr>
      </w:pPr>
      <w:r>
        <w:rPr>
          <w:b/>
        </w:rPr>
        <w:t>S</w:t>
      </w:r>
      <w:r w:rsidR="00B67A8C">
        <w:rPr>
          <w:b/>
        </w:rPr>
        <w:t>ummary budget</w:t>
      </w:r>
      <w:r>
        <w:rPr>
          <w:b/>
        </w:rPr>
        <w:t xml:space="preserve"> 2016/17</w:t>
      </w:r>
    </w:p>
    <w:tbl>
      <w:tblPr>
        <w:tblW w:w="9027" w:type="dxa"/>
        <w:tblInd w:w="94" w:type="dxa"/>
        <w:tblLook w:val="04A0" w:firstRow="1" w:lastRow="0" w:firstColumn="1" w:lastColumn="0" w:noHBand="0" w:noVBand="1"/>
      </w:tblPr>
      <w:tblGrid>
        <w:gridCol w:w="6264"/>
        <w:gridCol w:w="2763"/>
      </w:tblGrid>
      <w:tr w:rsidR="00361523" w:rsidTr="006D7CC5">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361523" w:rsidRDefault="00361523" w:rsidP="006D7CC5">
            <w:pPr>
              <w:spacing w:after="0"/>
              <w:jc w:val="center"/>
              <w:rPr>
                <w:rFonts w:eastAsia="Times New Roman" w:cs="Arial"/>
                <w:b/>
                <w:bCs/>
                <w:color w:val="000000"/>
                <w:sz w:val="20"/>
                <w:szCs w:val="20"/>
                <w:lang w:val="en-US" w:eastAsia="en-AU"/>
              </w:rPr>
            </w:pPr>
            <w:r>
              <w:rPr>
                <w:rFonts w:eastAsia="Times New Roman" w:cs="Arial"/>
                <w:b/>
                <w:bCs/>
                <w:color w:val="000000"/>
                <w:sz w:val="20"/>
                <w:szCs w:val="20"/>
                <w:lang w:val="en-US"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361523" w:rsidRDefault="00361523" w:rsidP="006D7CC5">
            <w:pPr>
              <w:spacing w:after="0"/>
              <w:jc w:val="center"/>
              <w:rPr>
                <w:rFonts w:eastAsia="Times New Roman" w:cs="Arial"/>
                <w:b/>
                <w:bCs/>
                <w:color w:val="000000"/>
                <w:sz w:val="20"/>
                <w:szCs w:val="20"/>
                <w:lang w:val="en-US" w:eastAsia="en-AU"/>
              </w:rPr>
            </w:pP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Income</w:t>
            </w:r>
          </w:p>
        </w:tc>
        <w:tc>
          <w:tcPr>
            <w:tcW w:w="2763" w:type="dxa"/>
            <w:tcBorders>
              <w:top w:val="nil"/>
              <w:left w:val="nil"/>
              <w:bottom w:val="single" w:sz="4" w:space="0" w:color="auto"/>
              <w:right w:val="single" w:sz="4" w:space="0" w:color="auto"/>
            </w:tcBorders>
            <w:shd w:val="clear" w:color="auto" w:fill="D8D8D8"/>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$2,732,200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$268,700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$253,300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B67A8C"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Late fees and fast track f</w:t>
            </w:r>
            <w:r w:rsidR="00361523">
              <w:rPr>
                <w:rFonts w:eastAsia="Times New Roman" w:cs="Arial"/>
                <w:color w:val="000000"/>
                <w:sz w:val="20"/>
                <w:szCs w:val="20"/>
                <w:lang w:val="en-US" w:eastAsia="en-AU"/>
              </w:rPr>
              <w:t>ees</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$21,100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w:t>
            </w:r>
          </w:p>
        </w:tc>
        <w:tc>
          <w:tcPr>
            <w:tcW w:w="2763" w:type="dxa"/>
            <w:tcBorders>
              <w:top w:val="nil"/>
              <w:left w:val="nil"/>
              <w:bottom w:val="single" w:sz="4" w:space="0" w:color="auto"/>
              <w:right w:val="single" w:sz="4" w:space="0" w:color="auto"/>
            </w:tcBorders>
            <w:shd w:val="clear" w:color="auto" w:fill="D8D8D8"/>
            <w:vAlign w:val="center"/>
          </w:tcPr>
          <w:p w:rsidR="00361523" w:rsidRPr="004C757D" w:rsidRDefault="00361523" w:rsidP="006D7CC5">
            <w:pPr>
              <w:spacing w:after="0"/>
              <w:jc w:val="right"/>
              <w:rPr>
                <w:rFonts w:cs="Arial"/>
                <w:color w:val="000000"/>
                <w:sz w:val="20"/>
                <w:szCs w:val="20"/>
              </w:rPr>
            </w:pPr>
            <w:r>
              <w:rPr>
                <w:rFonts w:cs="Arial"/>
                <w:color w:val="000000"/>
                <w:sz w:val="20"/>
                <w:szCs w:val="20"/>
              </w:rPr>
              <w:t xml:space="preserve">            $7,900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B67A8C"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i</w:t>
            </w:r>
            <w:r w:rsidR="00361523">
              <w:rPr>
                <w:rFonts w:eastAsia="Times New Roman" w:cs="Arial"/>
                <w:b/>
                <w:bCs/>
                <w:color w:val="000000"/>
                <w:sz w:val="20"/>
                <w:szCs w:val="20"/>
                <w:lang w:val="en-US" w:eastAsia="en-AU"/>
              </w:rPr>
              <w:t>ncome</w:t>
            </w:r>
          </w:p>
        </w:tc>
        <w:tc>
          <w:tcPr>
            <w:tcW w:w="2763" w:type="dxa"/>
            <w:tcBorders>
              <w:top w:val="nil"/>
              <w:left w:val="nil"/>
              <w:bottom w:val="single" w:sz="4" w:space="0" w:color="auto"/>
              <w:right w:val="single" w:sz="4" w:space="0" w:color="auto"/>
            </w:tcBorders>
            <w:shd w:val="clear" w:color="auto" w:fill="D8D8D8"/>
            <w:vAlign w:val="center"/>
          </w:tcPr>
          <w:p w:rsidR="00361523" w:rsidRPr="004C757D" w:rsidRDefault="00361523" w:rsidP="006D7CC5">
            <w:pPr>
              <w:spacing w:after="0"/>
              <w:jc w:val="right"/>
              <w:rPr>
                <w:rFonts w:eastAsia="Times New Roman" w:cs="Arial"/>
                <w:b/>
                <w:color w:val="000000"/>
                <w:sz w:val="20"/>
                <w:szCs w:val="20"/>
                <w:lang w:val="en-US" w:eastAsia="en-AU"/>
              </w:rPr>
            </w:pPr>
            <w:r>
              <w:rPr>
                <w:rFonts w:eastAsia="Times New Roman" w:cs="Arial"/>
                <w:b/>
                <w:color w:val="000000"/>
                <w:sz w:val="20"/>
                <w:szCs w:val="20"/>
                <w:lang w:val="en-US" w:eastAsia="en-AU"/>
              </w:rPr>
              <w:t>$</w:t>
            </w:r>
            <w:r w:rsidRPr="004C757D">
              <w:rPr>
                <w:rFonts w:eastAsia="Times New Roman" w:cs="Arial"/>
                <w:b/>
                <w:color w:val="000000"/>
                <w:sz w:val="20"/>
                <w:szCs w:val="20"/>
                <w:lang w:val="en-US" w:eastAsia="en-AU"/>
              </w:rPr>
              <w:t>3,283,200</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eastAsia="Times New Roman" w:cs="Arial"/>
                <w:color w:val="000000"/>
                <w:sz w:val="20"/>
                <w:szCs w:val="20"/>
                <w:lang w:val="en-US" w:eastAsia="en-AU"/>
              </w:rPr>
            </w:pP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$471,600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$294,300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$263,400 </w:t>
            </w:r>
          </w:p>
        </w:tc>
      </w:tr>
      <w:tr w:rsidR="00361523" w:rsidTr="006D7CC5">
        <w:trPr>
          <w:trHeight w:val="508"/>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$43,400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$460,900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361523" w:rsidP="006D7CC5">
            <w:pPr>
              <w:spacing w:after="0"/>
              <w:rPr>
                <w:rFonts w:eastAsia="Times New Roman" w:cs="Arial"/>
                <w:color w:val="000000"/>
                <w:sz w:val="20"/>
                <w:szCs w:val="20"/>
                <w:lang w:val="en-US" w:eastAsia="en-AU"/>
              </w:rPr>
            </w:pPr>
            <w:r>
              <w:rPr>
                <w:rFonts w:eastAsia="Times New Roman" w:cs="Arial"/>
                <w:color w:val="000000"/>
                <w:sz w:val="20"/>
                <w:szCs w:val="20"/>
                <w:lang w:val="en-US"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color w:val="000000"/>
                <w:sz w:val="20"/>
                <w:szCs w:val="20"/>
              </w:rPr>
            </w:pPr>
            <w:r>
              <w:rPr>
                <w:rFonts w:cs="Arial"/>
                <w:color w:val="000000"/>
                <w:sz w:val="20"/>
                <w:szCs w:val="20"/>
              </w:rPr>
              <w:t xml:space="preserve">      $3,112,000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B67A8C"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Total e</w:t>
            </w:r>
            <w:r w:rsidR="00361523">
              <w:rPr>
                <w:rFonts w:eastAsia="Times New Roman" w:cs="Arial"/>
                <w:b/>
                <w:bCs/>
                <w:color w:val="000000"/>
                <w:sz w:val="20"/>
                <w:szCs w:val="20"/>
                <w:lang w:val="en-US" w:eastAsia="en-AU"/>
              </w:rPr>
              <w:t>xpenses</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b/>
                <w:bCs/>
                <w:color w:val="000000"/>
                <w:sz w:val="20"/>
                <w:szCs w:val="20"/>
              </w:rPr>
            </w:pPr>
            <w:r>
              <w:rPr>
                <w:rFonts w:cs="Arial"/>
                <w:b/>
                <w:bCs/>
                <w:color w:val="000000"/>
                <w:sz w:val="20"/>
                <w:szCs w:val="20"/>
              </w:rPr>
              <w:t xml:space="preserve">      $4,645,600 </w:t>
            </w:r>
          </w:p>
        </w:tc>
      </w:tr>
      <w:tr w:rsidR="00361523" w:rsidTr="006D7CC5">
        <w:trPr>
          <w:trHeight w:val="499"/>
        </w:trPr>
        <w:tc>
          <w:tcPr>
            <w:tcW w:w="6264" w:type="dxa"/>
            <w:tcBorders>
              <w:top w:val="nil"/>
              <w:left w:val="single" w:sz="4" w:space="0" w:color="auto"/>
              <w:bottom w:val="single" w:sz="4" w:space="0" w:color="auto"/>
              <w:right w:val="single" w:sz="4" w:space="0" w:color="auto"/>
            </w:tcBorders>
            <w:vAlign w:val="center"/>
            <w:hideMark/>
          </w:tcPr>
          <w:p w:rsidR="00361523" w:rsidRDefault="00B67A8C" w:rsidP="006D7CC5">
            <w:pPr>
              <w:spacing w:after="0"/>
              <w:rPr>
                <w:rFonts w:eastAsia="Times New Roman" w:cs="Arial"/>
                <w:b/>
                <w:bCs/>
                <w:color w:val="000000"/>
                <w:sz w:val="20"/>
                <w:szCs w:val="20"/>
                <w:lang w:val="en-US" w:eastAsia="en-AU"/>
              </w:rPr>
            </w:pPr>
            <w:r>
              <w:rPr>
                <w:rFonts w:eastAsia="Times New Roman" w:cs="Arial"/>
                <w:b/>
                <w:bCs/>
                <w:color w:val="000000"/>
                <w:sz w:val="20"/>
                <w:szCs w:val="20"/>
                <w:lang w:val="en-US" w:eastAsia="en-AU"/>
              </w:rPr>
              <w:t>Net s</w:t>
            </w:r>
            <w:r w:rsidR="00361523">
              <w:rPr>
                <w:rFonts w:eastAsia="Times New Roman" w:cs="Arial"/>
                <w:b/>
                <w:bCs/>
                <w:color w:val="000000"/>
                <w:sz w:val="20"/>
                <w:szCs w:val="20"/>
                <w:lang w:val="en-US" w:eastAsia="en-AU"/>
              </w:rPr>
              <w:t>urplus (Deficit)</w:t>
            </w:r>
          </w:p>
        </w:tc>
        <w:tc>
          <w:tcPr>
            <w:tcW w:w="2763" w:type="dxa"/>
            <w:tcBorders>
              <w:top w:val="nil"/>
              <w:left w:val="nil"/>
              <w:bottom w:val="single" w:sz="4" w:space="0" w:color="auto"/>
              <w:right w:val="single" w:sz="4" w:space="0" w:color="auto"/>
            </w:tcBorders>
            <w:shd w:val="clear" w:color="auto" w:fill="D8D8D8"/>
            <w:vAlign w:val="center"/>
          </w:tcPr>
          <w:p w:rsidR="00361523" w:rsidRDefault="00361523" w:rsidP="006D7CC5">
            <w:pPr>
              <w:spacing w:after="0"/>
              <w:jc w:val="right"/>
              <w:rPr>
                <w:rFonts w:cs="Arial"/>
                <w:b/>
                <w:bCs/>
                <w:color w:val="000000"/>
                <w:sz w:val="20"/>
                <w:szCs w:val="20"/>
              </w:rPr>
            </w:pPr>
            <w:r>
              <w:rPr>
                <w:rFonts w:cs="Arial"/>
                <w:b/>
                <w:bCs/>
                <w:color w:val="000000"/>
                <w:sz w:val="20"/>
                <w:szCs w:val="20"/>
              </w:rPr>
              <w:t xml:space="preserve">($1,362,400) </w:t>
            </w:r>
          </w:p>
        </w:tc>
      </w:tr>
    </w:tbl>
    <w:p w:rsidR="00361523" w:rsidRDefault="00361523" w:rsidP="00361523">
      <w:pPr>
        <w:rPr>
          <w:sz w:val="20"/>
        </w:rPr>
      </w:pPr>
    </w:p>
    <w:p w:rsidR="00361523" w:rsidRDefault="00361523" w:rsidP="00361523">
      <w:pPr>
        <w:spacing w:after="0"/>
        <w:rPr>
          <w:rFonts w:cs="Arial"/>
          <w:b/>
          <w:sz w:val="20"/>
        </w:rPr>
      </w:pPr>
      <w:r>
        <w:rPr>
          <w:b/>
        </w:rPr>
        <w:br w:type="page"/>
      </w:r>
    </w:p>
    <w:p w:rsidR="00361523" w:rsidRDefault="00B67A8C" w:rsidP="00361523">
      <w:pPr>
        <w:pStyle w:val="AHPRAbody"/>
        <w:spacing w:after="400"/>
        <w:rPr>
          <w:b/>
        </w:rPr>
      </w:pPr>
      <w:r>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8"/>
        <w:gridCol w:w="2497"/>
        <w:gridCol w:w="6395"/>
        <w:gridCol w:w="67"/>
      </w:tblGrid>
      <w:tr w:rsidR="00361523" w:rsidTr="00361523">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61523" w:rsidRDefault="00361523" w:rsidP="008D1EC3">
            <w:pPr>
              <w:pStyle w:val="ListParagraph"/>
              <w:numPr>
                <w:ilvl w:val="0"/>
                <w:numId w:val="19"/>
              </w:numPr>
              <w:spacing w:before="120" w:after="120"/>
              <w:rPr>
                <w:rFonts w:cs="Arial"/>
                <w:color w:val="000000"/>
                <w:sz w:val="20"/>
                <w:szCs w:val="20"/>
                <w:lang w:val="en-US"/>
              </w:rPr>
            </w:pPr>
            <w:r>
              <w:rPr>
                <w:rFonts w:cs="Arial"/>
                <w:color w:val="000000"/>
                <w:sz w:val="20"/>
                <w:szCs w:val="20"/>
                <w:lang w:val="en-US"/>
              </w:rPr>
              <w:t>Registrant numbers</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61523" w:rsidRPr="005F4380" w:rsidRDefault="00361523" w:rsidP="006D7CC5">
            <w:pPr>
              <w:tabs>
                <w:tab w:val="right" w:pos="5987"/>
              </w:tabs>
              <w:spacing w:before="120" w:after="0"/>
              <w:rPr>
                <w:rFonts w:cs="Arial"/>
                <w:color w:val="000000" w:themeColor="text1"/>
                <w:sz w:val="20"/>
                <w:szCs w:val="20"/>
                <w:lang w:val="en-US"/>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r w:rsidRPr="005F4380">
              <w:rPr>
                <w:rFonts w:cs="Arial"/>
                <w:color w:val="000000" w:themeColor="text1"/>
                <w:sz w:val="20"/>
                <w:szCs w:val="20"/>
                <w:lang w:val="en-US"/>
              </w:rPr>
              <w:t>:</w:t>
            </w:r>
          </w:p>
          <w:p w:rsidR="00361523" w:rsidRPr="005F4380" w:rsidRDefault="00361523" w:rsidP="008D1EC3">
            <w:pPr>
              <w:pStyle w:val="ListParagraph"/>
              <w:numPr>
                <w:ilvl w:val="0"/>
                <w:numId w:val="17"/>
              </w:numPr>
              <w:tabs>
                <w:tab w:val="right" w:leader="dot" w:pos="6180"/>
              </w:tabs>
              <w:spacing w:before="80" w:after="120"/>
              <w:ind w:left="170" w:hanging="170"/>
              <w:rPr>
                <w:color w:val="000000" w:themeColor="text1"/>
                <w:sz w:val="20"/>
                <w:szCs w:val="20"/>
                <w:lang w:val="en-US"/>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sidRPr="005F4380">
              <w:rPr>
                <w:color w:val="000000" w:themeColor="text1"/>
                <w:sz w:val="20"/>
                <w:szCs w:val="20"/>
                <w:shd w:val="clear" w:color="auto" w:fill="FFFFFF" w:themeFill="background1"/>
                <w:lang w:val="en-US"/>
              </w:rPr>
              <w:t>:</w:t>
            </w:r>
            <w:r w:rsidRPr="005F4380">
              <w:rPr>
                <w:color w:val="000000" w:themeColor="text1"/>
                <w:sz w:val="20"/>
                <w:szCs w:val="20"/>
                <w:shd w:val="clear" w:color="auto" w:fill="FFFFFF" w:themeFill="background1"/>
                <w:lang w:val="en-US"/>
              </w:rPr>
              <w:tab/>
              <w:t>28,762</w:t>
            </w:r>
          </w:p>
          <w:p w:rsidR="00361523" w:rsidRDefault="00361523" w:rsidP="008D1EC3">
            <w:pPr>
              <w:pStyle w:val="ListParagraph"/>
              <w:numPr>
                <w:ilvl w:val="0"/>
                <w:numId w:val="17"/>
              </w:numPr>
              <w:tabs>
                <w:tab w:val="right" w:leader="dot" w:pos="6180"/>
              </w:tabs>
              <w:spacing w:before="120" w:after="120"/>
              <w:ind w:left="170" w:hanging="170"/>
              <w:rPr>
                <w:rFonts w:cs="Arial"/>
                <w:sz w:val="20"/>
                <w:szCs w:val="20"/>
                <w:lang w:val="en-US"/>
              </w:rPr>
            </w:pPr>
            <w:r>
              <w:rPr>
                <w:color w:val="000000" w:themeColor="text1"/>
                <w:sz w:val="20"/>
                <w:szCs w:val="20"/>
                <w:shd w:val="clear" w:color="auto" w:fill="FFFFFF" w:themeFill="background1"/>
                <w:lang w:val="en-US"/>
              </w:rPr>
              <w:t>L</w:t>
            </w:r>
            <w:r w:rsidRPr="005F4380">
              <w:rPr>
                <w:color w:val="000000" w:themeColor="text1"/>
                <w:sz w:val="20"/>
                <w:szCs w:val="20"/>
                <w:shd w:val="clear" w:color="auto" w:fill="FFFFFF" w:themeFill="background1"/>
                <w:lang w:val="en-US"/>
              </w:rPr>
              <w:t>apse rate of renewals:</w:t>
            </w:r>
            <w:r w:rsidRPr="005F4380">
              <w:rPr>
                <w:color w:val="000000" w:themeColor="text1"/>
                <w:sz w:val="20"/>
                <w:szCs w:val="20"/>
                <w:shd w:val="clear" w:color="auto" w:fill="FFFFFF" w:themeFill="background1"/>
                <w:lang w:val="en-US"/>
              </w:rPr>
              <w:tab/>
            </w:r>
            <w:r w:rsidRPr="005F4380">
              <w:rPr>
                <w:color w:val="000000" w:themeColor="text1"/>
                <w:sz w:val="20"/>
                <w:szCs w:val="20"/>
                <w:lang w:val="en-US"/>
              </w:rPr>
              <w:t>3.04</w:t>
            </w:r>
            <w:r>
              <w:rPr>
                <w:color w:val="000000" w:themeColor="text1"/>
                <w:sz w:val="20"/>
                <w:szCs w:val="20"/>
                <w:lang w:val="en-US"/>
              </w:rPr>
              <w:t>%</w:t>
            </w:r>
          </w:p>
        </w:tc>
        <w:tc>
          <w:tcPr>
            <w:tcW w:w="67" w:type="dxa"/>
            <w:tcBorders>
              <w:top w:val="nil"/>
              <w:left w:val="nil"/>
              <w:bottom w:val="single" w:sz="4" w:space="0" w:color="auto"/>
              <w:right w:val="nil"/>
            </w:tcBorders>
            <w:vAlign w:val="center"/>
            <w:hideMark/>
          </w:tcPr>
          <w:p w:rsidR="00361523" w:rsidRDefault="00361523" w:rsidP="006D7CC5">
            <w:pPr>
              <w:spacing w:after="0"/>
              <w:rPr>
                <w:sz w:val="20"/>
                <w:szCs w:val="20"/>
                <w:lang w:val="en-US"/>
              </w:rPr>
            </w:pPr>
          </w:p>
        </w:tc>
      </w:tr>
      <w:tr w:rsidR="00361523" w:rsidTr="00361523">
        <w:tc>
          <w:tcPr>
            <w:tcW w:w="2552"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361523" w:rsidRDefault="00361523" w:rsidP="008D1EC3">
            <w:pPr>
              <w:pStyle w:val="ListParagraph"/>
              <w:numPr>
                <w:ilvl w:val="0"/>
                <w:numId w:val="19"/>
              </w:numPr>
              <w:spacing w:before="120" w:after="120"/>
              <w:ind w:left="318" w:hanging="284"/>
              <w:rPr>
                <w:sz w:val="20"/>
                <w:lang w:val="en-US"/>
              </w:rPr>
            </w:pPr>
            <w:r>
              <w:rPr>
                <w:rFonts w:cs="Arial"/>
                <w:color w:val="000000"/>
                <w:sz w:val="20"/>
                <w:szCs w:val="20"/>
                <w:lang w:val="en-US"/>
              </w:rPr>
              <w:t>Board and committee expenses</w:t>
            </w:r>
          </w:p>
        </w:tc>
        <w:tc>
          <w:tcPr>
            <w:tcW w:w="6363" w:type="dxa"/>
            <w:tcBorders>
              <w:top w:val="nil"/>
              <w:left w:val="single" w:sz="4" w:space="0" w:color="auto"/>
              <w:bottom w:val="single" w:sz="4" w:space="0" w:color="auto"/>
              <w:right w:val="nil"/>
            </w:tcBorders>
            <w:tcMar>
              <w:top w:w="0" w:type="dxa"/>
              <w:left w:w="108" w:type="dxa"/>
              <w:bottom w:w="0" w:type="dxa"/>
              <w:right w:w="108" w:type="dxa"/>
            </w:tcMar>
            <w:hideMark/>
          </w:tcPr>
          <w:p w:rsidR="00361523" w:rsidRDefault="00361523" w:rsidP="006D7CC5">
            <w:pPr>
              <w:spacing w:before="120" w:after="120"/>
              <w:rPr>
                <w:rFonts w:ascii="Calibri" w:eastAsiaTheme="minorHAnsi" w:hAnsi="Calibri"/>
                <w:sz w:val="20"/>
                <w:szCs w:val="22"/>
                <w:lang w:val="en-US"/>
              </w:rPr>
            </w:pPr>
            <w:r>
              <w:rPr>
                <w:rFonts w:cs="Arial"/>
                <w:sz w:val="20"/>
                <w:szCs w:val="20"/>
                <w:lang w:val="en-US"/>
              </w:rPr>
              <w:t>This covers the meeting costs of the National Board, as well as its committees, which have the delegated authority to make decisions about individual registered health practitioners.</w:t>
            </w:r>
          </w:p>
          <w:p w:rsidR="00361523" w:rsidRDefault="00361523" w:rsidP="006D7CC5">
            <w:pPr>
              <w:spacing w:before="120" w:after="120"/>
              <w:rPr>
                <w:rFonts w:ascii="Calibri" w:eastAsiaTheme="minorHAnsi" w:hAnsi="Calibri"/>
                <w:sz w:val="20"/>
                <w:szCs w:val="22"/>
                <w:lang w:val="en-US"/>
              </w:rPr>
            </w:pPr>
            <w:r>
              <w:rPr>
                <w:rFonts w:cs="Arial"/>
                <w:sz w:val="20"/>
                <w:szCs w:val="20"/>
                <w:lang w:val="en-US"/>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361523" w:rsidRDefault="00361523" w:rsidP="006D7CC5">
            <w:pPr>
              <w:rPr>
                <w:rFonts w:ascii="Calibri" w:eastAsiaTheme="minorHAnsi" w:hAnsi="Calibri"/>
                <w:sz w:val="20"/>
                <w:szCs w:val="22"/>
                <w:lang w:val="en-US"/>
              </w:rPr>
            </w:pPr>
            <w:r>
              <w:rPr>
                <w:sz w:val="20"/>
                <w:lang w:val="en-US"/>
              </w:rPr>
              <w:t> </w:t>
            </w:r>
          </w:p>
        </w:tc>
      </w:tr>
      <w:tr w:rsidR="00361523" w:rsidTr="00361523">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61523" w:rsidRDefault="00361523" w:rsidP="008D1EC3">
            <w:pPr>
              <w:pStyle w:val="ListParagraph"/>
              <w:numPr>
                <w:ilvl w:val="0"/>
                <w:numId w:val="19"/>
              </w:numPr>
              <w:spacing w:before="120" w:after="120"/>
              <w:ind w:left="318"/>
              <w:rPr>
                <w:sz w:val="20"/>
                <w:lang w:val="en-US"/>
              </w:rPr>
            </w:pPr>
            <w:r>
              <w:rPr>
                <w:rFonts w:cs="Arial"/>
                <w:color w:val="000000"/>
                <w:sz w:val="20"/>
                <w:szCs w:val="20"/>
                <w:lang w:val="en-US"/>
              </w:rPr>
              <w:t>Legal, tribunal costs, and expert advice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61523" w:rsidRPr="00886ADB" w:rsidRDefault="00361523" w:rsidP="006D7CC5">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361523" w:rsidRDefault="00361523" w:rsidP="006D7CC5">
            <w:pPr>
              <w:spacing w:before="120" w:after="120"/>
              <w:rPr>
                <w:rFonts w:ascii="Calibri" w:eastAsiaTheme="minorHAnsi" w:hAnsi="Calibri"/>
                <w:sz w:val="20"/>
                <w:szCs w:val="22"/>
                <w:lang w:val="en-US"/>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tcBorders>
              <w:top w:val="single" w:sz="4" w:space="0" w:color="auto"/>
              <w:left w:val="nil"/>
              <w:bottom w:val="single" w:sz="4" w:space="0" w:color="auto"/>
              <w:right w:val="nil"/>
            </w:tcBorders>
            <w:vAlign w:val="center"/>
            <w:hideMark/>
          </w:tcPr>
          <w:p w:rsidR="00361523" w:rsidRDefault="00361523" w:rsidP="006D7CC5">
            <w:pPr>
              <w:rPr>
                <w:rFonts w:ascii="Calibri" w:eastAsiaTheme="minorHAnsi" w:hAnsi="Calibri"/>
                <w:sz w:val="20"/>
                <w:szCs w:val="22"/>
                <w:lang w:val="en-US"/>
              </w:rPr>
            </w:pPr>
            <w:r>
              <w:rPr>
                <w:sz w:val="20"/>
                <w:lang w:val="en-US"/>
              </w:rPr>
              <w:t> </w:t>
            </w:r>
          </w:p>
        </w:tc>
      </w:tr>
      <w:tr w:rsidR="00361523" w:rsidTr="00361523">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61523" w:rsidRDefault="00361523" w:rsidP="008D1EC3">
            <w:pPr>
              <w:pStyle w:val="ListParagraph"/>
              <w:numPr>
                <w:ilvl w:val="0"/>
                <w:numId w:val="19"/>
              </w:numPr>
              <w:spacing w:before="120" w:after="120"/>
              <w:ind w:left="318"/>
              <w:rPr>
                <w:sz w:val="20"/>
                <w:lang w:val="en-US"/>
              </w:rPr>
            </w:pPr>
            <w:r>
              <w:rPr>
                <w:rFonts w:cs="Arial"/>
                <w:color w:val="000000"/>
                <w:sz w:val="20"/>
                <w:szCs w:val="20"/>
                <w:lang w:val="en-US"/>
              </w:rPr>
              <w:t>Accreditation</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61523" w:rsidRDefault="00361523" w:rsidP="006D7CC5">
            <w:pPr>
              <w:autoSpaceDE w:val="0"/>
              <w:autoSpaceDN w:val="0"/>
              <w:spacing w:before="120" w:after="120"/>
              <w:rPr>
                <w:rFonts w:ascii="Calibri" w:eastAsiaTheme="minorHAnsi" w:hAnsi="Calibri"/>
                <w:sz w:val="20"/>
                <w:szCs w:val="22"/>
                <w:lang w:val="en-US"/>
              </w:rPr>
            </w:pPr>
            <w:r>
              <w:rPr>
                <w:rFonts w:cs="Arial"/>
                <w:sz w:val="20"/>
                <w:szCs w:val="20"/>
                <w:lang w:val="en-US"/>
              </w:rPr>
              <w:t>Accreditation expenses include the costs of funding provided to the Australian Physiotherapy Council for accreditation functions and related projects.</w:t>
            </w:r>
          </w:p>
        </w:tc>
        <w:tc>
          <w:tcPr>
            <w:tcW w:w="67" w:type="dxa"/>
            <w:tcBorders>
              <w:top w:val="single" w:sz="4" w:space="0" w:color="auto"/>
              <w:left w:val="nil"/>
              <w:bottom w:val="single" w:sz="4" w:space="0" w:color="auto"/>
              <w:right w:val="nil"/>
            </w:tcBorders>
            <w:vAlign w:val="center"/>
            <w:hideMark/>
          </w:tcPr>
          <w:p w:rsidR="00361523" w:rsidRDefault="00361523" w:rsidP="006D7CC5">
            <w:pPr>
              <w:rPr>
                <w:rFonts w:ascii="Calibri" w:eastAsiaTheme="minorHAnsi" w:hAnsi="Calibri"/>
                <w:sz w:val="20"/>
                <w:szCs w:val="22"/>
                <w:lang w:val="en-US"/>
              </w:rPr>
            </w:pPr>
            <w:r>
              <w:rPr>
                <w:sz w:val="20"/>
                <w:lang w:val="en-US"/>
              </w:rPr>
              <w:t> </w:t>
            </w:r>
          </w:p>
        </w:tc>
      </w:tr>
      <w:tr w:rsidR="00361523" w:rsidTr="00361523">
        <w:tc>
          <w:tcPr>
            <w:tcW w:w="255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61523" w:rsidRDefault="00361523" w:rsidP="008D1EC3">
            <w:pPr>
              <w:pStyle w:val="ListParagraph"/>
              <w:numPr>
                <w:ilvl w:val="0"/>
                <w:numId w:val="19"/>
              </w:numPr>
              <w:spacing w:before="120" w:after="120"/>
              <w:ind w:left="318"/>
              <w:rPr>
                <w:sz w:val="20"/>
                <w:lang w:val="en-US"/>
              </w:rPr>
            </w:pPr>
            <w:r>
              <w:rPr>
                <w:rFonts w:cs="Arial"/>
                <w:color w:val="000000"/>
                <w:sz w:val="20"/>
                <w:szCs w:val="20"/>
                <w:lang w:val="en-US"/>
              </w:rPr>
              <w:t>Other direct expenditure</w:t>
            </w:r>
          </w:p>
        </w:tc>
        <w:tc>
          <w:tcPr>
            <w:tcW w:w="636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361523" w:rsidRDefault="00361523" w:rsidP="006D7CC5">
            <w:pPr>
              <w:spacing w:before="80" w:after="80"/>
              <w:rPr>
                <w:rFonts w:ascii="Calibri" w:eastAsiaTheme="minorHAnsi" w:hAnsi="Calibri"/>
                <w:sz w:val="20"/>
                <w:szCs w:val="22"/>
                <w:lang w:val="en-US"/>
              </w:rPr>
            </w:pPr>
            <w:r>
              <w:rPr>
                <w:rFonts w:cs="Arial"/>
                <w:sz w:val="20"/>
                <w:szCs w:val="20"/>
                <w:lang w:val="en-US"/>
              </w:rPr>
              <w:t xml:space="preserve">Costs associated with the Board’s work on registration standards, policies and guidelines. </w:t>
            </w:r>
          </w:p>
          <w:p w:rsidR="00361523" w:rsidRDefault="00361523" w:rsidP="006D7CC5">
            <w:pPr>
              <w:spacing w:before="80" w:after="80"/>
              <w:rPr>
                <w:sz w:val="20"/>
                <w:lang w:val="en-US"/>
              </w:rPr>
            </w:pPr>
            <w:r>
              <w:rPr>
                <w:rFonts w:cs="Arial"/>
                <w:sz w:val="20"/>
                <w:szCs w:val="20"/>
                <w:lang w:val="en-US"/>
              </w:rPr>
              <w:t>This includes the following activities:</w:t>
            </w:r>
          </w:p>
          <w:p w:rsidR="00361523" w:rsidRDefault="00361523" w:rsidP="008D1EC3">
            <w:pPr>
              <w:pStyle w:val="ListParagraph"/>
              <w:numPr>
                <w:ilvl w:val="0"/>
                <w:numId w:val="16"/>
              </w:numPr>
              <w:spacing w:before="80" w:after="80"/>
              <w:ind w:left="357" w:hanging="357"/>
              <w:rPr>
                <w:sz w:val="20"/>
                <w:lang w:val="en-US"/>
              </w:rPr>
            </w:pPr>
            <w:r>
              <w:rPr>
                <w:rFonts w:cs="Arial"/>
                <w:sz w:val="20"/>
                <w:szCs w:val="20"/>
                <w:lang w:val="en-US"/>
              </w:rPr>
              <w:t>costs involved in consultation with the community and the profession</w:t>
            </w:r>
          </w:p>
          <w:p w:rsidR="00361523" w:rsidRDefault="00361523" w:rsidP="008D1EC3">
            <w:pPr>
              <w:pStyle w:val="ListParagraph"/>
              <w:numPr>
                <w:ilvl w:val="0"/>
                <w:numId w:val="16"/>
              </w:numPr>
              <w:spacing w:before="80" w:after="80"/>
              <w:ind w:left="357" w:hanging="357"/>
              <w:rPr>
                <w:sz w:val="20"/>
                <w:lang w:val="en-US"/>
              </w:rPr>
            </w:pPr>
            <w:r>
              <w:rPr>
                <w:rFonts w:cs="Arial"/>
                <w:sz w:val="20"/>
                <w:szCs w:val="20"/>
                <w:lang w:val="en-US"/>
              </w:rPr>
              <w:t xml:space="preserve">engagement of consultants necessary to support the </w:t>
            </w:r>
            <w:r>
              <w:rPr>
                <w:rFonts w:cs="Arial"/>
                <w:sz w:val="20"/>
                <w:szCs w:val="20"/>
              </w:rPr>
              <w:t>Board’s w</w:t>
            </w:r>
            <w:r w:rsidRPr="00886ADB">
              <w:rPr>
                <w:rFonts w:cs="Arial"/>
                <w:sz w:val="20"/>
                <w:szCs w:val="20"/>
              </w:rPr>
              <w:t>ork</w:t>
            </w:r>
          </w:p>
          <w:p w:rsidR="00361523" w:rsidRDefault="00361523" w:rsidP="008D1EC3">
            <w:pPr>
              <w:pStyle w:val="ListParagraph"/>
              <w:numPr>
                <w:ilvl w:val="0"/>
                <w:numId w:val="16"/>
              </w:numPr>
              <w:spacing w:before="80" w:after="80"/>
              <w:ind w:left="357" w:hanging="357"/>
              <w:rPr>
                <w:sz w:val="20"/>
                <w:lang w:val="en-US"/>
              </w:rPr>
            </w:pPr>
            <w:r>
              <w:rPr>
                <w:rFonts w:cs="Arial"/>
                <w:sz w:val="20"/>
                <w:szCs w:val="20"/>
                <w:lang w:val="en-US"/>
              </w:rPr>
              <w:t xml:space="preserve">publication of material to guide the profession, such as the Board’s newsletter </w:t>
            </w:r>
          </w:p>
          <w:p w:rsidR="00361523" w:rsidRDefault="00361523" w:rsidP="008D1EC3">
            <w:pPr>
              <w:pStyle w:val="ListParagraph"/>
              <w:numPr>
                <w:ilvl w:val="0"/>
                <w:numId w:val="16"/>
              </w:numPr>
              <w:spacing w:before="80" w:after="80"/>
              <w:ind w:left="357" w:hanging="357"/>
              <w:rPr>
                <w:sz w:val="20"/>
                <w:lang w:val="en-US"/>
              </w:rPr>
            </w:pPr>
            <w:r>
              <w:rPr>
                <w:rFonts w:cs="Arial"/>
                <w:sz w:val="20"/>
                <w:szCs w:val="20"/>
                <w:lang w:val="en-US"/>
              </w:rPr>
              <w:t>Board member professional development, and</w:t>
            </w:r>
          </w:p>
          <w:p w:rsidR="00361523" w:rsidRDefault="00361523" w:rsidP="008D1EC3">
            <w:pPr>
              <w:pStyle w:val="ListParagraph"/>
              <w:numPr>
                <w:ilvl w:val="0"/>
                <w:numId w:val="16"/>
              </w:numPr>
              <w:spacing w:before="80" w:after="80"/>
              <w:ind w:left="357" w:hanging="357"/>
              <w:rPr>
                <w:sz w:val="20"/>
                <w:lang w:val="en-US"/>
              </w:rPr>
            </w:pPr>
            <w:r>
              <w:rPr>
                <w:rFonts w:cs="Arial"/>
                <w:sz w:val="20"/>
                <w:szCs w:val="20"/>
                <w:lang w:val="en-US"/>
              </w:rPr>
              <w:t>policy development and projects.</w:t>
            </w:r>
          </w:p>
        </w:tc>
        <w:tc>
          <w:tcPr>
            <w:tcW w:w="67" w:type="dxa"/>
            <w:tcBorders>
              <w:top w:val="single" w:sz="4" w:space="0" w:color="auto"/>
              <w:left w:val="nil"/>
              <w:bottom w:val="single" w:sz="4" w:space="0" w:color="auto"/>
              <w:right w:val="nil"/>
            </w:tcBorders>
            <w:vAlign w:val="center"/>
            <w:hideMark/>
          </w:tcPr>
          <w:p w:rsidR="00361523" w:rsidRDefault="00361523" w:rsidP="006D7CC5">
            <w:pPr>
              <w:rPr>
                <w:rFonts w:ascii="Calibri" w:eastAsiaTheme="minorHAnsi" w:hAnsi="Calibri"/>
                <w:sz w:val="20"/>
                <w:szCs w:val="22"/>
                <w:lang w:val="en-US"/>
              </w:rPr>
            </w:pPr>
            <w:r>
              <w:rPr>
                <w:sz w:val="20"/>
                <w:lang w:val="en-US"/>
              </w:rPr>
              <w:t> </w:t>
            </w:r>
          </w:p>
        </w:tc>
      </w:tr>
      <w:tr w:rsidR="00361523" w:rsidTr="00361523">
        <w:tc>
          <w:tcPr>
            <w:tcW w:w="67" w:type="dxa"/>
            <w:tcBorders>
              <w:top w:val="single" w:sz="4" w:space="0" w:color="auto"/>
              <w:left w:val="nil"/>
              <w:bottom w:val="single" w:sz="4" w:space="0" w:color="auto"/>
              <w:right w:val="nil"/>
            </w:tcBorders>
            <w:vAlign w:val="center"/>
            <w:hideMark/>
          </w:tcPr>
          <w:p w:rsidR="00361523" w:rsidRDefault="00361523" w:rsidP="006D7CC5">
            <w:pPr>
              <w:spacing w:after="0"/>
              <w:rPr>
                <w:sz w:val="20"/>
                <w:szCs w:val="20"/>
                <w:lang w:val="en-US"/>
              </w:rPr>
            </w:pPr>
          </w:p>
        </w:tc>
        <w:tc>
          <w:tcPr>
            <w:tcW w:w="2485" w:type="dxa"/>
            <w:tcBorders>
              <w:top w:val="single" w:sz="4" w:space="0" w:color="auto"/>
              <w:left w:val="nil"/>
              <w:bottom w:val="single" w:sz="4" w:space="0" w:color="auto"/>
              <w:right w:val="single" w:sz="4" w:space="0" w:color="auto"/>
            </w:tcBorders>
            <w:hideMark/>
          </w:tcPr>
          <w:p w:rsidR="00361523" w:rsidRPr="00BF3D4D" w:rsidRDefault="00361523" w:rsidP="006D7CC5">
            <w:pPr>
              <w:pStyle w:val="ListParagraph"/>
              <w:ind w:left="357"/>
              <w:rPr>
                <w:rFonts w:ascii="Times New Roman" w:eastAsia="Times New Roman" w:hAnsi="Times New Roman"/>
                <w:sz w:val="10"/>
                <w:szCs w:val="20"/>
                <w:lang w:val="en-US"/>
              </w:rPr>
            </w:pPr>
          </w:p>
          <w:p w:rsidR="00361523" w:rsidRDefault="00361523" w:rsidP="008D1EC3">
            <w:pPr>
              <w:pStyle w:val="ListParagraph"/>
              <w:numPr>
                <w:ilvl w:val="0"/>
                <w:numId w:val="19"/>
              </w:numPr>
              <w:ind w:left="357" w:hanging="357"/>
              <w:rPr>
                <w:rFonts w:ascii="Times New Roman" w:eastAsia="Times New Roman" w:hAnsi="Times New Roman"/>
                <w:sz w:val="20"/>
                <w:szCs w:val="20"/>
                <w:lang w:val="en-US"/>
              </w:rPr>
            </w:pPr>
            <w:r>
              <w:rPr>
                <w:rFonts w:cs="Arial"/>
                <w:color w:val="000000"/>
                <w:sz w:val="20"/>
                <w:szCs w:val="20"/>
                <w:lang w:val="en-US"/>
              </w:rPr>
              <w:t>Indirect expenditure</w:t>
            </w:r>
          </w:p>
        </w:tc>
        <w:tc>
          <w:tcPr>
            <w:tcW w:w="6363" w:type="dxa"/>
            <w:tcBorders>
              <w:top w:val="single" w:sz="4" w:space="0" w:color="auto"/>
              <w:left w:val="single" w:sz="4" w:space="0" w:color="auto"/>
              <w:bottom w:val="single" w:sz="4" w:space="0" w:color="auto"/>
              <w:right w:val="nil"/>
            </w:tcBorders>
            <w:hideMark/>
          </w:tcPr>
          <w:p w:rsidR="00361523" w:rsidRDefault="00361523" w:rsidP="006D7CC5">
            <w:pPr>
              <w:spacing w:before="120" w:after="120"/>
              <w:ind w:left="113"/>
              <w:rPr>
                <w:rFonts w:cs="Arial"/>
                <w:color w:val="FF0000"/>
                <w:sz w:val="20"/>
                <w:szCs w:val="20"/>
                <w:lang w:eastAsia="en-AU"/>
              </w:rPr>
            </w:pPr>
            <w:r>
              <w:rPr>
                <w:rFonts w:cs="Arial"/>
                <w:color w:val="000000" w:themeColor="text1"/>
                <w:sz w:val="20"/>
                <w:szCs w:val="20"/>
                <w:lang w:eastAsia="en-AU"/>
              </w:rPr>
              <w:t>The p</w:t>
            </w:r>
            <w:r w:rsidRPr="008D042B">
              <w:rPr>
                <w:rFonts w:cs="Arial"/>
                <w:color w:val="000000" w:themeColor="text1"/>
                <w:sz w:val="20"/>
                <w:szCs w:val="20"/>
                <w:lang w:eastAsia="en-AU"/>
              </w:rPr>
              <w:t xml:space="preserve">roportion of </w:t>
            </w:r>
            <w:r>
              <w:rPr>
                <w:rFonts w:cs="Arial"/>
                <w:color w:val="000000" w:themeColor="text1"/>
                <w:sz w:val="20"/>
                <w:szCs w:val="20"/>
                <w:lang w:eastAsia="en-AU"/>
              </w:rPr>
              <w:t xml:space="preserve">AHPRA’s business as usual </w:t>
            </w:r>
            <w:r w:rsidRPr="008D042B">
              <w:rPr>
                <w:rFonts w:cs="Arial"/>
                <w:color w:val="000000" w:themeColor="text1"/>
                <w:sz w:val="20"/>
                <w:szCs w:val="20"/>
                <w:lang w:eastAsia="en-AU"/>
              </w:rPr>
              <w:t>costs allocated to the Board</w:t>
            </w:r>
            <w:r>
              <w:rPr>
                <w:rFonts w:cs="Arial"/>
                <w:color w:val="000000" w:themeColor="text1"/>
                <w:sz w:val="20"/>
                <w:szCs w:val="20"/>
                <w:lang w:eastAsia="en-AU"/>
              </w:rPr>
              <w:t xml:space="preserve"> as indirect costs</w:t>
            </w:r>
            <w:r w:rsidRPr="008D042B">
              <w:rPr>
                <w:rFonts w:cs="Arial"/>
                <w:color w:val="000000" w:themeColor="text1"/>
                <w:sz w:val="20"/>
                <w:szCs w:val="20"/>
                <w:lang w:eastAsia="en-AU"/>
              </w:rPr>
              <w:t xml:space="preserve"> </w:t>
            </w:r>
            <w:r w:rsidRPr="003D141B">
              <w:rPr>
                <w:rFonts w:cs="Arial"/>
                <w:color w:val="000000" w:themeColor="text1"/>
                <w:sz w:val="20"/>
                <w:szCs w:val="20"/>
                <w:lang w:eastAsia="en-AU"/>
              </w:rPr>
              <w:t xml:space="preserve">is </w:t>
            </w:r>
            <w:r>
              <w:rPr>
                <w:rFonts w:cs="Arial"/>
                <w:color w:val="000000" w:themeColor="text1"/>
                <w:sz w:val="20"/>
                <w:szCs w:val="20"/>
                <w:lang w:eastAsia="en-AU"/>
              </w:rPr>
              <w:t>2.30</w:t>
            </w:r>
            <w:r w:rsidRPr="003D141B">
              <w:rPr>
                <w:rFonts w:cs="Arial"/>
                <w:color w:val="000000" w:themeColor="text1"/>
                <w:sz w:val="20"/>
                <w:szCs w:val="20"/>
                <w:lang w:eastAsia="en-AU"/>
              </w:rPr>
              <w:t xml:space="preserve">%.  The percentage allocation for the Board in 2015/16 was </w:t>
            </w:r>
            <w:r>
              <w:rPr>
                <w:rFonts w:cs="Arial"/>
                <w:color w:val="000000" w:themeColor="text1"/>
                <w:sz w:val="20"/>
                <w:szCs w:val="20"/>
                <w:lang w:eastAsia="en-AU"/>
              </w:rPr>
              <w:t>2.30</w:t>
            </w:r>
            <w:r w:rsidRPr="003D141B">
              <w:rPr>
                <w:rFonts w:cs="Arial"/>
                <w:color w:val="000000" w:themeColor="text1"/>
                <w:sz w:val="20"/>
                <w:szCs w:val="20"/>
                <w:lang w:eastAsia="en-AU"/>
              </w:rPr>
              <w:t>%</w:t>
            </w:r>
            <w:r w:rsidRPr="0001673D">
              <w:rPr>
                <w:rFonts w:cs="Arial"/>
                <w:sz w:val="20"/>
                <w:szCs w:val="20"/>
                <w:lang w:eastAsia="en-AU"/>
              </w:rPr>
              <w:t>.</w:t>
            </w:r>
          </w:p>
          <w:p w:rsidR="00361523" w:rsidRPr="003D141B" w:rsidRDefault="00361523" w:rsidP="006D7CC5">
            <w:pPr>
              <w:spacing w:before="120" w:after="120"/>
              <w:ind w:left="113"/>
              <w:rPr>
                <w:rFonts w:cs="Arial"/>
                <w:sz w:val="20"/>
                <w:szCs w:val="20"/>
                <w:lang w:eastAsia="en-AU"/>
              </w:rPr>
            </w:pPr>
            <w:r>
              <w:rPr>
                <w:rFonts w:cs="Arial"/>
                <w:sz w:val="20"/>
                <w:szCs w:val="20"/>
                <w:lang w:eastAsia="en-AU"/>
              </w:rPr>
              <w:t>In addition, indirect costs include a one off cost of implementing a major information systems replacement program.</w:t>
            </w:r>
          </w:p>
          <w:p w:rsidR="00361523" w:rsidRDefault="00361523"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361523" w:rsidRDefault="00361523" w:rsidP="006D7CC5">
            <w:pPr>
              <w:spacing w:before="120" w:after="120"/>
              <w:ind w:left="113"/>
              <w:rPr>
                <w:rFonts w:cs="Arial"/>
                <w:color w:val="000000" w:themeColor="text1"/>
                <w:sz w:val="20"/>
                <w:szCs w:val="20"/>
                <w:lang w:eastAsia="en-AU"/>
              </w:rPr>
            </w:pPr>
            <w:r>
              <w:rPr>
                <w:rFonts w:cs="Arial"/>
                <w:color w:val="000000" w:themeColor="text1"/>
                <w:sz w:val="20"/>
                <w:szCs w:val="20"/>
                <w:lang w:eastAsia="en-AU"/>
              </w:rPr>
              <w:t xml:space="preserve">AHPRA supports the work of the National Boards and committees by employing all staff and providing systems and infrastructure to manage core regulatory (registration, notifications, compliance, </w:t>
            </w:r>
            <w:r>
              <w:rPr>
                <w:rFonts w:cs="Arial"/>
                <w:color w:val="000000" w:themeColor="text1"/>
                <w:sz w:val="20"/>
                <w:szCs w:val="20"/>
                <w:lang w:eastAsia="en-AU"/>
              </w:rPr>
              <w:lastRenderedPageBreak/>
              <w:t>accreditation and professional standards) and support services in eight state and territory offices.</w:t>
            </w:r>
          </w:p>
          <w:p w:rsidR="00361523" w:rsidRDefault="00361523" w:rsidP="006D7CC5">
            <w:pPr>
              <w:tabs>
                <w:tab w:val="right" w:leader="dot" w:pos="6237"/>
              </w:tabs>
              <w:spacing w:before="120" w:after="120"/>
              <w:ind w:left="113"/>
              <w:rPr>
                <w:rFonts w:ascii="Times New Roman" w:eastAsia="Times New Roman" w:hAnsi="Times New Roman"/>
                <w:sz w:val="20"/>
                <w:szCs w:val="20"/>
                <w:lang w:val="en-US"/>
              </w:rPr>
            </w:pPr>
            <w:r>
              <w:rPr>
                <w:rFonts w:cs="Arial"/>
                <w:color w:val="000000" w:themeColor="text1"/>
                <w:sz w:val="20"/>
                <w:szCs w:val="20"/>
                <w:lang w:eastAsia="en-AU"/>
              </w:rPr>
              <w:t>The 2016/17 AHPRA business plan sets out AHPRA’s objectives for 2016/17 and how they will be achieved.</w:t>
            </w:r>
          </w:p>
        </w:tc>
        <w:tc>
          <w:tcPr>
            <w:tcW w:w="67" w:type="dxa"/>
            <w:tcBorders>
              <w:top w:val="single" w:sz="4" w:space="0" w:color="auto"/>
              <w:left w:val="nil"/>
              <w:bottom w:val="single" w:sz="4" w:space="0" w:color="auto"/>
              <w:right w:val="nil"/>
            </w:tcBorders>
            <w:vAlign w:val="center"/>
            <w:hideMark/>
          </w:tcPr>
          <w:p w:rsidR="00361523" w:rsidRDefault="00361523" w:rsidP="006D7CC5">
            <w:pPr>
              <w:spacing w:after="0"/>
              <w:rPr>
                <w:sz w:val="20"/>
                <w:szCs w:val="20"/>
                <w:lang w:val="en-US"/>
              </w:rPr>
            </w:pPr>
          </w:p>
        </w:tc>
      </w:tr>
    </w:tbl>
    <w:p w:rsidR="009A2AF2" w:rsidRDefault="009A2AF2" w:rsidP="00DF4401">
      <w:pPr>
        <w:spacing w:after="0"/>
        <w:rPr>
          <w:rFonts w:cs="Arial"/>
          <w:b/>
          <w:sz w:val="20"/>
        </w:rPr>
      </w:pPr>
      <w:r>
        <w:rPr>
          <w:b/>
        </w:rPr>
        <w:br w:type="page"/>
      </w:r>
    </w:p>
    <w:p w:rsidR="009A2AF2" w:rsidRPr="007C7B7F" w:rsidRDefault="009A2AF2" w:rsidP="00ED21ED">
      <w:pPr>
        <w:pStyle w:val="AHPRADocumentsubheading"/>
        <w:spacing w:after="120"/>
      </w:pPr>
      <w:r w:rsidRPr="007C7B7F">
        <w:lastRenderedPageBreak/>
        <w:t xml:space="preserve">Schedule </w:t>
      </w:r>
      <w:r>
        <w:t>5: Performance management framework</w:t>
      </w:r>
    </w:p>
    <w:p w:rsidR="009A2AF2" w:rsidRPr="00ED21ED" w:rsidRDefault="009A2AF2" w:rsidP="00C12A10">
      <w:pPr>
        <w:pStyle w:val="Default"/>
        <w:spacing w:after="200"/>
        <w:rPr>
          <w:b/>
          <w:color w:val="007DC3"/>
          <w:sz w:val="20"/>
        </w:rPr>
      </w:pPr>
      <w:r>
        <w:rPr>
          <w:b/>
          <w:color w:val="007DC3"/>
          <w:sz w:val="20"/>
        </w:rPr>
        <w:t>V</w:t>
      </w:r>
      <w:r w:rsidRPr="00ED21ED">
        <w:rPr>
          <w:b/>
          <w:color w:val="007DC3"/>
          <w:sz w:val="20"/>
        </w:rPr>
        <w:t>olume and trend data reports</w:t>
      </w:r>
    </w:p>
    <w:p w:rsidR="009A2AF2" w:rsidRPr="000B4D28" w:rsidRDefault="009A2AF2" w:rsidP="000B4D28">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361523" w:rsidRDefault="00361523" w:rsidP="00485FEB">
      <w:pPr>
        <w:pStyle w:val="AHPRAbody"/>
        <w:sectPr w:rsidR="00361523" w:rsidSect="00363196">
          <w:pgSz w:w="11900" w:h="16840"/>
          <w:pgMar w:top="1440" w:right="1440" w:bottom="1440" w:left="1440" w:header="284" w:footer="686" w:gutter="0"/>
          <w:cols w:space="708"/>
          <w:titlePg/>
          <w:docGrid w:linePitch="326"/>
        </w:sectPr>
      </w:pPr>
    </w:p>
    <w:p w:rsidR="009A2AF2" w:rsidRPr="00C12A10" w:rsidRDefault="009A2AF2" w:rsidP="00485FEB">
      <w:pPr>
        <w:pStyle w:val="AHPRAbody"/>
      </w:pPr>
    </w:p>
    <w:sectPr w:rsidR="009A2AF2" w:rsidRPr="00C12A10" w:rsidSect="009A2AF2">
      <w:type w:val="continuous"/>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F2" w:rsidRDefault="009A2AF2" w:rsidP="00FC2881">
      <w:pPr>
        <w:spacing w:after="0"/>
      </w:pPr>
      <w:r>
        <w:separator/>
      </w:r>
    </w:p>
    <w:p w:rsidR="009A2AF2" w:rsidRDefault="009A2AF2"/>
  </w:endnote>
  <w:endnote w:type="continuationSeparator" w:id="0">
    <w:p w:rsidR="009A2AF2" w:rsidRDefault="009A2AF2" w:rsidP="00FC2881">
      <w:pPr>
        <w:spacing w:after="0"/>
      </w:pPr>
      <w:r>
        <w:continuationSeparator/>
      </w:r>
    </w:p>
    <w:p w:rsidR="009A2AF2" w:rsidRDefault="009A2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607E8C" w:rsidRDefault="009A2AF2" w:rsidP="002C6D22">
    <w:pPr>
      <w:pStyle w:val="AHPRAfooter"/>
      <w:rPr>
        <w:szCs w:val="18"/>
      </w:rPr>
    </w:pPr>
    <w:r>
      <w:rPr>
        <w:szCs w:val="18"/>
      </w:rPr>
      <w:t>Health Profession Agreement 2016-20</w:t>
    </w:r>
  </w:p>
  <w:p w:rsidR="009A2AF2" w:rsidRPr="00607E8C" w:rsidRDefault="00C97CC8" w:rsidP="00607E8C">
    <w:pPr>
      <w:pStyle w:val="AHPRAfooter"/>
      <w:jc w:val="right"/>
      <w:rPr>
        <w:szCs w:val="18"/>
      </w:rPr>
    </w:pPr>
    <w:sdt>
      <w:sdtPr>
        <w:rPr>
          <w:szCs w:val="18"/>
        </w:rPr>
        <w:id w:val="8374046"/>
        <w:docPartObj>
          <w:docPartGallery w:val="Page Numbers (Top of Page)"/>
          <w:docPartUnique/>
        </w:docPartObj>
      </w:sdtPr>
      <w:sdtEndPr/>
      <w:sdtContent>
        <w:r w:rsidR="009A2AF2" w:rsidRPr="00607E8C">
          <w:rPr>
            <w:szCs w:val="18"/>
          </w:rPr>
          <w:t xml:space="preserve">Page </w:t>
        </w:r>
        <w:r w:rsidR="001D5322" w:rsidRPr="00607E8C">
          <w:rPr>
            <w:szCs w:val="18"/>
          </w:rPr>
          <w:fldChar w:fldCharType="begin"/>
        </w:r>
        <w:r w:rsidR="009A2AF2" w:rsidRPr="00607E8C">
          <w:rPr>
            <w:szCs w:val="18"/>
          </w:rPr>
          <w:instrText xml:space="preserve"> PAGE </w:instrText>
        </w:r>
        <w:r w:rsidR="001D5322" w:rsidRPr="00607E8C">
          <w:rPr>
            <w:szCs w:val="18"/>
          </w:rPr>
          <w:fldChar w:fldCharType="separate"/>
        </w:r>
        <w:r>
          <w:rPr>
            <w:noProof/>
            <w:szCs w:val="18"/>
          </w:rPr>
          <w:t>2</w:t>
        </w:r>
        <w:r w:rsidR="001D5322" w:rsidRPr="00607E8C">
          <w:rPr>
            <w:szCs w:val="18"/>
          </w:rPr>
          <w:fldChar w:fldCharType="end"/>
        </w:r>
        <w:r w:rsidR="009A2AF2" w:rsidRPr="00607E8C">
          <w:rPr>
            <w:szCs w:val="18"/>
          </w:rPr>
          <w:t xml:space="preserve"> of </w:t>
        </w:r>
        <w:r w:rsidR="001D5322" w:rsidRPr="00607E8C">
          <w:rPr>
            <w:szCs w:val="18"/>
          </w:rPr>
          <w:fldChar w:fldCharType="begin"/>
        </w:r>
        <w:r w:rsidR="009A2AF2" w:rsidRPr="00607E8C">
          <w:rPr>
            <w:szCs w:val="18"/>
          </w:rPr>
          <w:instrText xml:space="preserve"> NUMPAGES  </w:instrText>
        </w:r>
        <w:r w:rsidR="001D5322" w:rsidRPr="00607E8C">
          <w:rPr>
            <w:szCs w:val="18"/>
          </w:rPr>
          <w:fldChar w:fldCharType="separate"/>
        </w:r>
        <w:r>
          <w:rPr>
            <w:noProof/>
            <w:szCs w:val="18"/>
          </w:rPr>
          <w:t>22</w:t>
        </w:r>
        <w:r w:rsidR="001D5322"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E77E23" w:rsidRDefault="009A2AF2"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9A2AF2" w:rsidRPr="00C76025" w:rsidRDefault="009A2AF2"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1D5322" w:rsidP="00FC2881">
    <w:pPr>
      <w:pStyle w:val="AHPRAfootnote"/>
      <w:framePr w:wrap="around" w:vAnchor="text" w:hAnchor="margin" w:xAlign="right" w:y="1"/>
    </w:pPr>
    <w:r>
      <w:fldChar w:fldCharType="begin"/>
    </w:r>
    <w:r w:rsidR="009A2AF2">
      <w:instrText xml:space="preserve">PAGE  </w:instrText>
    </w:r>
    <w:r>
      <w:fldChar w:fldCharType="separate"/>
    </w:r>
    <w:r w:rsidR="009A2AF2">
      <w:rPr>
        <w:noProof/>
      </w:rPr>
      <w:t>1</w:t>
    </w:r>
    <w:r>
      <w:fldChar w:fldCharType="end"/>
    </w:r>
  </w:p>
  <w:p w:rsidR="009A2AF2" w:rsidRDefault="009A2AF2" w:rsidP="00FC2881">
    <w:pPr>
      <w:pStyle w:val="AHPRAfootnote"/>
      <w:ind w:right="360"/>
    </w:pPr>
  </w:p>
  <w:p w:rsidR="009A2AF2" w:rsidRDefault="009A2A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607E8C" w:rsidRDefault="009A2AF2" w:rsidP="00607E8C">
    <w:pPr>
      <w:pStyle w:val="AHPRAfooter"/>
      <w:rPr>
        <w:szCs w:val="18"/>
      </w:rPr>
    </w:pPr>
    <w:r>
      <w:rPr>
        <w:szCs w:val="18"/>
      </w:rPr>
      <w:t>Health Profession Agreement 2016-20</w:t>
    </w:r>
  </w:p>
  <w:p w:rsidR="009A2AF2" w:rsidRPr="006A0BC7" w:rsidRDefault="00C97CC8" w:rsidP="00607E8C">
    <w:pPr>
      <w:pStyle w:val="AHPRAfooter"/>
      <w:spacing w:after="200"/>
      <w:jc w:val="right"/>
    </w:pPr>
    <w:sdt>
      <w:sdtPr>
        <w:rPr>
          <w:szCs w:val="18"/>
        </w:rPr>
        <w:id w:val="9138970"/>
        <w:docPartObj>
          <w:docPartGallery w:val="Page Numbers (Top of Page)"/>
          <w:docPartUnique/>
        </w:docPartObj>
      </w:sdtPr>
      <w:sdtEndPr/>
      <w:sdtContent>
        <w:r w:rsidR="009A2AF2" w:rsidRPr="00607E8C">
          <w:rPr>
            <w:szCs w:val="18"/>
          </w:rPr>
          <w:t xml:space="preserve">Page </w:t>
        </w:r>
        <w:r w:rsidR="001D5322" w:rsidRPr="00607E8C">
          <w:rPr>
            <w:szCs w:val="18"/>
          </w:rPr>
          <w:fldChar w:fldCharType="begin"/>
        </w:r>
        <w:r w:rsidR="009A2AF2" w:rsidRPr="00607E8C">
          <w:rPr>
            <w:szCs w:val="18"/>
          </w:rPr>
          <w:instrText xml:space="preserve"> PAGE </w:instrText>
        </w:r>
        <w:r w:rsidR="001D5322" w:rsidRPr="00607E8C">
          <w:rPr>
            <w:szCs w:val="18"/>
          </w:rPr>
          <w:fldChar w:fldCharType="separate"/>
        </w:r>
        <w:r>
          <w:rPr>
            <w:noProof/>
            <w:szCs w:val="18"/>
          </w:rPr>
          <w:t>21</w:t>
        </w:r>
        <w:r w:rsidR="001D5322" w:rsidRPr="00607E8C">
          <w:rPr>
            <w:szCs w:val="18"/>
          </w:rPr>
          <w:fldChar w:fldCharType="end"/>
        </w:r>
        <w:r w:rsidR="009A2AF2" w:rsidRPr="00607E8C">
          <w:rPr>
            <w:szCs w:val="18"/>
          </w:rPr>
          <w:t xml:space="preserve"> of </w:t>
        </w:r>
        <w:r w:rsidR="001D5322" w:rsidRPr="00607E8C">
          <w:rPr>
            <w:szCs w:val="18"/>
          </w:rPr>
          <w:fldChar w:fldCharType="begin"/>
        </w:r>
        <w:r w:rsidR="009A2AF2" w:rsidRPr="00607E8C">
          <w:rPr>
            <w:szCs w:val="18"/>
          </w:rPr>
          <w:instrText xml:space="preserve"> NUMPAGES  </w:instrText>
        </w:r>
        <w:r w:rsidR="001D5322" w:rsidRPr="00607E8C">
          <w:rPr>
            <w:szCs w:val="18"/>
          </w:rPr>
          <w:fldChar w:fldCharType="separate"/>
        </w:r>
        <w:r>
          <w:rPr>
            <w:noProof/>
            <w:szCs w:val="18"/>
          </w:rPr>
          <w:t>22</w:t>
        </w:r>
        <w:r w:rsidR="001D5322"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607E8C" w:rsidRDefault="009A2AF2" w:rsidP="00607E8C">
    <w:pPr>
      <w:pStyle w:val="AHPRAfooter"/>
      <w:rPr>
        <w:szCs w:val="18"/>
      </w:rPr>
    </w:pPr>
    <w:r>
      <w:rPr>
        <w:szCs w:val="18"/>
      </w:rPr>
      <w:t>Health Profession Agreement 2016-20</w:t>
    </w:r>
  </w:p>
  <w:p w:rsidR="009A2AF2" w:rsidRPr="006A0BC7" w:rsidRDefault="00C97CC8" w:rsidP="00607E8C">
    <w:pPr>
      <w:pStyle w:val="AHPRAfooter"/>
      <w:spacing w:after="200"/>
      <w:jc w:val="right"/>
    </w:pPr>
    <w:sdt>
      <w:sdtPr>
        <w:rPr>
          <w:szCs w:val="18"/>
        </w:rPr>
        <w:id w:val="9138969"/>
        <w:docPartObj>
          <w:docPartGallery w:val="Page Numbers (Top of Page)"/>
          <w:docPartUnique/>
        </w:docPartObj>
      </w:sdtPr>
      <w:sdtEndPr/>
      <w:sdtContent>
        <w:r w:rsidR="009A2AF2" w:rsidRPr="00607E8C">
          <w:rPr>
            <w:szCs w:val="18"/>
          </w:rPr>
          <w:t xml:space="preserve">Page </w:t>
        </w:r>
        <w:r w:rsidR="001D5322" w:rsidRPr="00607E8C">
          <w:rPr>
            <w:szCs w:val="18"/>
          </w:rPr>
          <w:fldChar w:fldCharType="begin"/>
        </w:r>
        <w:r w:rsidR="009A2AF2" w:rsidRPr="00607E8C">
          <w:rPr>
            <w:szCs w:val="18"/>
          </w:rPr>
          <w:instrText xml:space="preserve"> PAGE </w:instrText>
        </w:r>
        <w:r w:rsidR="001D5322" w:rsidRPr="00607E8C">
          <w:rPr>
            <w:szCs w:val="18"/>
          </w:rPr>
          <w:fldChar w:fldCharType="separate"/>
        </w:r>
        <w:r>
          <w:rPr>
            <w:noProof/>
            <w:szCs w:val="18"/>
          </w:rPr>
          <w:t>7</w:t>
        </w:r>
        <w:r w:rsidR="001D5322" w:rsidRPr="00607E8C">
          <w:rPr>
            <w:szCs w:val="18"/>
          </w:rPr>
          <w:fldChar w:fldCharType="end"/>
        </w:r>
        <w:r w:rsidR="009A2AF2" w:rsidRPr="00607E8C">
          <w:rPr>
            <w:szCs w:val="18"/>
          </w:rPr>
          <w:t xml:space="preserve"> of </w:t>
        </w:r>
        <w:r w:rsidR="001D5322" w:rsidRPr="00607E8C">
          <w:rPr>
            <w:szCs w:val="18"/>
          </w:rPr>
          <w:fldChar w:fldCharType="begin"/>
        </w:r>
        <w:r w:rsidR="009A2AF2" w:rsidRPr="00607E8C">
          <w:rPr>
            <w:szCs w:val="18"/>
          </w:rPr>
          <w:instrText xml:space="preserve"> NUMPAGES  </w:instrText>
        </w:r>
        <w:r w:rsidR="001D5322" w:rsidRPr="00607E8C">
          <w:rPr>
            <w:szCs w:val="18"/>
          </w:rPr>
          <w:fldChar w:fldCharType="separate"/>
        </w:r>
        <w:r>
          <w:rPr>
            <w:noProof/>
            <w:szCs w:val="18"/>
          </w:rPr>
          <w:t>22</w:t>
        </w:r>
        <w:r w:rsidR="001D5322"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607E8C" w:rsidRDefault="009A2AF2" w:rsidP="00607E8C">
    <w:pPr>
      <w:pStyle w:val="AHPRAfooter"/>
      <w:rPr>
        <w:szCs w:val="18"/>
      </w:rPr>
    </w:pPr>
    <w:r>
      <w:rPr>
        <w:szCs w:val="18"/>
      </w:rPr>
      <w:t>Health Profession Agreement 2016-20</w:t>
    </w:r>
  </w:p>
  <w:p w:rsidR="009A2AF2" w:rsidRPr="006A0BC7" w:rsidRDefault="00C97CC8" w:rsidP="00607E8C">
    <w:pPr>
      <w:pStyle w:val="AHPRAfooter"/>
      <w:spacing w:after="200"/>
      <w:jc w:val="right"/>
    </w:pPr>
    <w:sdt>
      <w:sdtPr>
        <w:rPr>
          <w:szCs w:val="18"/>
        </w:rPr>
        <w:id w:val="9138971"/>
        <w:docPartObj>
          <w:docPartGallery w:val="Page Numbers (Top of Page)"/>
          <w:docPartUnique/>
        </w:docPartObj>
      </w:sdtPr>
      <w:sdtEndPr/>
      <w:sdtContent>
        <w:r w:rsidR="009A2AF2" w:rsidRPr="00607E8C">
          <w:rPr>
            <w:szCs w:val="18"/>
          </w:rPr>
          <w:t xml:space="preserve">Page </w:t>
        </w:r>
        <w:r w:rsidR="001D5322" w:rsidRPr="00607E8C">
          <w:rPr>
            <w:szCs w:val="18"/>
          </w:rPr>
          <w:fldChar w:fldCharType="begin"/>
        </w:r>
        <w:r w:rsidR="009A2AF2" w:rsidRPr="00607E8C">
          <w:rPr>
            <w:szCs w:val="18"/>
          </w:rPr>
          <w:instrText xml:space="preserve"> PAGE </w:instrText>
        </w:r>
        <w:r w:rsidR="001D5322" w:rsidRPr="00607E8C">
          <w:rPr>
            <w:szCs w:val="18"/>
          </w:rPr>
          <w:fldChar w:fldCharType="separate"/>
        </w:r>
        <w:r>
          <w:rPr>
            <w:noProof/>
            <w:szCs w:val="18"/>
          </w:rPr>
          <w:t>15</w:t>
        </w:r>
        <w:r w:rsidR="001D5322" w:rsidRPr="00607E8C">
          <w:rPr>
            <w:szCs w:val="18"/>
          </w:rPr>
          <w:fldChar w:fldCharType="end"/>
        </w:r>
        <w:r w:rsidR="009A2AF2" w:rsidRPr="00607E8C">
          <w:rPr>
            <w:szCs w:val="18"/>
          </w:rPr>
          <w:t xml:space="preserve"> of </w:t>
        </w:r>
        <w:r w:rsidR="001D5322" w:rsidRPr="00607E8C">
          <w:rPr>
            <w:szCs w:val="18"/>
          </w:rPr>
          <w:fldChar w:fldCharType="begin"/>
        </w:r>
        <w:r w:rsidR="009A2AF2" w:rsidRPr="00607E8C">
          <w:rPr>
            <w:szCs w:val="18"/>
          </w:rPr>
          <w:instrText xml:space="preserve"> NUMPAGES  </w:instrText>
        </w:r>
        <w:r w:rsidR="001D5322" w:rsidRPr="00607E8C">
          <w:rPr>
            <w:szCs w:val="18"/>
          </w:rPr>
          <w:fldChar w:fldCharType="separate"/>
        </w:r>
        <w:r>
          <w:rPr>
            <w:noProof/>
            <w:szCs w:val="18"/>
          </w:rPr>
          <w:t>22</w:t>
        </w:r>
        <w:r w:rsidR="001D5322"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607E8C" w:rsidRDefault="009A2AF2" w:rsidP="00607E8C">
    <w:pPr>
      <w:pStyle w:val="AHPRAfooter"/>
      <w:rPr>
        <w:szCs w:val="18"/>
      </w:rPr>
    </w:pPr>
    <w:r>
      <w:rPr>
        <w:szCs w:val="18"/>
      </w:rPr>
      <w:t>Health Profession Agreement 2016-20</w:t>
    </w:r>
  </w:p>
  <w:p w:rsidR="009A2AF2" w:rsidRPr="006A0BC7" w:rsidRDefault="00C97CC8" w:rsidP="00607E8C">
    <w:pPr>
      <w:pStyle w:val="AHPRAfooter"/>
      <w:spacing w:after="200"/>
      <w:jc w:val="right"/>
    </w:pPr>
    <w:sdt>
      <w:sdtPr>
        <w:rPr>
          <w:szCs w:val="18"/>
        </w:rPr>
        <w:id w:val="9138972"/>
        <w:docPartObj>
          <w:docPartGallery w:val="Page Numbers (Top of Page)"/>
          <w:docPartUnique/>
        </w:docPartObj>
      </w:sdtPr>
      <w:sdtEndPr/>
      <w:sdtContent>
        <w:r w:rsidR="009A2AF2" w:rsidRPr="00607E8C">
          <w:rPr>
            <w:szCs w:val="18"/>
          </w:rPr>
          <w:t xml:space="preserve">Page </w:t>
        </w:r>
        <w:r w:rsidR="001D5322" w:rsidRPr="00607E8C">
          <w:rPr>
            <w:szCs w:val="18"/>
          </w:rPr>
          <w:fldChar w:fldCharType="begin"/>
        </w:r>
        <w:r w:rsidR="009A2AF2" w:rsidRPr="00607E8C">
          <w:rPr>
            <w:szCs w:val="18"/>
          </w:rPr>
          <w:instrText xml:space="preserve"> PAGE </w:instrText>
        </w:r>
        <w:r w:rsidR="001D5322" w:rsidRPr="00607E8C">
          <w:rPr>
            <w:szCs w:val="18"/>
          </w:rPr>
          <w:fldChar w:fldCharType="separate"/>
        </w:r>
        <w:r>
          <w:rPr>
            <w:noProof/>
            <w:szCs w:val="18"/>
          </w:rPr>
          <w:t>19</w:t>
        </w:r>
        <w:r w:rsidR="001D5322" w:rsidRPr="00607E8C">
          <w:rPr>
            <w:szCs w:val="18"/>
          </w:rPr>
          <w:fldChar w:fldCharType="end"/>
        </w:r>
        <w:r w:rsidR="009A2AF2" w:rsidRPr="00607E8C">
          <w:rPr>
            <w:szCs w:val="18"/>
          </w:rPr>
          <w:t xml:space="preserve"> of </w:t>
        </w:r>
        <w:r w:rsidR="001D5322" w:rsidRPr="00607E8C">
          <w:rPr>
            <w:szCs w:val="18"/>
          </w:rPr>
          <w:fldChar w:fldCharType="begin"/>
        </w:r>
        <w:r w:rsidR="009A2AF2" w:rsidRPr="00607E8C">
          <w:rPr>
            <w:szCs w:val="18"/>
          </w:rPr>
          <w:instrText xml:space="preserve"> NUMPAGES  </w:instrText>
        </w:r>
        <w:r w:rsidR="001D5322" w:rsidRPr="00607E8C">
          <w:rPr>
            <w:szCs w:val="18"/>
          </w:rPr>
          <w:fldChar w:fldCharType="separate"/>
        </w:r>
        <w:r>
          <w:rPr>
            <w:noProof/>
            <w:szCs w:val="18"/>
          </w:rPr>
          <w:t>22</w:t>
        </w:r>
        <w:r w:rsidR="001D5322"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F2" w:rsidRDefault="009A2AF2" w:rsidP="000E7E28">
      <w:pPr>
        <w:spacing w:after="0"/>
      </w:pPr>
      <w:r>
        <w:separator/>
      </w:r>
    </w:p>
  </w:footnote>
  <w:footnote w:type="continuationSeparator" w:id="0">
    <w:p w:rsidR="009A2AF2" w:rsidRDefault="009A2AF2" w:rsidP="00FC2881">
      <w:pPr>
        <w:spacing w:after="0"/>
      </w:pPr>
      <w:r>
        <w:continuationSeparator/>
      </w:r>
    </w:p>
    <w:p w:rsidR="009A2AF2" w:rsidRDefault="009A2AF2"/>
  </w:footnote>
  <w:footnote w:type="continuationNotice" w:id="1">
    <w:p w:rsidR="009A2AF2" w:rsidRDefault="009A2A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814288" w:rsidRDefault="00523153"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2292350" cy="1432560"/>
          <wp:effectExtent l="0" t="0" r="0" b="0"/>
          <wp:docPr id="1" name="Picture 1" descr="Physiotherap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43256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E32E42" w:rsidRDefault="009A2AF2"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9A2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E32E42" w:rsidRDefault="009A2AF2">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E32E42" w:rsidRDefault="009A2AF2"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9A2A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9A2A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9A2A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9A2A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Default="009A2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2E63F3A"/>
    <w:multiLevelType w:val="multilevel"/>
    <w:tmpl w:val="A3FA5AA4"/>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55876E7"/>
    <w:multiLevelType w:val="hybridMultilevel"/>
    <w:tmpl w:val="852E9DD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4"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8320D"/>
    <w:multiLevelType w:val="hybridMultilevel"/>
    <w:tmpl w:val="99F28028"/>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C090001">
      <w:start w:val="1"/>
      <w:numFmt w:val="bullet"/>
      <w:lvlText w:val=""/>
      <w:lvlJc w:val="left"/>
      <w:pPr>
        <w:ind w:left="2609" w:hanging="360"/>
      </w:pPr>
      <w:rPr>
        <w:rFonts w:ascii="Symbol" w:hAnsi="Symbol"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6"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7" w15:restartNumberingAfterBreak="0">
    <w:nsid w:val="61AB3925"/>
    <w:multiLevelType w:val="hybridMultilevel"/>
    <w:tmpl w:val="DC5E9B58"/>
    <w:lvl w:ilvl="0" w:tplc="04090001">
      <w:start w:val="1"/>
      <w:numFmt w:val="bullet"/>
      <w:lvlText w:val=""/>
      <w:lvlJc w:val="left"/>
      <w:pPr>
        <w:ind w:left="2189" w:hanging="360"/>
      </w:pPr>
      <w:rPr>
        <w:rFonts w:ascii="Symbol" w:hAnsi="Symbol" w:hint="default"/>
      </w:rPr>
    </w:lvl>
    <w:lvl w:ilvl="1" w:tplc="0C090003" w:tentative="1">
      <w:start w:val="1"/>
      <w:numFmt w:val="bullet"/>
      <w:lvlText w:val="o"/>
      <w:lvlJc w:val="left"/>
      <w:pPr>
        <w:ind w:left="2909" w:hanging="360"/>
      </w:pPr>
      <w:rPr>
        <w:rFonts w:ascii="Courier New" w:hAnsi="Courier New" w:cs="Courier New" w:hint="default"/>
      </w:rPr>
    </w:lvl>
    <w:lvl w:ilvl="2" w:tplc="0C090005" w:tentative="1">
      <w:start w:val="1"/>
      <w:numFmt w:val="bullet"/>
      <w:lvlText w:val=""/>
      <w:lvlJc w:val="left"/>
      <w:pPr>
        <w:ind w:left="3629" w:hanging="360"/>
      </w:pPr>
      <w:rPr>
        <w:rFonts w:ascii="Wingdings" w:hAnsi="Wingdings" w:hint="default"/>
      </w:rPr>
    </w:lvl>
    <w:lvl w:ilvl="3" w:tplc="0C090001" w:tentative="1">
      <w:start w:val="1"/>
      <w:numFmt w:val="bullet"/>
      <w:lvlText w:val=""/>
      <w:lvlJc w:val="left"/>
      <w:pPr>
        <w:ind w:left="4349" w:hanging="360"/>
      </w:pPr>
      <w:rPr>
        <w:rFonts w:ascii="Symbol" w:hAnsi="Symbol" w:hint="default"/>
      </w:rPr>
    </w:lvl>
    <w:lvl w:ilvl="4" w:tplc="0C090003" w:tentative="1">
      <w:start w:val="1"/>
      <w:numFmt w:val="bullet"/>
      <w:lvlText w:val="o"/>
      <w:lvlJc w:val="left"/>
      <w:pPr>
        <w:ind w:left="5069" w:hanging="360"/>
      </w:pPr>
      <w:rPr>
        <w:rFonts w:ascii="Courier New" w:hAnsi="Courier New" w:cs="Courier New" w:hint="default"/>
      </w:rPr>
    </w:lvl>
    <w:lvl w:ilvl="5" w:tplc="0C090005" w:tentative="1">
      <w:start w:val="1"/>
      <w:numFmt w:val="bullet"/>
      <w:lvlText w:val=""/>
      <w:lvlJc w:val="left"/>
      <w:pPr>
        <w:ind w:left="5789" w:hanging="360"/>
      </w:pPr>
      <w:rPr>
        <w:rFonts w:ascii="Wingdings" w:hAnsi="Wingdings" w:hint="default"/>
      </w:rPr>
    </w:lvl>
    <w:lvl w:ilvl="6" w:tplc="0C090001" w:tentative="1">
      <w:start w:val="1"/>
      <w:numFmt w:val="bullet"/>
      <w:lvlText w:val=""/>
      <w:lvlJc w:val="left"/>
      <w:pPr>
        <w:ind w:left="6509" w:hanging="360"/>
      </w:pPr>
      <w:rPr>
        <w:rFonts w:ascii="Symbol" w:hAnsi="Symbol" w:hint="default"/>
      </w:rPr>
    </w:lvl>
    <w:lvl w:ilvl="7" w:tplc="0C090003" w:tentative="1">
      <w:start w:val="1"/>
      <w:numFmt w:val="bullet"/>
      <w:lvlText w:val="o"/>
      <w:lvlJc w:val="left"/>
      <w:pPr>
        <w:ind w:left="7229" w:hanging="360"/>
      </w:pPr>
      <w:rPr>
        <w:rFonts w:ascii="Courier New" w:hAnsi="Courier New" w:cs="Courier New" w:hint="default"/>
      </w:rPr>
    </w:lvl>
    <w:lvl w:ilvl="8" w:tplc="0C090005" w:tentative="1">
      <w:start w:val="1"/>
      <w:numFmt w:val="bullet"/>
      <w:lvlText w:val=""/>
      <w:lvlJc w:val="left"/>
      <w:pPr>
        <w:ind w:left="7949" w:hanging="360"/>
      </w:pPr>
      <w:rPr>
        <w:rFonts w:ascii="Wingdings" w:hAnsi="Wingdings" w:hint="default"/>
      </w:rPr>
    </w:lvl>
  </w:abstractNum>
  <w:abstractNum w:abstractNumId="18"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19" w15:restartNumberingAfterBreak="0">
    <w:nsid w:val="6B462DFC"/>
    <w:multiLevelType w:val="hybridMultilevel"/>
    <w:tmpl w:val="B352E8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7B29AF"/>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num w:numId="1">
    <w:abstractNumId w:val="18"/>
  </w:num>
  <w:num w:numId="2">
    <w:abstractNumId w:val="12"/>
  </w:num>
  <w:num w:numId="3">
    <w:abstractNumId w:val="0"/>
  </w:num>
  <w:num w:numId="4">
    <w:abstractNumId w:val="2"/>
  </w:num>
  <w:num w:numId="5">
    <w:abstractNumId w:val="21"/>
  </w:num>
  <w:num w:numId="6">
    <w:abstractNumId w:val="1"/>
  </w:num>
  <w:num w:numId="7">
    <w:abstractNumId w:val="22"/>
  </w:num>
  <w:num w:numId="8">
    <w:abstractNumId w:val="11"/>
  </w:num>
  <w:num w:numId="9">
    <w:abstractNumId w:val="10"/>
  </w:num>
  <w:num w:numId="10">
    <w:abstractNumId w:val="9"/>
  </w:num>
  <w:num w:numId="11">
    <w:abstractNumId w:val="5"/>
  </w:num>
  <w:num w:numId="12">
    <w:abstractNumId w:val="14"/>
  </w:num>
  <w:num w:numId="13">
    <w:abstractNumId w:val="6"/>
  </w:num>
  <w:num w:numId="14">
    <w:abstractNumId w:val="13"/>
  </w:num>
  <w:num w:numId="15">
    <w:abstractNumId w:val="1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20"/>
  </w:num>
  <w:num w:numId="20">
    <w:abstractNumId w:val="17"/>
  </w:num>
  <w:num w:numId="21">
    <w:abstractNumId w:val="4"/>
  </w:num>
  <w:num w:numId="22">
    <w:abstractNumId w:val="15"/>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E"/>
    <w:rsid w:val="00000033"/>
    <w:rsid w:val="00002AF6"/>
    <w:rsid w:val="00006922"/>
    <w:rsid w:val="00020093"/>
    <w:rsid w:val="000207F2"/>
    <w:rsid w:val="00030037"/>
    <w:rsid w:val="000334D7"/>
    <w:rsid w:val="000662DE"/>
    <w:rsid w:val="00071439"/>
    <w:rsid w:val="000945FB"/>
    <w:rsid w:val="000960CC"/>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506FE"/>
    <w:rsid w:val="00155025"/>
    <w:rsid w:val="0016168A"/>
    <w:rsid w:val="00172CCE"/>
    <w:rsid w:val="001800A2"/>
    <w:rsid w:val="001A08A7"/>
    <w:rsid w:val="001A09EA"/>
    <w:rsid w:val="001A3A7E"/>
    <w:rsid w:val="001A5027"/>
    <w:rsid w:val="001B1E5F"/>
    <w:rsid w:val="001B402F"/>
    <w:rsid w:val="001C425C"/>
    <w:rsid w:val="001C5F7E"/>
    <w:rsid w:val="001D2CEA"/>
    <w:rsid w:val="001D449A"/>
    <w:rsid w:val="001D47AA"/>
    <w:rsid w:val="001D5322"/>
    <w:rsid w:val="001D6042"/>
    <w:rsid w:val="001E1E31"/>
    <w:rsid w:val="001E2849"/>
    <w:rsid w:val="001E4A94"/>
    <w:rsid w:val="001E5621"/>
    <w:rsid w:val="002013BA"/>
    <w:rsid w:val="00212A06"/>
    <w:rsid w:val="00214725"/>
    <w:rsid w:val="00220770"/>
    <w:rsid w:val="00220A3B"/>
    <w:rsid w:val="00224708"/>
    <w:rsid w:val="00230AC8"/>
    <w:rsid w:val="002772AA"/>
    <w:rsid w:val="0028013F"/>
    <w:rsid w:val="00292B93"/>
    <w:rsid w:val="00292F2E"/>
    <w:rsid w:val="00293CCC"/>
    <w:rsid w:val="00294BF5"/>
    <w:rsid w:val="002955CE"/>
    <w:rsid w:val="00295B44"/>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61523"/>
    <w:rsid w:val="00363196"/>
    <w:rsid w:val="00364AA5"/>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50B34"/>
    <w:rsid w:val="004606A7"/>
    <w:rsid w:val="00465810"/>
    <w:rsid w:val="004849E5"/>
    <w:rsid w:val="00485FEB"/>
    <w:rsid w:val="00497171"/>
    <w:rsid w:val="004A2393"/>
    <w:rsid w:val="004A5E5D"/>
    <w:rsid w:val="004B747B"/>
    <w:rsid w:val="004D7537"/>
    <w:rsid w:val="004E3F5E"/>
    <w:rsid w:val="004E6BD9"/>
    <w:rsid w:val="004E753C"/>
    <w:rsid w:val="004F5C05"/>
    <w:rsid w:val="004F7AD1"/>
    <w:rsid w:val="0051337E"/>
    <w:rsid w:val="00523153"/>
    <w:rsid w:val="0053749F"/>
    <w:rsid w:val="00553A4C"/>
    <w:rsid w:val="00554335"/>
    <w:rsid w:val="005565CE"/>
    <w:rsid w:val="005708AE"/>
    <w:rsid w:val="00575304"/>
    <w:rsid w:val="00581793"/>
    <w:rsid w:val="0058270A"/>
    <w:rsid w:val="00583029"/>
    <w:rsid w:val="00583A8B"/>
    <w:rsid w:val="005A0FA9"/>
    <w:rsid w:val="005B2FA7"/>
    <w:rsid w:val="005C5932"/>
    <w:rsid w:val="005C6817"/>
    <w:rsid w:val="005E31B3"/>
    <w:rsid w:val="006063BF"/>
    <w:rsid w:val="00607E8C"/>
    <w:rsid w:val="006125ED"/>
    <w:rsid w:val="00616043"/>
    <w:rsid w:val="00627C5F"/>
    <w:rsid w:val="00627F08"/>
    <w:rsid w:val="006331D1"/>
    <w:rsid w:val="00640B2C"/>
    <w:rsid w:val="0065679E"/>
    <w:rsid w:val="00664752"/>
    <w:rsid w:val="00667CAD"/>
    <w:rsid w:val="00675405"/>
    <w:rsid w:val="00681D5E"/>
    <w:rsid w:val="00681EF3"/>
    <w:rsid w:val="00693679"/>
    <w:rsid w:val="00693E61"/>
    <w:rsid w:val="00696578"/>
    <w:rsid w:val="006A0BC7"/>
    <w:rsid w:val="006B07AF"/>
    <w:rsid w:val="006B7B6C"/>
    <w:rsid w:val="006C0257"/>
    <w:rsid w:val="006C0E29"/>
    <w:rsid w:val="006D30FE"/>
    <w:rsid w:val="006D3757"/>
    <w:rsid w:val="006F5A97"/>
    <w:rsid w:val="006F7348"/>
    <w:rsid w:val="006F796D"/>
    <w:rsid w:val="00701149"/>
    <w:rsid w:val="0070155F"/>
    <w:rsid w:val="00706F8D"/>
    <w:rsid w:val="007372A4"/>
    <w:rsid w:val="00741B04"/>
    <w:rsid w:val="00754466"/>
    <w:rsid w:val="0076115C"/>
    <w:rsid w:val="007664F3"/>
    <w:rsid w:val="0079197C"/>
    <w:rsid w:val="00792BB4"/>
    <w:rsid w:val="00797BD7"/>
    <w:rsid w:val="007A35B9"/>
    <w:rsid w:val="007A5C17"/>
    <w:rsid w:val="007B77D6"/>
    <w:rsid w:val="007C0B6E"/>
    <w:rsid w:val="007C7B7F"/>
    <w:rsid w:val="007D4836"/>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1EC3"/>
    <w:rsid w:val="008D6B7E"/>
    <w:rsid w:val="008D7845"/>
    <w:rsid w:val="008F6563"/>
    <w:rsid w:val="009009AC"/>
    <w:rsid w:val="00922AD7"/>
    <w:rsid w:val="00923B23"/>
    <w:rsid w:val="00937ED0"/>
    <w:rsid w:val="00952797"/>
    <w:rsid w:val="0095426D"/>
    <w:rsid w:val="009777D3"/>
    <w:rsid w:val="009859E6"/>
    <w:rsid w:val="00987775"/>
    <w:rsid w:val="009973BC"/>
    <w:rsid w:val="009A0A5D"/>
    <w:rsid w:val="009A2AF2"/>
    <w:rsid w:val="009A3EBE"/>
    <w:rsid w:val="009C6933"/>
    <w:rsid w:val="009D38F4"/>
    <w:rsid w:val="009F7163"/>
    <w:rsid w:val="00A04C7A"/>
    <w:rsid w:val="00A058E5"/>
    <w:rsid w:val="00A10C1A"/>
    <w:rsid w:val="00A2072E"/>
    <w:rsid w:val="00A21B4B"/>
    <w:rsid w:val="00A237BB"/>
    <w:rsid w:val="00A25FE8"/>
    <w:rsid w:val="00A37C63"/>
    <w:rsid w:val="00A509AB"/>
    <w:rsid w:val="00A523AB"/>
    <w:rsid w:val="00A550AA"/>
    <w:rsid w:val="00A676CA"/>
    <w:rsid w:val="00A82078"/>
    <w:rsid w:val="00A838C8"/>
    <w:rsid w:val="00A860C5"/>
    <w:rsid w:val="00A91C42"/>
    <w:rsid w:val="00A9516B"/>
    <w:rsid w:val="00A9780A"/>
    <w:rsid w:val="00AA00AF"/>
    <w:rsid w:val="00AA2FC9"/>
    <w:rsid w:val="00AB283D"/>
    <w:rsid w:val="00AB7A39"/>
    <w:rsid w:val="00AD312E"/>
    <w:rsid w:val="00AE322F"/>
    <w:rsid w:val="00AE3EAF"/>
    <w:rsid w:val="00AE7CF1"/>
    <w:rsid w:val="00B024B0"/>
    <w:rsid w:val="00B30423"/>
    <w:rsid w:val="00B34EDA"/>
    <w:rsid w:val="00B469BB"/>
    <w:rsid w:val="00B47B46"/>
    <w:rsid w:val="00B51748"/>
    <w:rsid w:val="00B5252D"/>
    <w:rsid w:val="00B57198"/>
    <w:rsid w:val="00B63D2D"/>
    <w:rsid w:val="00B66108"/>
    <w:rsid w:val="00B67A8C"/>
    <w:rsid w:val="00B85023"/>
    <w:rsid w:val="00BA2456"/>
    <w:rsid w:val="00BA469B"/>
    <w:rsid w:val="00BB4A5B"/>
    <w:rsid w:val="00BB6E51"/>
    <w:rsid w:val="00BC6EE3"/>
    <w:rsid w:val="00BE54F0"/>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0AFE"/>
    <w:rsid w:val="00C72243"/>
    <w:rsid w:val="00C76025"/>
    <w:rsid w:val="00C80430"/>
    <w:rsid w:val="00C81B3A"/>
    <w:rsid w:val="00C97CC8"/>
    <w:rsid w:val="00CA3675"/>
    <w:rsid w:val="00CA4EE0"/>
    <w:rsid w:val="00CB6312"/>
    <w:rsid w:val="00CB6C08"/>
    <w:rsid w:val="00CC4CC6"/>
    <w:rsid w:val="00CD0DCA"/>
    <w:rsid w:val="00CF1345"/>
    <w:rsid w:val="00D12F61"/>
    <w:rsid w:val="00D15CE0"/>
    <w:rsid w:val="00D201C6"/>
    <w:rsid w:val="00D23CC2"/>
    <w:rsid w:val="00D52630"/>
    <w:rsid w:val="00D61BF2"/>
    <w:rsid w:val="00D638E0"/>
    <w:rsid w:val="00D716BA"/>
    <w:rsid w:val="00D8404D"/>
    <w:rsid w:val="00D97C19"/>
    <w:rsid w:val="00DA0349"/>
    <w:rsid w:val="00DC2952"/>
    <w:rsid w:val="00DD4B2F"/>
    <w:rsid w:val="00DD7974"/>
    <w:rsid w:val="00DF1AB7"/>
    <w:rsid w:val="00DF4401"/>
    <w:rsid w:val="00E07C02"/>
    <w:rsid w:val="00E12B06"/>
    <w:rsid w:val="00E15BF6"/>
    <w:rsid w:val="00E32E42"/>
    <w:rsid w:val="00E41E0E"/>
    <w:rsid w:val="00E57844"/>
    <w:rsid w:val="00E71CB9"/>
    <w:rsid w:val="00E73698"/>
    <w:rsid w:val="00E77E23"/>
    <w:rsid w:val="00E8251C"/>
    <w:rsid w:val="00E842D6"/>
    <w:rsid w:val="00E844A0"/>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1F0B9B49-A955-4EAB-A578-9BC0E193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72"/>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497308644">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F638-3414-4D24-A29F-4951AE1C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22</Pages>
  <Words>4989</Words>
  <Characters>31417</Characters>
  <Application>Microsoft Office Word</Application>
  <DocSecurity>4</DocSecurity>
  <Lines>261</Lines>
  <Paragraphs>72</Paragraphs>
  <ScaleCrop>false</ScaleCrop>
  <HeadingPairs>
    <vt:vector size="2" baseType="variant">
      <vt:variant>
        <vt:lpstr>Title</vt:lpstr>
      </vt:variant>
      <vt:variant>
        <vt:i4>1</vt:i4>
      </vt:variant>
    </vt:vector>
  </HeadingPairs>
  <TitlesOfParts>
    <vt:vector size="1" baseType="lpstr">
      <vt:lpstr>Health Profession Agreement - 2016-20</vt:lpstr>
    </vt:vector>
  </TitlesOfParts>
  <Company>Johanna Villani Design</Company>
  <LinksUpToDate>false</LinksUpToDate>
  <CharactersWithSpaces>36334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- 2016-20- Schedule date - 2016-17</dc:title>
  <dc:subject>Health Profession Agreement</dc:subject>
  <dc:creator>Physiotherapy Board</dc:creator>
  <cp:lastModifiedBy>Gareth Meade</cp:lastModifiedBy>
  <cp:revision>2</cp:revision>
  <cp:lastPrinted>2015-10-01T04:10:00Z</cp:lastPrinted>
  <dcterms:created xsi:type="dcterms:W3CDTF">2017-12-04T23:46:00Z</dcterms:created>
  <dcterms:modified xsi:type="dcterms:W3CDTF">2017-12-04T23:46:00Z</dcterms:modified>
</cp:coreProperties>
</file>