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24" w:rsidRDefault="00C84E24" w:rsidP="00E61F90">
      <w:pPr>
        <w:pStyle w:val="NoSpacing"/>
        <w:rPr>
          <w:rFonts w:ascii="Arial" w:eastAsia="ヒラギノ角ゴ Pro W3" w:hAnsi="Arial"/>
          <w:color w:val="00ACE0"/>
          <w:sz w:val="32"/>
          <w:szCs w:val="20"/>
          <w:lang w:val="en-US"/>
        </w:rPr>
      </w:pPr>
    </w:p>
    <w:p w:rsidR="00C84E24" w:rsidRDefault="00C84E24" w:rsidP="00E61F90">
      <w:pPr>
        <w:pStyle w:val="NoSpacing"/>
        <w:rPr>
          <w:rFonts w:ascii="Arial" w:eastAsia="ヒラギノ角ゴ Pro W3" w:hAnsi="Arial"/>
          <w:color w:val="00ACE0"/>
          <w:sz w:val="32"/>
          <w:szCs w:val="20"/>
          <w:lang w:val="en-US"/>
        </w:rPr>
      </w:pPr>
    </w:p>
    <w:p w:rsidR="00C84E24" w:rsidRDefault="00C84E24" w:rsidP="00E61F90">
      <w:pPr>
        <w:pStyle w:val="NoSpacing"/>
        <w:rPr>
          <w:rFonts w:ascii="Arial" w:eastAsia="ヒラギノ角ゴ Pro W3" w:hAnsi="Arial"/>
          <w:color w:val="00ACE0"/>
          <w:sz w:val="32"/>
          <w:szCs w:val="20"/>
          <w:lang w:val="en-US"/>
        </w:rPr>
      </w:pPr>
    </w:p>
    <w:p w:rsidR="00580D71" w:rsidRPr="004D16CA" w:rsidRDefault="00112BF7" w:rsidP="00E61F90">
      <w:pPr>
        <w:pStyle w:val="NoSpacing"/>
        <w:rPr>
          <w:rFonts w:ascii="Arial" w:eastAsia="ヒラギノ角ゴ Pro W3" w:hAnsi="Arial"/>
          <w:color w:val="00ACE0"/>
          <w:sz w:val="32"/>
          <w:szCs w:val="20"/>
          <w:lang w:val="en-US"/>
        </w:rPr>
      </w:pPr>
      <w:r>
        <w:rPr>
          <w:rFonts w:ascii="Arial" w:eastAsia="ヒラギノ角ゴ Pro W3" w:hAnsi="Arial"/>
          <w:color w:val="00ACE0"/>
          <w:sz w:val="32"/>
          <w:szCs w:val="20"/>
          <w:lang w:val="en-US"/>
        </w:rPr>
        <w:t>Performance</w:t>
      </w:r>
      <w:r w:rsidR="007156CD" w:rsidRPr="004D16CA">
        <w:rPr>
          <w:rFonts w:ascii="Arial" w:eastAsia="ヒラギノ角ゴ Pro W3" w:hAnsi="Arial"/>
          <w:color w:val="00ACE0"/>
          <w:sz w:val="32"/>
          <w:szCs w:val="20"/>
          <w:lang w:val="en-US"/>
        </w:rPr>
        <w:t xml:space="preserve"> </w:t>
      </w:r>
      <w:r w:rsidR="00580D71" w:rsidRPr="004D16CA">
        <w:rPr>
          <w:rFonts w:ascii="Arial" w:eastAsia="ヒラギノ角ゴ Pro W3" w:hAnsi="Arial"/>
          <w:color w:val="00ACE0"/>
          <w:sz w:val="32"/>
          <w:szCs w:val="20"/>
          <w:lang w:val="en-US"/>
        </w:rPr>
        <w:t>C</w:t>
      </w:r>
      <w:r w:rsidR="004D16CA" w:rsidRPr="004D16CA">
        <w:rPr>
          <w:rFonts w:ascii="Arial" w:eastAsia="ヒラギノ角ゴ Pro W3" w:hAnsi="Arial"/>
          <w:color w:val="00ACE0"/>
          <w:sz w:val="32"/>
          <w:szCs w:val="20"/>
          <w:lang w:val="en-US"/>
        </w:rPr>
        <w:t>ommittee</w:t>
      </w:r>
      <w:r w:rsidR="00522DAE">
        <w:rPr>
          <w:rFonts w:ascii="Arial" w:eastAsia="ヒラギノ角ゴ Pro W3" w:hAnsi="Arial"/>
          <w:color w:val="00ACE0"/>
          <w:sz w:val="32"/>
          <w:szCs w:val="20"/>
          <w:lang w:val="en-US"/>
        </w:rPr>
        <w:br/>
      </w:r>
      <w:r w:rsidR="00580D71" w:rsidRPr="004D16CA">
        <w:rPr>
          <w:rFonts w:ascii="Arial" w:eastAsia="ヒラギノ角ゴ Pro W3" w:hAnsi="Arial"/>
          <w:color w:val="00ACE0"/>
          <w:sz w:val="32"/>
          <w:szCs w:val="20"/>
          <w:lang w:val="en-US"/>
        </w:rPr>
        <w:t>A</w:t>
      </w:r>
      <w:r w:rsidR="004D16CA" w:rsidRPr="004D16CA">
        <w:rPr>
          <w:rFonts w:ascii="Arial" w:eastAsia="ヒラギノ角ゴ Pro W3" w:hAnsi="Arial"/>
          <w:color w:val="00ACE0"/>
          <w:sz w:val="32"/>
          <w:szCs w:val="20"/>
          <w:lang w:val="en-US"/>
        </w:rPr>
        <w:t>nnual</w:t>
      </w:r>
      <w:r w:rsidR="00580D71" w:rsidRPr="004D16CA">
        <w:rPr>
          <w:rFonts w:ascii="Arial" w:eastAsia="ヒラギノ角ゴ Pro W3" w:hAnsi="Arial"/>
          <w:color w:val="00ACE0"/>
          <w:sz w:val="32"/>
          <w:szCs w:val="20"/>
          <w:lang w:val="en-US"/>
        </w:rPr>
        <w:t xml:space="preserve"> R</w:t>
      </w:r>
      <w:r w:rsidR="004D16CA" w:rsidRPr="004D16CA">
        <w:rPr>
          <w:rFonts w:ascii="Arial" w:eastAsia="ヒラギノ角ゴ Pro W3" w:hAnsi="Arial"/>
          <w:color w:val="00ACE0"/>
          <w:sz w:val="32"/>
          <w:szCs w:val="20"/>
          <w:lang w:val="en-US"/>
        </w:rPr>
        <w:t>eport</w:t>
      </w:r>
      <w:r w:rsidR="00580D71" w:rsidRPr="004D16CA">
        <w:rPr>
          <w:rFonts w:ascii="Arial" w:eastAsia="ヒラギノ角ゴ Pro W3" w:hAnsi="Arial"/>
          <w:color w:val="00ACE0"/>
          <w:sz w:val="32"/>
          <w:szCs w:val="20"/>
          <w:lang w:val="en-US"/>
        </w:rPr>
        <w:t xml:space="preserve"> 2015</w:t>
      </w:r>
      <w:r w:rsidR="00AE06E7">
        <w:rPr>
          <w:rFonts w:ascii="Arial" w:eastAsia="ヒラギノ角ゴ Pro W3" w:hAnsi="Arial"/>
          <w:color w:val="00ACE0"/>
          <w:sz w:val="32"/>
          <w:szCs w:val="20"/>
          <w:lang w:val="en-US"/>
        </w:rPr>
        <w:t>/16</w:t>
      </w:r>
    </w:p>
    <w:p w:rsidR="00580D71" w:rsidRPr="00CC1E5F" w:rsidRDefault="00580D71" w:rsidP="00E61F90">
      <w:pPr>
        <w:pStyle w:val="PlainText"/>
        <w:spacing w:before="200" w:after="200"/>
        <w:ind w:left="0"/>
        <w:jc w:val="left"/>
        <w:rPr>
          <w:rFonts w:eastAsia="Cambria" w:cs="Arial"/>
          <w:color w:val="5F6062"/>
          <w:sz w:val="28"/>
          <w:szCs w:val="52"/>
        </w:rPr>
      </w:pPr>
      <w:r w:rsidRPr="00CC1E5F">
        <w:rPr>
          <w:rFonts w:eastAsia="Cambria" w:cs="Arial"/>
          <w:color w:val="5F6062"/>
          <w:sz w:val="28"/>
          <w:szCs w:val="52"/>
        </w:rPr>
        <w:t>Chairs Introduction</w:t>
      </w:r>
    </w:p>
    <w:p w:rsidR="005C2030" w:rsidRPr="005F38C3" w:rsidRDefault="00C219DE" w:rsidP="00E61F90">
      <w:pPr>
        <w:pStyle w:val="PlainText"/>
        <w:spacing w:before="200" w:after="200"/>
        <w:ind w:left="0"/>
        <w:jc w:val="left"/>
        <w:rPr>
          <w:szCs w:val="22"/>
        </w:rPr>
      </w:pPr>
      <w:r w:rsidRPr="005F38C3">
        <w:rPr>
          <w:szCs w:val="22"/>
        </w:rPr>
        <w:t xml:space="preserve">The work of the </w:t>
      </w:r>
      <w:r w:rsidR="00112BF7" w:rsidRPr="005F38C3">
        <w:rPr>
          <w:szCs w:val="22"/>
        </w:rPr>
        <w:t>Performance</w:t>
      </w:r>
      <w:r w:rsidRPr="005F38C3">
        <w:rPr>
          <w:szCs w:val="22"/>
        </w:rPr>
        <w:t xml:space="preserve"> Committee during </w:t>
      </w:r>
      <w:r w:rsidR="005F38C3" w:rsidRPr="005F38C3">
        <w:rPr>
          <w:szCs w:val="22"/>
        </w:rPr>
        <w:t xml:space="preserve">the first quarter of </w:t>
      </w:r>
      <w:r w:rsidR="0063027C" w:rsidRPr="005F38C3">
        <w:rPr>
          <w:szCs w:val="22"/>
        </w:rPr>
        <w:t>2015</w:t>
      </w:r>
      <w:r w:rsidR="00AE06E7" w:rsidRPr="005F38C3">
        <w:rPr>
          <w:szCs w:val="22"/>
        </w:rPr>
        <w:t>/16</w:t>
      </w:r>
      <w:r w:rsidRPr="005F38C3">
        <w:rPr>
          <w:szCs w:val="22"/>
        </w:rPr>
        <w:t xml:space="preserve"> focused on </w:t>
      </w:r>
      <w:r w:rsidR="005242D1" w:rsidRPr="005F38C3">
        <w:rPr>
          <w:szCs w:val="22"/>
        </w:rPr>
        <w:t xml:space="preserve">the </w:t>
      </w:r>
      <w:r w:rsidR="0011265A" w:rsidRPr="005F38C3">
        <w:rPr>
          <w:szCs w:val="22"/>
        </w:rPr>
        <w:t xml:space="preserve">implementation </w:t>
      </w:r>
      <w:r w:rsidR="005242D1" w:rsidRPr="005F38C3">
        <w:rPr>
          <w:szCs w:val="22"/>
        </w:rPr>
        <w:t>of a new performance</w:t>
      </w:r>
      <w:r w:rsidR="009C7B48" w:rsidRPr="005F38C3">
        <w:rPr>
          <w:szCs w:val="22"/>
        </w:rPr>
        <w:t xml:space="preserve"> reporting </w:t>
      </w:r>
      <w:r w:rsidR="0094206C" w:rsidRPr="005F38C3">
        <w:rPr>
          <w:szCs w:val="22"/>
        </w:rPr>
        <w:t>framework. The quality, accuracy and completeness of performance reporting is an importan</w:t>
      </w:r>
      <w:bookmarkStart w:id="0" w:name="_GoBack"/>
      <w:bookmarkEnd w:id="0"/>
      <w:r w:rsidR="0094206C" w:rsidRPr="005F38C3">
        <w:rPr>
          <w:szCs w:val="22"/>
        </w:rPr>
        <w:t>t ongoing focus in the over</w:t>
      </w:r>
      <w:r w:rsidR="001F77D9" w:rsidRPr="005F38C3">
        <w:rPr>
          <w:szCs w:val="22"/>
        </w:rPr>
        <w:t>all management of the National R</w:t>
      </w:r>
      <w:r w:rsidR="0094206C" w:rsidRPr="005F38C3">
        <w:rPr>
          <w:szCs w:val="22"/>
        </w:rPr>
        <w:t xml:space="preserve">egistration and Accreditation Scheme. </w:t>
      </w:r>
    </w:p>
    <w:p w:rsidR="00B201D6" w:rsidRDefault="00FA6A41" w:rsidP="00E61F90">
      <w:pPr>
        <w:pStyle w:val="PlainText"/>
        <w:spacing w:before="200" w:after="200"/>
        <w:ind w:left="0"/>
        <w:jc w:val="left"/>
        <w:rPr>
          <w:szCs w:val="22"/>
        </w:rPr>
      </w:pPr>
      <w:r w:rsidRPr="005F38C3">
        <w:rPr>
          <w:szCs w:val="22"/>
        </w:rPr>
        <w:t xml:space="preserve">The </w:t>
      </w:r>
      <w:r w:rsidR="00CA1D09">
        <w:rPr>
          <w:szCs w:val="22"/>
        </w:rPr>
        <w:t>framework</w:t>
      </w:r>
      <w:r w:rsidR="005F38C3">
        <w:rPr>
          <w:szCs w:val="22"/>
        </w:rPr>
        <w:t xml:space="preserve"> has provided </w:t>
      </w:r>
      <w:r w:rsidRPr="005F38C3">
        <w:rPr>
          <w:szCs w:val="22"/>
        </w:rPr>
        <w:t xml:space="preserve">assurance that appropriate mechanisms and controls </w:t>
      </w:r>
      <w:r w:rsidR="00CA1D09">
        <w:rPr>
          <w:szCs w:val="22"/>
        </w:rPr>
        <w:t xml:space="preserve">now </w:t>
      </w:r>
      <w:r w:rsidRPr="005F38C3">
        <w:rPr>
          <w:szCs w:val="22"/>
        </w:rPr>
        <w:t>are in place to effectively manage</w:t>
      </w:r>
      <w:r w:rsidR="00CA1D09">
        <w:rPr>
          <w:szCs w:val="22"/>
        </w:rPr>
        <w:t xml:space="preserve"> and report on performance. </w:t>
      </w:r>
      <w:r w:rsidR="00510F96">
        <w:rPr>
          <w:szCs w:val="22"/>
        </w:rPr>
        <w:t>Performance reports continue to be modified a</w:t>
      </w:r>
      <w:r w:rsidR="00CA1D09">
        <w:rPr>
          <w:szCs w:val="22"/>
        </w:rPr>
        <w:t xml:space="preserve">s the framework continues to develop and transform and as our capabilities in the area of performance reporting </w:t>
      </w:r>
      <w:r w:rsidR="00510F96">
        <w:rPr>
          <w:szCs w:val="22"/>
        </w:rPr>
        <w:t>continues to grow.</w:t>
      </w:r>
      <w:r w:rsidR="00CA1D09" w:rsidRPr="00CA1D09">
        <w:rPr>
          <w:szCs w:val="20"/>
        </w:rPr>
        <w:t xml:space="preserve"> </w:t>
      </w:r>
    </w:p>
    <w:p w:rsidR="005F38C3" w:rsidRPr="002D6DCB" w:rsidRDefault="00811FFF" w:rsidP="00E61F90">
      <w:pPr>
        <w:pStyle w:val="PlainText"/>
        <w:spacing w:before="200" w:after="200"/>
        <w:ind w:left="0"/>
        <w:jc w:val="left"/>
        <w:rPr>
          <w:szCs w:val="22"/>
        </w:rPr>
      </w:pPr>
      <w:r w:rsidRPr="002D6DCB">
        <w:rPr>
          <w:szCs w:val="22"/>
        </w:rPr>
        <w:t xml:space="preserve">In April 2016 we commenced publishing </w:t>
      </w:r>
      <w:r w:rsidR="006D5CE7">
        <w:rPr>
          <w:szCs w:val="22"/>
        </w:rPr>
        <w:t>external</w:t>
      </w:r>
      <w:r w:rsidR="006D5CE7" w:rsidRPr="002D6DCB">
        <w:rPr>
          <w:szCs w:val="22"/>
        </w:rPr>
        <w:t xml:space="preserve"> </w:t>
      </w:r>
      <w:r w:rsidRPr="002D6DCB">
        <w:rPr>
          <w:szCs w:val="22"/>
        </w:rPr>
        <w:t xml:space="preserve">quarterly performance reports. The reports provide information for the public on the activities and performance of AHPRA and the National Boards in each state and territory. </w:t>
      </w:r>
    </w:p>
    <w:p w:rsidR="00811FFF" w:rsidRDefault="00AA1FC7" w:rsidP="00E61F90">
      <w:pPr>
        <w:pStyle w:val="PlainText"/>
        <w:spacing w:before="200" w:after="200"/>
        <w:ind w:left="0"/>
        <w:jc w:val="left"/>
        <w:rPr>
          <w:szCs w:val="20"/>
        </w:rPr>
      </w:pPr>
      <w:r>
        <w:rPr>
          <w:rStyle w:val="AHPRAbodyChar"/>
        </w:rPr>
        <w:t>Throughout the year we monitored a number of notifications quality reviews as well as</w:t>
      </w:r>
      <w:r>
        <w:rPr>
          <w:szCs w:val="22"/>
        </w:rPr>
        <w:t xml:space="preserve"> the overall annual work plan. The</w:t>
      </w:r>
      <w:r w:rsidR="00952BFD" w:rsidRPr="002D6DCB">
        <w:rPr>
          <w:szCs w:val="22"/>
        </w:rPr>
        <w:t xml:space="preserve"> quality reviews allow</w:t>
      </w:r>
      <w:r w:rsidR="000A6E92" w:rsidRPr="002D6DCB">
        <w:rPr>
          <w:szCs w:val="22"/>
        </w:rPr>
        <w:t xml:space="preserve"> a </w:t>
      </w:r>
      <w:r w:rsidR="000A6E92" w:rsidRPr="002D6DCB">
        <w:rPr>
          <w:rStyle w:val="AHPRAbodyChar"/>
        </w:rPr>
        <w:t xml:space="preserve">complete comprehensive overview and analysis of one measure that requires a heightened level of awareness and assessment to minimise any potential risk to National Boards or AHPRA. </w:t>
      </w:r>
      <w:r>
        <w:rPr>
          <w:szCs w:val="22"/>
        </w:rPr>
        <w:t>W</w:t>
      </w:r>
      <w:r w:rsidR="00952BFD">
        <w:rPr>
          <w:szCs w:val="22"/>
        </w:rPr>
        <w:t xml:space="preserve">e are keen </w:t>
      </w:r>
      <w:r w:rsidR="00952BFD">
        <w:rPr>
          <w:szCs w:val="20"/>
        </w:rPr>
        <w:t xml:space="preserve">to see </w:t>
      </w:r>
      <w:r>
        <w:rPr>
          <w:szCs w:val="20"/>
        </w:rPr>
        <w:t>further work in this area and the</w:t>
      </w:r>
      <w:r w:rsidR="00952BFD">
        <w:rPr>
          <w:szCs w:val="22"/>
        </w:rPr>
        <w:t xml:space="preserve"> Committee </w:t>
      </w:r>
      <w:r w:rsidR="000A6E92" w:rsidRPr="002D6DCB">
        <w:rPr>
          <w:szCs w:val="22"/>
        </w:rPr>
        <w:t>welcome</w:t>
      </w:r>
      <w:r w:rsidR="00952BFD">
        <w:rPr>
          <w:szCs w:val="22"/>
        </w:rPr>
        <w:t>s</w:t>
      </w:r>
      <w:r w:rsidR="000A6E92" w:rsidRPr="002D6DCB">
        <w:rPr>
          <w:szCs w:val="22"/>
        </w:rPr>
        <w:t xml:space="preserve"> </w:t>
      </w:r>
      <w:r w:rsidR="002D6DCB" w:rsidRPr="002D6DCB">
        <w:rPr>
          <w:szCs w:val="22"/>
        </w:rPr>
        <w:t xml:space="preserve">that notifications quality reviews could </w:t>
      </w:r>
      <w:r w:rsidR="002D6DCB" w:rsidRPr="002D6DCB">
        <w:rPr>
          <w:szCs w:val="20"/>
        </w:rPr>
        <w:t>be extended to other regulatory and corporate activities as deemed appropriate.</w:t>
      </w:r>
    </w:p>
    <w:p w:rsidR="00580D71" w:rsidRPr="000121A2" w:rsidRDefault="00CC7EF7" w:rsidP="00E61F90">
      <w:pPr>
        <w:pStyle w:val="PlainText"/>
        <w:spacing w:before="200" w:after="200"/>
        <w:ind w:left="0"/>
        <w:jc w:val="left"/>
        <w:rPr>
          <w:rFonts w:cs="Arial"/>
          <w:b/>
          <w:szCs w:val="20"/>
        </w:rPr>
      </w:pPr>
      <w:r>
        <w:rPr>
          <w:rFonts w:cs="Arial"/>
          <w:b/>
          <w:szCs w:val="20"/>
        </w:rPr>
        <w:t>Ian Smith</w:t>
      </w:r>
      <w:r w:rsidR="004D16CA" w:rsidRPr="000121A2">
        <w:rPr>
          <w:rFonts w:cs="Arial"/>
          <w:b/>
          <w:szCs w:val="20"/>
        </w:rPr>
        <w:t xml:space="preserve">, Chair, </w:t>
      </w:r>
      <w:r>
        <w:rPr>
          <w:rFonts w:cs="Arial"/>
          <w:b/>
          <w:szCs w:val="20"/>
        </w:rPr>
        <w:t>Performance</w:t>
      </w:r>
      <w:r w:rsidR="00887697" w:rsidRPr="000121A2">
        <w:rPr>
          <w:rFonts w:cs="Arial"/>
          <w:b/>
          <w:szCs w:val="20"/>
        </w:rPr>
        <w:t xml:space="preserve"> Committee</w:t>
      </w:r>
    </w:p>
    <w:p w:rsidR="00580D71" w:rsidRPr="00CC1E5F" w:rsidRDefault="00580D71" w:rsidP="00E61F90">
      <w:pPr>
        <w:pStyle w:val="PlainText"/>
        <w:spacing w:before="200" w:after="200"/>
        <w:ind w:left="0"/>
        <w:contextualSpacing/>
        <w:jc w:val="left"/>
        <w:rPr>
          <w:rFonts w:eastAsia="Cambria"/>
          <w:b/>
          <w:color w:val="007DC3"/>
          <w:lang w:val="en-US"/>
        </w:rPr>
      </w:pPr>
      <w:r w:rsidRPr="00CC1E5F">
        <w:rPr>
          <w:rFonts w:eastAsia="Cambria"/>
          <w:b/>
          <w:color w:val="007DC3"/>
          <w:lang w:val="en-US"/>
        </w:rPr>
        <w:t>Role of the Committee</w:t>
      </w:r>
    </w:p>
    <w:p w:rsidR="00BC297D" w:rsidRPr="00D305B6" w:rsidRDefault="00580D71" w:rsidP="00D305B6">
      <w:pPr>
        <w:pStyle w:val="NoSpacing"/>
        <w:spacing w:after="120"/>
        <w:rPr>
          <w:rFonts w:ascii="Arial" w:hAnsi="Arial" w:cs="Arial"/>
          <w:sz w:val="20"/>
          <w:szCs w:val="20"/>
        </w:rPr>
      </w:pPr>
      <w:r w:rsidRPr="00D305B6">
        <w:rPr>
          <w:rFonts w:ascii="Arial" w:hAnsi="Arial" w:cs="Arial"/>
          <w:sz w:val="20"/>
          <w:szCs w:val="20"/>
        </w:rPr>
        <w:t xml:space="preserve">The </w:t>
      </w:r>
      <w:r w:rsidR="00CC7EF7" w:rsidRPr="00D305B6">
        <w:rPr>
          <w:rFonts w:ascii="Arial" w:hAnsi="Arial" w:cs="Arial"/>
          <w:sz w:val="20"/>
          <w:szCs w:val="20"/>
        </w:rPr>
        <w:t>Performance</w:t>
      </w:r>
      <w:r w:rsidRPr="00D305B6">
        <w:rPr>
          <w:rFonts w:ascii="Arial" w:hAnsi="Arial" w:cs="Arial"/>
          <w:sz w:val="20"/>
          <w:szCs w:val="20"/>
        </w:rPr>
        <w:t xml:space="preserve"> Committee is </w:t>
      </w:r>
      <w:r w:rsidR="00CC7EF7" w:rsidRPr="00D305B6">
        <w:rPr>
          <w:rFonts w:ascii="Arial" w:hAnsi="Arial" w:cs="Arial"/>
          <w:sz w:val="20"/>
          <w:szCs w:val="20"/>
        </w:rPr>
        <w:t>a</w:t>
      </w:r>
      <w:r w:rsidRPr="00D305B6">
        <w:rPr>
          <w:rFonts w:ascii="Arial" w:hAnsi="Arial" w:cs="Arial"/>
          <w:sz w:val="20"/>
          <w:szCs w:val="20"/>
        </w:rPr>
        <w:t xml:space="preserve"> committee of the Agency Management Committee </w:t>
      </w:r>
      <w:r w:rsidR="00630116" w:rsidRPr="00D305B6">
        <w:rPr>
          <w:rFonts w:ascii="Arial" w:hAnsi="Arial" w:cs="Arial"/>
          <w:sz w:val="20"/>
          <w:szCs w:val="20"/>
        </w:rPr>
        <w:t>(</w:t>
      </w:r>
      <w:proofErr w:type="spellStart"/>
      <w:r w:rsidR="00630116" w:rsidRPr="00D305B6">
        <w:rPr>
          <w:rFonts w:ascii="Arial" w:hAnsi="Arial" w:cs="Arial"/>
          <w:sz w:val="20"/>
          <w:szCs w:val="20"/>
        </w:rPr>
        <w:t>AManC</w:t>
      </w:r>
      <w:proofErr w:type="spellEnd"/>
      <w:r w:rsidR="00630116" w:rsidRPr="00D305B6">
        <w:rPr>
          <w:rFonts w:ascii="Arial" w:hAnsi="Arial" w:cs="Arial"/>
          <w:sz w:val="20"/>
          <w:szCs w:val="20"/>
        </w:rPr>
        <w:t>)</w:t>
      </w:r>
      <w:r w:rsidR="00BC297D" w:rsidRPr="00D305B6">
        <w:rPr>
          <w:rFonts w:ascii="Arial" w:hAnsi="Arial" w:cs="Arial"/>
          <w:sz w:val="20"/>
          <w:szCs w:val="20"/>
        </w:rPr>
        <w:t>.</w:t>
      </w:r>
      <w:r w:rsidR="00630116" w:rsidRPr="00D305B6">
        <w:rPr>
          <w:rFonts w:ascii="Arial" w:hAnsi="Arial" w:cs="Arial"/>
          <w:sz w:val="20"/>
          <w:szCs w:val="20"/>
        </w:rPr>
        <w:t xml:space="preserve"> </w:t>
      </w:r>
    </w:p>
    <w:p w:rsidR="00BC297D" w:rsidRDefault="00BC297D" w:rsidP="00D305B6">
      <w:pPr>
        <w:pStyle w:val="NoSpacing"/>
        <w:spacing w:after="120"/>
        <w:rPr>
          <w:rFonts w:ascii="Arial" w:hAnsi="Arial" w:cs="Arial"/>
          <w:sz w:val="20"/>
          <w:szCs w:val="20"/>
        </w:rPr>
      </w:pPr>
      <w:r>
        <w:rPr>
          <w:rFonts w:ascii="Arial" w:hAnsi="Arial" w:cs="Arial"/>
          <w:sz w:val="20"/>
          <w:szCs w:val="20"/>
        </w:rPr>
        <w:t>It has been established to strengthen the performance culture across the National Scheme through its oversight capacity and to provide advice and make recommendations to the Agency Management Committee in relation to:</w:t>
      </w:r>
    </w:p>
    <w:p w:rsidR="00BC297D" w:rsidRDefault="00BC297D" w:rsidP="00D305B6">
      <w:pPr>
        <w:pStyle w:val="NoSpacing"/>
        <w:numPr>
          <w:ilvl w:val="0"/>
          <w:numId w:val="43"/>
        </w:numPr>
        <w:spacing w:after="120"/>
        <w:ind w:left="357" w:hanging="357"/>
        <w:contextualSpacing/>
        <w:rPr>
          <w:rFonts w:ascii="Arial" w:hAnsi="Arial" w:cs="Arial"/>
          <w:sz w:val="20"/>
          <w:szCs w:val="20"/>
        </w:rPr>
      </w:pPr>
      <w:r>
        <w:rPr>
          <w:rFonts w:ascii="Arial" w:hAnsi="Arial" w:cs="Arial"/>
          <w:sz w:val="20"/>
          <w:szCs w:val="20"/>
        </w:rPr>
        <w:t>the broad performance objectives of the National Scheme</w:t>
      </w:r>
    </w:p>
    <w:p w:rsidR="00BC297D" w:rsidRDefault="00BC297D" w:rsidP="00D305B6">
      <w:pPr>
        <w:pStyle w:val="NoSpacing"/>
        <w:numPr>
          <w:ilvl w:val="0"/>
          <w:numId w:val="43"/>
        </w:numPr>
        <w:spacing w:after="120"/>
        <w:ind w:left="357" w:hanging="357"/>
        <w:contextualSpacing/>
        <w:rPr>
          <w:rFonts w:ascii="Arial" w:hAnsi="Arial" w:cs="Arial"/>
          <w:sz w:val="20"/>
          <w:szCs w:val="20"/>
        </w:rPr>
      </w:pPr>
      <w:r>
        <w:rPr>
          <w:rFonts w:ascii="Arial" w:hAnsi="Arial" w:cs="Arial"/>
          <w:sz w:val="20"/>
          <w:szCs w:val="20"/>
        </w:rPr>
        <w:t>the performance indicators to be used to measure organisational performance, and</w:t>
      </w:r>
    </w:p>
    <w:p w:rsidR="00580D71" w:rsidRDefault="00BC297D" w:rsidP="00D305B6">
      <w:pPr>
        <w:pStyle w:val="NoSpacing"/>
        <w:numPr>
          <w:ilvl w:val="0"/>
          <w:numId w:val="43"/>
        </w:numPr>
        <w:spacing w:after="120"/>
        <w:ind w:left="357" w:hanging="357"/>
        <w:contextualSpacing/>
        <w:rPr>
          <w:rFonts w:ascii="Arial" w:hAnsi="Arial" w:cs="Arial"/>
          <w:sz w:val="20"/>
          <w:szCs w:val="20"/>
        </w:rPr>
      </w:pPr>
      <w:proofErr w:type="gramStart"/>
      <w:r w:rsidRPr="00D305B6">
        <w:rPr>
          <w:rFonts w:ascii="Arial" w:hAnsi="Arial" w:cs="Arial"/>
          <w:sz w:val="20"/>
          <w:szCs w:val="20"/>
        </w:rPr>
        <w:t>monitoring</w:t>
      </w:r>
      <w:proofErr w:type="gramEnd"/>
      <w:r w:rsidRPr="00D305B6">
        <w:rPr>
          <w:rFonts w:ascii="Arial" w:hAnsi="Arial" w:cs="Arial"/>
          <w:sz w:val="20"/>
          <w:szCs w:val="20"/>
        </w:rPr>
        <w:t xml:space="preserve"> of the overall effectiveness and outcome of performance indicators.</w:t>
      </w:r>
    </w:p>
    <w:p w:rsidR="00C84E24" w:rsidRPr="00D305B6" w:rsidRDefault="00C84E24" w:rsidP="00C84E24">
      <w:pPr>
        <w:pStyle w:val="NoSpacing"/>
        <w:spacing w:after="120"/>
        <w:contextualSpacing/>
        <w:rPr>
          <w:rFonts w:ascii="Arial" w:hAnsi="Arial" w:cs="Arial"/>
          <w:sz w:val="20"/>
          <w:szCs w:val="20"/>
        </w:rPr>
      </w:pPr>
    </w:p>
    <w:p w:rsidR="00580D71" w:rsidRPr="00CC1E5F" w:rsidRDefault="00BC297D" w:rsidP="00E61F90">
      <w:pPr>
        <w:pStyle w:val="NoSpacing"/>
        <w:spacing w:before="200" w:after="200"/>
        <w:rPr>
          <w:rFonts w:ascii="Arial" w:eastAsia="Cambria" w:hAnsi="Arial"/>
          <w:b/>
          <w:color w:val="007DC3"/>
          <w:sz w:val="20"/>
          <w:szCs w:val="24"/>
          <w:lang w:val="en-US"/>
        </w:rPr>
      </w:pPr>
      <w:r>
        <w:rPr>
          <w:rFonts w:ascii="Arial" w:eastAsia="Cambria" w:hAnsi="Arial"/>
          <w:b/>
          <w:color w:val="007DC3"/>
          <w:sz w:val="20"/>
          <w:szCs w:val="24"/>
          <w:lang w:val="en-US"/>
        </w:rPr>
        <w:t>Functions</w:t>
      </w:r>
      <w:r w:rsidRPr="00CC1E5F">
        <w:rPr>
          <w:rFonts w:ascii="Arial" w:eastAsia="Cambria" w:hAnsi="Arial"/>
          <w:b/>
          <w:color w:val="007DC3"/>
          <w:sz w:val="20"/>
          <w:szCs w:val="24"/>
          <w:lang w:val="en-US"/>
        </w:rPr>
        <w:t xml:space="preserve"> </w:t>
      </w:r>
      <w:r w:rsidR="00580D71" w:rsidRPr="00CC1E5F">
        <w:rPr>
          <w:rFonts w:ascii="Arial" w:eastAsia="Cambria" w:hAnsi="Arial"/>
          <w:b/>
          <w:color w:val="007DC3"/>
          <w:sz w:val="20"/>
          <w:szCs w:val="24"/>
          <w:lang w:val="en-US"/>
        </w:rPr>
        <w:t>and Responsibilities</w:t>
      </w:r>
      <w:r w:rsidR="00887697" w:rsidRPr="00CC1E5F">
        <w:rPr>
          <w:rFonts w:ascii="Arial" w:eastAsia="Cambria" w:hAnsi="Arial"/>
          <w:b/>
          <w:color w:val="007DC3"/>
          <w:sz w:val="20"/>
          <w:szCs w:val="24"/>
          <w:lang w:val="en-US"/>
        </w:rPr>
        <w:t xml:space="preserve"> of the Committee</w:t>
      </w:r>
    </w:p>
    <w:p w:rsidR="00BC297D" w:rsidRDefault="00BC297D" w:rsidP="00EF2E21">
      <w:pPr>
        <w:pStyle w:val="NoSpacing"/>
        <w:spacing w:after="120"/>
        <w:rPr>
          <w:rFonts w:ascii="Arial" w:hAnsi="Arial" w:cs="Arial"/>
          <w:sz w:val="20"/>
          <w:szCs w:val="20"/>
        </w:rPr>
      </w:pPr>
      <w:r>
        <w:rPr>
          <w:rFonts w:ascii="Arial" w:hAnsi="Arial" w:cs="Arial"/>
          <w:sz w:val="20"/>
          <w:szCs w:val="20"/>
        </w:rPr>
        <w:t>The Performance Committee will:</w:t>
      </w:r>
    </w:p>
    <w:p w:rsidR="00BC297D" w:rsidRDefault="00BC297D" w:rsidP="00EF2E21">
      <w:pPr>
        <w:pStyle w:val="NoSpacing"/>
        <w:numPr>
          <w:ilvl w:val="0"/>
          <w:numId w:val="43"/>
        </w:numPr>
        <w:spacing w:after="120"/>
        <w:ind w:left="357" w:hanging="357"/>
        <w:contextualSpacing/>
        <w:rPr>
          <w:rFonts w:ascii="Arial" w:hAnsi="Arial" w:cs="Arial"/>
          <w:sz w:val="20"/>
          <w:szCs w:val="20"/>
        </w:rPr>
      </w:pPr>
      <w:r>
        <w:rPr>
          <w:rFonts w:ascii="Arial" w:hAnsi="Arial" w:cs="Arial"/>
          <w:sz w:val="20"/>
          <w:szCs w:val="20"/>
        </w:rPr>
        <w:t>r</w:t>
      </w:r>
      <w:r w:rsidRPr="00DC5F43">
        <w:rPr>
          <w:rFonts w:ascii="Arial" w:hAnsi="Arial" w:cs="Arial"/>
          <w:sz w:val="20"/>
          <w:szCs w:val="20"/>
        </w:rPr>
        <w:t xml:space="preserve">eview </w:t>
      </w:r>
      <w:r>
        <w:rPr>
          <w:rFonts w:ascii="Arial" w:hAnsi="Arial" w:cs="Arial"/>
          <w:sz w:val="20"/>
          <w:szCs w:val="20"/>
        </w:rPr>
        <w:t xml:space="preserve">and monitor </w:t>
      </w:r>
      <w:r w:rsidRPr="00DC5F43">
        <w:rPr>
          <w:rFonts w:ascii="Arial" w:hAnsi="Arial" w:cs="Arial"/>
          <w:sz w:val="20"/>
          <w:szCs w:val="20"/>
        </w:rPr>
        <w:t xml:space="preserve">the </w:t>
      </w:r>
      <w:r>
        <w:rPr>
          <w:rFonts w:ascii="Arial" w:hAnsi="Arial" w:cs="Arial"/>
          <w:sz w:val="20"/>
          <w:szCs w:val="20"/>
        </w:rPr>
        <w:t xml:space="preserve">reported quarterly </w:t>
      </w:r>
      <w:r w:rsidRPr="00DC5F43">
        <w:rPr>
          <w:rFonts w:ascii="Arial" w:hAnsi="Arial" w:cs="Arial"/>
          <w:sz w:val="20"/>
          <w:szCs w:val="20"/>
        </w:rPr>
        <w:t>performance of AHPRA in relation to agreed performance outcomes and measures</w:t>
      </w:r>
    </w:p>
    <w:p w:rsidR="00BC297D" w:rsidRDefault="00BC297D" w:rsidP="00EF2E21">
      <w:pPr>
        <w:pStyle w:val="NoSpacing"/>
        <w:numPr>
          <w:ilvl w:val="0"/>
          <w:numId w:val="43"/>
        </w:numPr>
        <w:spacing w:after="120"/>
        <w:ind w:left="357" w:hanging="357"/>
        <w:contextualSpacing/>
        <w:rPr>
          <w:rFonts w:ascii="Arial" w:hAnsi="Arial" w:cs="Arial"/>
          <w:sz w:val="20"/>
          <w:szCs w:val="20"/>
        </w:rPr>
      </w:pPr>
      <w:r>
        <w:rPr>
          <w:rFonts w:ascii="Arial" w:hAnsi="Arial" w:cs="Arial"/>
          <w:sz w:val="20"/>
          <w:szCs w:val="20"/>
        </w:rPr>
        <w:t xml:space="preserve">report quarterly on performance through the Agency Management Committee and to National Boards and advise on reporting to external parties, including governments and public reporting </w:t>
      </w:r>
    </w:p>
    <w:p w:rsidR="00BC297D" w:rsidRDefault="00BC297D" w:rsidP="00EF2E21">
      <w:pPr>
        <w:pStyle w:val="NoSpacing"/>
        <w:numPr>
          <w:ilvl w:val="0"/>
          <w:numId w:val="43"/>
        </w:numPr>
        <w:spacing w:after="120"/>
        <w:ind w:left="357" w:hanging="357"/>
        <w:contextualSpacing/>
        <w:rPr>
          <w:rFonts w:ascii="Arial" w:hAnsi="Arial" w:cs="Arial"/>
          <w:sz w:val="20"/>
          <w:szCs w:val="20"/>
        </w:rPr>
      </w:pPr>
      <w:r>
        <w:rPr>
          <w:rFonts w:ascii="Arial" w:hAnsi="Arial" w:cs="Arial"/>
          <w:sz w:val="20"/>
          <w:szCs w:val="20"/>
        </w:rPr>
        <w:t>a</w:t>
      </w:r>
      <w:r w:rsidRPr="00264DF0">
        <w:rPr>
          <w:rFonts w:ascii="Arial" w:hAnsi="Arial" w:cs="Arial"/>
          <w:sz w:val="20"/>
          <w:szCs w:val="20"/>
        </w:rPr>
        <w:t>s required, focus on specific issues where performance and/or performance reporting may be raising concerns and any plans for corrective action</w:t>
      </w:r>
      <w:r>
        <w:rPr>
          <w:rFonts w:ascii="Arial" w:hAnsi="Arial" w:cs="Arial"/>
          <w:sz w:val="20"/>
          <w:szCs w:val="20"/>
        </w:rPr>
        <w:t>, and</w:t>
      </w:r>
    </w:p>
    <w:p w:rsidR="00580D71" w:rsidRDefault="00BC297D" w:rsidP="00EF2E21">
      <w:pPr>
        <w:pStyle w:val="NoSpacing"/>
        <w:numPr>
          <w:ilvl w:val="0"/>
          <w:numId w:val="43"/>
        </w:numPr>
        <w:spacing w:after="120"/>
        <w:ind w:left="357" w:hanging="357"/>
        <w:contextualSpacing/>
        <w:rPr>
          <w:rFonts w:ascii="Arial" w:hAnsi="Arial" w:cs="Arial"/>
          <w:sz w:val="20"/>
          <w:szCs w:val="20"/>
        </w:rPr>
      </w:pPr>
      <w:proofErr w:type="gramStart"/>
      <w:r w:rsidRPr="00EF2E21">
        <w:rPr>
          <w:rFonts w:ascii="Arial" w:hAnsi="Arial" w:cs="Arial"/>
          <w:sz w:val="20"/>
          <w:szCs w:val="20"/>
        </w:rPr>
        <w:t>undertake</w:t>
      </w:r>
      <w:proofErr w:type="gramEnd"/>
      <w:r w:rsidRPr="00EF2E21">
        <w:rPr>
          <w:rFonts w:ascii="Arial" w:hAnsi="Arial" w:cs="Arial"/>
          <w:sz w:val="20"/>
          <w:szCs w:val="20"/>
        </w:rPr>
        <w:t xml:space="preserve"> any other responsibility as delegated by the Agency Management Committee.</w:t>
      </w:r>
    </w:p>
    <w:p w:rsidR="00C84E24" w:rsidRPr="00EF2E21" w:rsidRDefault="00C84E24" w:rsidP="00C84E24">
      <w:pPr>
        <w:pStyle w:val="NoSpacing"/>
        <w:spacing w:after="120"/>
        <w:contextualSpacing/>
        <w:rPr>
          <w:rFonts w:ascii="Arial" w:hAnsi="Arial" w:cs="Arial"/>
          <w:sz w:val="20"/>
          <w:szCs w:val="20"/>
        </w:rPr>
      </w:pPr>
    </w:p>
    <w:p w:rsidR="00BC297D" w:rsidRDefault="00BC297D" w:rsidP="00C84E24">
      <w:pPr>
        <w:keepNext/>
        <w:spacing w:before="200" w:line="240" w:lineRule="auto"/>
        <w:contextualSpacing/>
        <w:rPr>
          <w:rFonts w:eastAsia="Cambria"/>
          <w:b/>
          <w:color w:val="007DC3"/>
          <w:sz w:val="20"/>
          <w:szCs w:val="24"/>
          <w:lang w:val="en-US"/>
        </w:rPr>
      </w:pPr>
      <w:r>
        <w:rPr>
          <w:rFonts w:eastAsia="Cambria"/>
          <w:b/>
          <w:color w:val="007DC3"/>
          <w:sz w:val="20"/>
          <w:szCs w:val="24"/>
          <w:lang w:val="en-US"/>
        </w:rPr>
        <w:lastRenderedPageBreak/>
        <w:t>Powers of the Committee</w:t>
      </w:r>
    </w:p>
    <w:p w:rsidR="009B60D2" w:rsidRDefault="009B60D2" w:rsidP="00E61F90">
      <w:pPr>
        <w:spacing w:before="200" w:line="240" w:lineRule="auto"/>
        <w:contextualSpacing/>
        <w:rPr>
          <w:rFonts w:eastAsia="Cambria"/>
          <w:b/>
          <w:color w:val="007DC3"/>
          <w:sz w:val="20"/>
          <w:szCs w:val="24"/>
          <w:lang w:val="en-US"/>
        </w:rPr>
      </w:pPr>
    </w:p>
    <w:p w:rsidR="009B60D2" w:rsidRDefault="009B60D2" w:rsidP="00E61F90">
      <w:pPr>
        <w:spacing w:before="200" w:line="240" w:lineRule="auto"/>
        <w:contextualSpacing/>
        <w:rPr>
          <w:rFonts w:cs="Arial"/>
          <w:sz w:val="20"/>
          <w:szCs w:val="20"/>
        </w:rPr>
      </w:pPr>
      <w:r w:rsidRPr="009F5B80">
        <w:rPr>
          <w:rFonts w:cs="Arial"/>
          <w:sz w:val="20"/>
          <w:szCs w:val="20"/>
        </w:rPr>
        <w:t xml:space="preserve">The </w:t>
      </w:r>
      <w:r>
        <w:rPr>
          <w:rFonts w:cs="Arial"/>
          <w:sz w:val="20"/>
          <w:szCs w:val="20"/>
        </w:rPr>
        <w:t xml:space="preserve">Performance Committee </w:t>
      </w:r>
      <w:r w:rsidRPr="009F5B80">
        <w:rPr>
          <w:rFonts w:cs="Arial"/>
          <w:sz w:val="20"/>
          <w:szCs w:val="20"/>
        </w:rPr>
        <w:t xml:space="preserve">functions </w:t>
      </w:r>
      <w:r>
        <w:rPr>
          <w:rFonts w:cs="Arial"/>
          <w:sz w:val="20"/>
          <w:szCs w:val="20"/>
        </w:rPr>
        <w:t>in an oversight and review role and makes recommendations to the Agency Management Committee</w:t>
      </w:r>
      <w:r w:rsidRPr="00BC4E31">
        <w:rPr>
          <w:rFonts w:cs="Arial"/>
          <w:sz w:val="20"/>
          <w:szCs w:val="20"/>
        </w:rPr>
        <w:t>.</w:t>
      </w:r>
    </w:p>
    <w:p w:rsidR="009B60D2" w:rsidRDefault="009B60D2" w:rsidP="00E61F90">
      <w:pPr>
        <w:spacing w:before="200" w:line="240" w:lineRule="auto"/>
        <w:contextualSpacing/>
        <w:rPr>
          <w:rFonts w:eastAsia="Cambria"/>
          <w:b/>
          <w:color w:val="007DC3"/>
          <w:sz w:val="20"/>
          <w:szCs w:val="24"/>
          <w:lang w:val="en-US"/>
        </w:rPr>
      </w:pPr>
    </w:p>
    <w:p w:rsidR="00580D71" w:rsidRPr="00CC1E5F" w:rsidRDefault="00580D71" w:rsidP="00E61F90">
      <w:pPr>
        <w:spacing w:before="200" w:line="240" w:lineRule="auto"/>
        <w:contextualSpacing/>
        <w:rPr>
          <w:rFonts w:eastAsia="Cambria"/>
          <w:b/>
          <w:color w:val="007DC3"/>
          <w:sz w:val="20"/>
          <w:szCs w:val="24"/>
          <w:lang w:val="en-US"/>
        </w:rPr>
      </w:pPr>
      <w:r w:rsidRPr="00CC1E5F">
        <w:rPr>
          <w:rFonts w:eastAsia="Cambria"/>
          <w:b/>
          <w:color w:val="007DC3"/>
          <w:sz w:val="20"/>
          <w:szCs w:val="24"/>
          <w:lang w:val="en-US"/>
        </w:rPr>
        <w:t>Membership</w:t>
      </w:r>
    </w:p>
    <w:p w:rsidR="00580D71" w:rsidRDefault="00580D71" w:rsidP="00691DE2">
      <w:pPr>
        <w:pStyle w:val="NoSpacing"/>
        <w:spacing w:before="200" w:after="200"/>
        <w:rPr>
          <w:rFonts w:ascii="Arial" w:hAnsi="Arial" w:cs="Arial"/>
          <w:sz w:val="20"/>
          <w:szCs w:val="20"/>
        </w:rPr>
      </w:pPr>
      <w:r w:rsidRPr="00E61F90">
        <w:rPr>
          <w:rFonts w:ascii="Arial" w:hAnsi="Arial" w:cs="Arial"/>
          <w:sz w:val="20"/>
          <w:szCs w:val="20"/>
        </w:rPr>
        <w:t xml:space="preserve">Membership is appointed by the </w:t>
      </w:r>
      <w:r w:rsidR="00D847AB" w:rsidRPr="00D847AB">
        <w:rPr>
          <w:rFonts w:ascii="Arial" w:hAnsi="Arial" w:cs="Arial"/>
          <w:sz w:val="20"/>
          <w:szCs w:val="20"/>
        </w:rPr>
        <w:t>AManC</w:t>
      </w:r>
      <w:r w:rsidR="00CE3AC2" w:rsidRPr="00E61F90">
        <w:rPr>
          <w:rFonts w:ascii="Arial" w:hAnsi="Arial" w:cs="Arial"/>
          <w:sz w:val="20"/>
          <w:szCs w:val="20"/>
        </w:rPr>
        <w:t xml:space="preserve"> </w:t>
      </w:r>
      <w:r w:rsidRPr="00E61F90">
        <w:rPr>
          <w:rFonts w:ascii="Arial" w:hAnsi="Arial" w:cs="Arial"/>
          <w:sz w:val="20"/>
          <w:szCs w:val="20"/>
        </w:rPr>
        <w:t>and consists of</w:t>
      </w:r>
      <w:r w:rsidR="00691DE2">
        <w:rPr>
          <w:rFonts w:ascii="Arial" w:hAnsi="Arial" w:cs="Arial"/>
          <w:sz w:val="20"/>
          <w:szCs w:val="20"/>
        </w:rPr>
        <w:t>:</w:t>
      </w:r>
    </w:p>
    <w:p w:rsidR="00691DE2" w:rsidRDefault="009B60D2" w:rsidP="00691DE2">
      <w:pPr>
        <w:pStyle w:val="NoSpacing"/>
        <w:numPr>
          <w:ilvl w:val="0"/>
          <w:numId w:val="41"/>
        </w:numPr>
        <w:spacing w:before="200" w:after="200"/>
        <w:ind w:left="357" w:hanging="357"/>
        <w:contextualSpacing/>
        <w:rPr>
          <w:rFonts w:ascii="Arial" w:hAnsi="Arial" w:cs="Arial"/>
          <w:sz w:val="20"/>
          <w:szCs w:val="20"/>
        </w:rPr>
      </w:pPr>
      <w:r>
        <w:rPr>
          <w:rFonts w:ascii="Arial" w:hAnsi="Arial" w:cs="Arial"/>
          <w:sz w:val="20"/>
          <w:szCs w:val="20"/>
        </w:rPr>
        <w:t>up to four</w:t>
      </w:r>
      <w:r w:rsidRPr="00EB355D">
        <w:rPr>
          <w:rFonts w:ascii="Arial" w:hAnsi="Arial" w:cs="Arial"/>
          <w:sz w:val="20"/>
          <w:szCs w:val="20"/>
        </w:rPr>
        <w:t xml:space="preserve"> </w:t>
      </w:r>
      <w:r w:rsidR="00691DE2" w:rsidRPr="00EB355D">
        <w:rPr>
          <w:rFonts w:ascii="Arial" w:hAnsi="Arial" w:cs="Arial"/>
          <w:sz w:val="20"/>
          <w:szCs w:val="20"/>
        </w:rPr>
        <w:t xml:space="preserve">members of the </w:t>
      </w:r>
      <w:r w:rsidR="00D847AB" w:rsidRPr="00D847AB">
        <w:rPr>
          <w:rFonts w:ascii="Arial" w:hAnsi="Arial" w:cs="Arial"/>
          <w:sz w:val="20"/>
          <w:szCs w:val="20"/>
        </w:rPr>
        <w:t>AManC</w:t>
      </w:r>
    </w:p>
    <w:p w:rsidR="00691DE2" w:rsidRDefault="009B60D2" w:rsidP="00691DE2">
      <w:pPr>
        <w:pStyle w:val="NoSpacing"/>
        <w:numPr>
          <w:ilvl w:val="0"/>
          <w:numId w:val="41"/>
        </w:numPr>
        <w:spacing w:before="200" w:after="200"/>
        <w:ind w:left="357" w:hanging="357"/>
        <w:contextualSpacing/>
        <w:rPr>
          <w:rFonts w:ascii="Arial" w:hAnsi="Arial" w:cs="Arial"/>
          <w:sz w:val="20"/>
          <w:szCs w:val="20"/>
        </w:rPr>
      </w:pPr>
      <w:r>
        <w:rPr>
          <w:rFonts w:ascii="Arial" w:hAnsi="Arial" w:cs="Arial"/>
          <w:sz w:val="20"/>
          <w:szCs w:val="20"/>
        </w:rPr>
        <w:t xml:space="preserve">up to three </w:t>
      </w:r>
      <w:r w:rsidR="00691DE2">
        <w:rPr>
          <w:rFonts w:ascii="Arial" w:hAnsi="Arial" w:cs="Arial"/>
          <w:sz w:val="20"/>
          <w:szCs w:val="20"/>
        </w:rPr>
        <w:t>National Board Chairs</w:t>
      </w:r>
      <w:r>
        <w:rPr>
          <w:rFonts w:ascii="Arial" w:hAnsi="Arial" w:cs="Arial"/>
          <w:sz w:val="20"/>
          <w:szCs w:val="20"/>
        </w:rPr>
        <w:t>, and</w:t>
      </w:r>
    </w:p>
    <w:p w:rsidR="009B60D2" w:rsidRDefault="009B60D2" w:rsidP="00691DE2">
      <w:pPr>
        <w:pStyle w:val="NoSpacing"/>
        <w:numPr>
          <w:ilvl w:val="0"/>
          <w:numId w:val="41"/>
        </w:numPr>
        <w:spacing w:before="200" w:after="200"/>
        <w:ind w:left="357" w:hanging="357"/>
        <w:rPr>
          <w:rFonts w:ascii="Arial" w:hAnsi="Arial" w:cs="Arial"/>
          <w:sz w:val="20"/>
          <w:szCs w:val="20"/>
        </w:rPr>
      </w:pPr>
      <w:proofErr w:type="gramStart"/>
      <w:r>
        <w:rPr>
          <w:rFonts w:ascii="Arial" w:hAnsi="Arial" w:cs="Arial"/>
          <w:sz w:val="20"/>
          <w:szCs w:val="20"/>
        </w:rPr>
        <w:t>any</w:t>
      </w:r>
      <w:proofErr w:type="gramEnd"/>
      <w:r>
        <w:rPr>
          <w:rFonts w:ascii="Arial" w:hAnsi="Arial" w:cs="Arial"/>
          <w:sz w:val="20"/>
          <w:szCs w:val="20"/>
        </w:rPr>
        <w:t xml:space="preserve"> other person the Chair thinks appropriate.</w:t>
      </w:r>
    </w:p>
    <w:p w:rsidR="009B60D2" w:rsidRDefault="009B60D2" w:rsidP="009B60D2">
      <w:pPr>
        <w:pStyle w:val="NoSpacing"/>
        <w:spacing w:before="200" w:after="200"/>
        <w:rPr>
          <w:rFonts w:ascii="Arial" w:hAnsi="Arial" w:cs="Arial"/>
          <w:sz w:val="20"/>
          <w:szCs w:val="20"/>
        </w:rPr>
      </w:pPr>
      <w:r>
        <w:rPr>
          <w:rFonts w:ascii="Arial" w:hAnsi="Arial" w:cs="Arial"/>
          <w:sz w:val="20"/>
          <w:szCs w:val="20"/>
        </w:rPr>
        <w:t>In addition, meetings will be attended by:</w:t>
      </w:r>
    </w:p>
    <w:p w:rsidR="00691DE2" w:rsidRDefault="00691DE2" w:rsidP="00691DE2">
      <w:pPr>
        <w:pStyle w:val="NoSpacing"/>
        <w:numPr>
          <w:ilvl w:val="0"/>
          <w:numId w:val="41"/>
        </w:numPr>
        <w:spacing w:before="200" w:after="200"/>
        <w:ind w:left="357" w:hanging="357"/>
        <w:contextualSpacing/>
        <w:rPr>
          <w:rFonts w:ascii="Arial" w:hAnsi="Arial" w:cs="Arial"/>
          <w:sz w:val="20"/>
          <w:szCs w:val="20"/>
        </w:rPr>
      </w:pPr>
      <w:r>
        <w:rPr>
          <w:rFonts w:ascii="Arial" w:hAnsi="Arial" w:cs="Arial"/>
          <w:sz w:val="20"/>
          <w:szCs w:val="20"/>
        </w:rPr>
        <w:t>AHPRA CEO</w:t>
      </w:r>
    </w:p>
    <w:p w:rsidR="00691DE2" w:rsidRDefault="00691DE2" w:rsidP="00691DE2">
      <w:pPr>
        <w:pStyle w:val="NoSpacing"/>
        <w:numPr>
          <w:ilvl w:val="0"/>
          <w:numId w:val="41"/>
        </w:numPr>
        <w:spacing w:before="200" w:after="200"/>
        <w:ind w:left="357" w:hanging="357"/>
        <w:contextualSpacing/>
        <w:rPr>
          <w:rFonts w:ascii="Arial" w:hAnsi="Arial" w:cs="Arial"/>
          <w:sz w:val="20"/>
          <w:szCs w:val="20"/>
        </w:rPr>
      </w:pPr>
      <w:r>
        <w:rPr>
          <w:rFonts w:ascii="Arial" w:hAnsi="Arial" w:cs="Arial"/>
          <w:sz w:val="20"/>
          <w:szCs w:val="20"/>
        </w:rPr>
        <w:t>AHPRA Executive Director, Regulatory Operations</w:t>
      </w:r>
    </w:p>
    <w:p w:rsidR="00691DE2" w:rsidRDefault="00691DE2" w:rsidP="00691DE2">
      <w:pPr>
        <w:pStyle w:val="NoSpacing"/>
        <w:numPr>
          <w:ilvl w:val="0"/>
          <w:numId w:val="41"/>
        </w:numPr>
        <w:spacing w:before="200" w:after="200"/>
        <w:ind w:left="357" w:hanging="357"/>
        <w:contextualSpacing/>
        <w:rPr>
          <w:rFonts w:ascii="Arial" w:hAnsi="Arial" w:cs="Arial"/>
          <w:sz w:val="20"/>
          <w:szCs w:val="20"/>
        </w:rPr>
      </w:pPr>
      <w:r>
        <w:rPr>
          <w:rFonts w:ascii="Arial" w:hAnsi="Arial" w:cs="Arial"/>
          <w:sz w:val="20"/>
          <w:szCs w:val="20"/>
        </w:rPr>
        <w:t>AHPRA Executive Director, Business Services</w:t>
      </w:r>
    </w:p>
    <w:p w:rsidR="00EC0B30" w:rsidRDefault="009B60D2" w:rsidP="00691DE2">
      <w:pPr>
        <w:pStyle w:val="NoSpacing"/>
        <w:numPr>
          <w:ilvl w:val="0"/>
          <w:numId w:val="41"/>
        </w:numPr>
        <w:spacing w:before="200" w:after="200"/>
        <w:ind w:left="357" w:hanging="357"/>
        <w:contextualSpacing/>
        <w:rPr>
          <w:rFonts w:ascii="Arial" w:hAnsi="Arial" w:cs="Arial"/>
          <w:sz w:val="20"/>
          <w:szCs w:val="20"/>
        </w:rPr>
      </w:pPr>
      <w:r>
        <w:rPr>
          <w:rFonts w:ascii="Arial" w:hAnsi="Arial" w:cs="Arial"/>
          <w:sz w:val="20"/>
          <w:szCs w:val="20"/>
        </w:rPr>
        <w:t>AHPRA senior management, as and when required.</w:t>
      </w:r>
      <w:r w:rsidR="00AD5E2E">
        <w:rPr>
          <w:rFonts w:ascii="Arial" w:hAnsi="Arial" w:cs="Arial"/>
          <w:sz w:val="20"/>
          <w:szCs w:val="20"/>
        </w:rPr>
        <w:t xml:space="preserve"> </w:t>
      </w:r>
    </w:p>
    <w:p w:rsidR="00580D71" w:rsidRDefault="00EC0B30" w:rsidP="00304F81">
      <w:pPr>
        <w:autoSpaceDE w:val="0"/>
        <w:autoSpaceDN w:val="0"/>
        <w:adjustRightInd w:val="0"/>
        <w:spacing w:before="200" w:line="240" w:lineRule="auto"/>
        <w:rPr>
          <w:rFonts w:cs="Arial"/>
          <w:sz w:val="20"/>
          <w:szCs w:val="20"/>
        </w:rPr>
      </w:pPr>
      <w:r>
        <w:rPr>
          <w:rFonts w:cs="Arial"/>
          <w:sz w:val="20"/>
          <w:szCs w:val="20"/>
        </w:rPr>
        <w:t xml:space="preserve">The Committee Chair will be an </w:t>
      </w:r>
      <w:r w:rsidR="00D847AB" w:rsidRPr="00D847AB">
        <w:rPr>
          <w:rFonts w:cs="Arial"/>
          <w:sz w:val="20"/>
          <w:szCs w:val="20"/>
        </w:rPr>
        <w:t>AManC</w:t>
      </w:r>
      <w:r>
        <w:rPr>
          <w:rFonts w:cs="Arial"/>
          <w:sz w:val="20"/>
          <w:szCs w:val="20"/>
        </w:rPr>
        <w:t xml:space="preserve"> member and at least one </w:t>
      </w:r>
      <w:r w:rsidR="009969BE">
        <w:rPr>
          <w:rFonts w:cs="Arial"/>
          <w:sz w:val="20"/>
          <w:szCs w:val="20"/>
        </w:rPr>
        <w:t xml:space="preserve">National Board </w:t>
      </w:r>
      <w:r>
        <w:rPr>
          <w:rFonts w:cs="Arial"/>
          <w:sz w:val="20"/>
          <w:szCs w:val="20"/>
        </w:rPr>
        <w:t>Chair should also be a member of the Notifications and Compliance Committee</w:t>
      </w:r>
      <w:r w:rsidR="004A1A27">
        <w:rPr>
          <w:rFonts w:cs="Arial"/>
          <w:sz w:val="20"/>
          <w:szCs w:val="20"/>
        </w:rPr>
        <w:t xml:space="preserve"> (NCC)</w:t>
      </w:r>
      <w:r>
        <w:rPr>
          <w:rFonts w:cs="Arial"/>
          <w:sz w:val="20"/>
          <w:szCs w:val="20"/>
        </w:rPr>
        <w:t xml:space="preserve">. </w:t>
      </w:r>
      <w:r w:rsidR="008C3916" w:rsidRPr="00EB355D">
        <w:rPr>
          <w:rFonts w:cs="Arial"/>
          <w:sz w:val="20"/>
          <w:szCs w:val="20"/>
        </w:rPr>
        <w:t xml:space="preserve">All members </w:t>
      </w:r>
      <w:r w:rsidR="009B60D2">
        <w:rPr>
          <w:rFonts w:cs="Arial"/>
          <w:sz w:val="20"/>
          <w:szCs w:val="20"/>
        </w:rPr>
        <w:t>shall be appointed for a term of two years and can be re-appointed.</w:t>
      </w:r>
    </w:p>
    <w:p w:rsidR="00584FBE" w:rsidRDefault="00584FBE" w:rsidP="00304F81">
      <w:pPr>
        <w:autoSpaceDE w:val="0"/>
        <w:autoSpaceDN w:val="0"/>
        <w:adjustRightInd w:val="0"/>
        <w:spacing w:before="200" w:line="240" w:lineRule="auto"/>
        <w:rPr>
          <w:rFonts w:cs="Arial"/>
          <w:sz w:val="20"/>
          <w:szCs w:val="20"/>
        </w:rPr>
      </w:pPr>
      <w:r>
        <w:rPr>
          <w:rFonts w:cs="Arial"/>
          <w:sz w:val="20"/>
          <w:szCs w:val="20"/>
        </w:rPr>
        <w:t xml:space="preserve">In </w:t>
      </w:r>
      <w:r w:rsidR="009B60D2">
        <w:rPr>
          <w:rFonts w:cs="Arial"/>
          <w:sz w:val="20"/>
          <w:szCs w:val="20"/>
        </w:rPr>
        <w:t xml:space="preserve">November </w:t>
      </w:r>
      <w:r>
        <w:rPr>
          <w:rFonts w:cs="Arial"/>
          <w:sz w:val="20"/>
          <w:szCs w:val="20"/>
        </w:rPr>
        <w:t xml:space="preserve">2015, </w:t>
      </w:r>
      <w:r w:rsidR="00630116">
        <w:rPr>
          <w:rFonts w:cs="Arial"/>
          <w:sz w:val="20"/>
          <w:szCs w:val="20"/>
        </w:rPr>
        <w:t xml:space="preserve">member </w:t>
      </w:r>
      <w:r w:rsidR="00EF2E21">
        <w:rPr>
          <w:rFonts w:cs="Arial"/>
          <w:sz w:val="20"/>
          <w:szCs w:val="20"/>
        </w:rPr>
        <w:t xml:space="preserve">Mr </w:t>
      </w:r>
      <w:r w:rsidR="009B60D2">
        <w:rPr>
          <w:rFonts w:cs="Arial"/>
          <w:sz w:val="20"/>
          <w:szCs w:val="20"/>
        </w:rPr>
        <w:t xml:space="preserve">Paul </w:t>
      </w:r>
      <w:r w:rsidR="00EF2E21">
        <w:rPr>
          <w:rFonts w:cs="Arial"/>
          <w:sz w:val="20"/>
          <w:szCs w:val="20"/>
        </w:rPr>
        <w:t>Shinkfield resigned</w:t>
      </w:r>
      <w:r w:rsidR="00630116">
        <w:rPr>
          <w:rFonts w:cs="Arial"/>
          <w:sz w:val="20"/>
          <w:szCs w:val="20"/>
        </w:rPr>
        <w:t xml:space="preserve"> his position as </w:t>
      </w:r>
      <w:r w:rsidR="009C2E43">
        <w:rPr>
          <w:rFonts w:cs="Arial"/>
          <w:sz w:val="20"/>
          <w:szCs w:val="20"/>
        </w:rPr>
        <w:t>National Board</w:t>
      </w:r>
      <w:r w:rsidR="00630116">
        <w:rPr>
          <w:rFonts w:cs="Arial"/>
          <w:sz w:val="20"/>
          <w:szCs w:val="20"/>
        </w:rPr>
        <w:t xml:space="preserve"> member. </w:t>
      </w:r>
      <w:r w:rsidR="009B60D2">
        <w:rPr>
          <w:rFonts w:cs="Arial"/>
          <w:sz w:val="20"/>
          <w:szCs w:val="20"/>
        </w:rPr>
        <w:t>Dr John Lockwood, Chair, Dental Board of Australia and Mr Ian Bluntish, Chair</w:t>
      </w:r>
      <w:r w:rsidR="00EF2E21">
        <w:rPr>
          <w:rFonts w:cs="Arial"/>
          <w:sz w:val="20"/>
          <w:szCs w:val="20"/>
        </w:rPr>
        <w:t>, Optometry</w:t>
      </w:r>
      <w:r w:rsidR="009B60D2">
        <w:rPr>
          <w:rFonts w:cs="Arial"/>
          <w:sz w:val="20"/>
          <w:szCs w:val="20"/>
        </w:rPr>
        <w:t xml:space="preserve"> Board of Australia were </w:t>
      </w:r>
      <w:r w:rsidR="00EF2E21">
        <w:rPr>
          <w:rFonts w:cs="Arial"/>
          <w:sz w:val="20"/>
          <w:szCs w:val="20"/>
        </w:rPr>
        <w:t>appointed as</w:t>
      </w:r>
      <w:r w:rsidR="009B60D2">
        <w:rPr>
          <w:rFonts w:cs="Arial"/>
          <w:sz w:val="20"/>
          <w:szCs w:val="20"/>
        </w:rPr>
        <w:t xml:space="preserve"> </w:t>
      </w:r>
      <w:r w:rsidR="00EF2E21">
        <w:rPr>
          <w:rFonts w:cs="Arial"/>
          <w:sz w:val="20"/>
          <w:szCs w:val="20"/>
        </w:rPr>
        <w:t>members of</w:t>
      </w:r>
      <w:r w:rsidR="00D847AB">
        <w:rPr>
          <w:rFonts w:cs="Arial"/>
          <w:sz w:val="20"/>
          <w:szCs w:val="20"/>
        </w:rPr>
        <w:t xml:space="preserve"> the Performance </w:t>
      </w:r>
      <w:r w:rsidR="00B06925">
        <w:rPr>
          <w:rFonts w:cs="Arial"/>
          <w:sz w:val="20"/>
          <w:szCs w:val="20"/>
        </w:rPr>
        <w:t>Committee</w:t>
      </w:r>
      <w:r w:rsidR="00D847AB">
        <w:rPr>
          <w:rFonts w:cs="Arial"/>
          <w:sz w:val="20"/>
          <w:szCs w:val="20"/>
        </w:rPr>
        <w:t>.</w:t>
      </w:r>
    </w:p>
    <w:p w:rsidR="00580D71" w:rsidRPr="00CC1E5F" w:rsidRDefault="00721C9F" w:rsidP="00E61F90">
      <w:pPr>
        <w:pStyle w:val="PlainText"/>
        <w:spacing w:before="200" w:after="200"/>
        <w:ind w:left="0"/>
        <w:contextualSpacing/>
        <w:jc w:val="left"/>
        <w:rPr>
          <w:rFonts w:eastAsia="ヒラギノ角ゴ Pro W3" w:cs="Arial"/>
          <w:b/>
          <w:szCs w:val="20"/>
        </w:rPr>
      </w:pPr>
      <w:r>
        <w:rPr>
          <w:rFonts w:eastAsia="ヒラギノ角ゴ Pro W3" w:cs="Arial"/>
          <w:b/>
          <w:szCs w:val="20"/>
        </w:rPr>
        <w:t>M</w:t>
      </w:r>
      <w:r w:rsidR="00B63814" w:rsidRPr="00CC1E5F">
        <w:rPr>
          <w:rFonts w:eastAsia="ヒラギノ角ゴ Pro W3" w:cs="Arial"/>
          <w:b/>
          <w:szCs w:val="20"/>
        </w:rPr>
        <w:t xml:space="preserve">embership </w:t>
      </w:r>
    </w:p>
    <w:tbl>
      <w:tblPr>
        <w:tblStyle w:val="MediumGrid3-Accent3"/>
        <w:tblW w:w="0" w:type="auto"/>
        <w:tblLook w:val="0620" w:firstRow="1" w:lastRow="0" w:firstColumn="0" w:lastColumn="0" w:noHBand="1" w:noVBand="1"/>
      </w:tblPr>
      <w:tblGrid>
        <w:gridCol w:w="2390"/>
        <w:gridCol w:w="5656"/>
      </w:tblGrid>
      <w:tr w:rsidR="00580D71" w:rsidRPr="00E61F90" w:rsidTr="00EF2E21">
        <w:trPr>
          <w:cnfStyle w:val="100000000000" w:firstRow="1" w:lastRow="0" w:firstColumn="0" w:lastColumn="0" w:oddVBand="0" w:evenVBand="0" w:oddHBand="0" w:evenHBand="0" w:firstRowFirstColumn="0" w:firstRowLastColumn="0" w:lastRowFirstColumn="0" w:lastRowLastColumn="0"/>
        </w:trPr>
        <w:tc>
          <w:tcPr>
            <w:tcW w:w="2390" w:type="dxa"/>
            <w:tcBorders>
              <w:top w:val="inset" w:sz="6" w:space="0" w:color="auto"/>
              <w:left w:val="outset" w:sz="6" w:space="0" w:color="auto"/>
              <w:bottom w:val="single" w:sz="6" w:space="0" w:color="FFFFFF" w:themeColor="background1"/>
            </w:tcBorders>
            <w:shd w:val="clear" w:color="auto" w:fill="007DC3"/>
            <w:vAlign w:val="bottom"/>
          </w:tcPr>
          <w:p w:rsidR="00580D71" w:rsidRPr="00E61F90" w:rsidRDefault="00580D71" w:rsidP="00CC1E5F">
            <w:pPr>
              <w:spacing w:before="200" w:line="240" w:lineRule="auto"/>
              <w:contextualSpacing/>
              <w:rPr>
                <w:rFonts w:cs="Arial"/>
                <w:sz w:val="20"/>
                <w:szCs w:val="20"/>
              </w:rPr>
            </w:pPr>
            <w:r w:rsidRPr="00E61F90">
              <w:rPr>
                <w:rFonts w:cs="Arial"/>
                <w:sz w:val="20"/>
                <w:szCs w:val="20"/>
              </w:rPr>
              <w:t>Name</w:t>
            </w:r>
          </w:p>
        </w:tc>
        <w:tc>
          <w:tcPr>
            <w:tcW w:w="5656" w:type="dxa"/>
            <w:tcBorders>
              <w:top w:val="inset" w:sz="6" w:space="0" w:color="auto"/>
              <w:bottom w:val="single" w:sz="6" w:space="0" w:color="FFFFFF" w:themeColor="background1"/>
              <w:right w:val="outset" w:sz="6" w:space="0" w:color="auto"/>
            </w:tcBorders>
            <w:shd w:val="clear" w:color="auto" w:fill="007DC3"/>
            <w:vAlign w:val="bottom"/>
          </w:tcPr>
          <w:p w:rsidR="00580D71" w:rsidRPr="00E61F90" w:rsidRDefault="00580D71" w:rsidP="00EF2E21">
            <w:pPr>
              <w:spacing w:before="200" w:line="240" w:lineRule="auto"/>
              <w:contextualSpacing/>
              <w:rPr>
                <w:rFonts w:cs="Arial"/>
                <w:sz w:val="20"/>
                <w:szCs w:val="20"/>
              </w:rPr>
            </w:pPr>
            <w:r w:rsidRPr="00E61F90">
              <w:rPr>
                <w:rFonts w:cs="Arial"/>
                <w:sz w:val="20"/>
                <w:szCs w:val="20"/>
              </w:rPr>
              <w:t>Membership</w:t>
            </w:r>
            <w:r w:rsidR="00B06925">
              <w:rPr>
                <w:rFonts w:cs="Arial"/>
                <w:sz w:val="20"/>
                <w:szCs w:val="20"/>
              </w:rPr>
              <w:t xml:space="preserve"> s</w:t>
            </w:r>
            <w:r w:rsidRPr="00E61F90">
              <w:rPr>
                <w:rFonts w:cs="Arial"/>
                <w:sz w:val="20"/>
                <w:szCs w:val="20"/>
              </w:rPr>
              <w:t>tatus</w:t>
            </w:r>
            <w:r w:rsidR="004E7AED">
              <w:rPr>
                <w:rFonts w:cs="Arial"/>
                <w:sz w:val="20"/>
                <w:szCs w:val="20"/>
              </w:rPr>
              <w:t xml:space="preserve"> </w:t>
            </w:r>
            <w:r w:rsidR="00B06925">
              <w:rPr>
                <w:rFonts w:cs="Arial"/>
                <w:sz w:val="20"/>
                <w:szCs w:val="20"/>
              </w:rPr>
              <w:t>during</w:t>
            </w:r>
            <w:r w:rsidR="004E7AED">
              <w:rPr>
                <w:rFonts w:cs="Arial"/>
                <w:sz w:val="20"/>
                <w:szCs w:val="20"/>
              </w:rPr>
              <w:t xml:space="preserve"> 2015</w:t>
            </w:r>
            <w:r w:rsidR="00AE06E7">
              <w:rPr>
                <w:rFonts w:cs="Arial"/>
                <w:sz w:val="20"/>
                <w:szCs w:val="20"/>
              </w:rPr>
              <w:t>/16</w:t>
            </w:r>
          </w:p>
        </w:tc>
      </w:tr>
      <w:tr w:rsidR="00B63814" w:rsidRPr="00E61F90" w:rsidTr="00EF2E21">
        <w:tc>
          <w:tcPr>
            <w:tcW w:w="2390" w:type="dxa"/>
            <w:tcBorders>
              <w:top w:val="single" w:sz="6" w:space="0" w:color="FFFFFF" w:themeColor="background1"/>
              <w:left w:val="outset" w:sz="6" w:space="0" w:color="auto"/>
              <w:bottom w:val="single" w:sz="6" w:space="0" w:color="FFFFFF" w:themeColor="background1"/>
            </w:tcBorders>
            <w:shd w:val="clear" w:color="auto" w:fill="D9D9D9" w:themeFill="background1" w:themeFillShade="D9"/>
          </w:tcPr>
          <w:p w:rsidR="00B63814" w:rsidRPr="00E61F90" w:rsidRDefault="00304F81" w:rsidP="00B63814">
            <w:pPr>
              <w:spacing w:before="200" w:line="240" w:lineRule="auto"/>
              <w:contextualSpacing/>
              <w:rPr>
                <w:rFonts w:cs="Arial"/>
                <w:sz w:val="20"/>
                <w:szCs w:val="20"/>
              </w:rPr>
            </w:pPr>
            <w:r>
              <w:rPr>
                <w:rFonts w:cs="Arial"/>
                <w:sz w:val="20"/>
                <w:szCs w:val="20"/>
              </w:rPr>
              <w:t>Ian Smith</w:t>
            </w:r>
            <w:r w:rsidR="00DC26C8">
              <w:rPr>
                <w:rFonts w:cs="Arial"/>
                <w:sz w:val="20"/>
                <w:szCs w:val="20"/>
              </w:rPr>
              <w:t>, Chair</w:t>
            </w:r>
          </w:p>
        </w:tc>
        <w:tc>
          <w:tcPr>
            <w:tcW w:w="5656" w:type="dxa"/>
            <w:tcBorders>
              <w:top w:val="single" w:sz="6" w:space="0" w:color="FFFFFF" w:themeColor="background1"/>
              <w:bottom w:val="single" w:sz="6" w:space="0" w:color="FFFFFF" w:themeColor="background1"/>
              <w:right w:val="outset" w:sz="6" w:space="0" w:color="auto"/>
            </w:tcBorders>
            <w:shd w:val="clear" w:color="auto" w:fill="D9D9D9" w:themeFill="background1" w:themeFillShade="D9"/>
          </w:tcPr>
          <w:p w:rsidR="00B63814" w:rsidRPr="00E61F90" w:rsidRDefault="00F22C4F" w:rsidP="006D5CE7">
            <w:pPr>
              <w:spacing w:before="200" w:line="240" w:lineRule="auto"/>
              <w:contextualSpacing/>
              <w:rPr>
                <w:rFonts w:cs="Arial"/>
                <w:sz w:val="20"/>
                <w:szCs w:val="20"/>
              </w:rPr>
            </w:pPr>
            <w:proofErr w:type="spellStart"/>
            <w:r>
              <w:rPr>
                <w:rFonts w:cs="Arial"/>
                <w:sz w:val="20"/>
                <w:szCs w:val="20"/>
              </w:rPr>
              <w:t>AManC</w:t>
            </w:r>
            <w:proofErr w:type="spellEnd"/>
            <w:r>
              <w:rPr>
                <w:rFonts w:cs="Arial"/>
                <w:sz w:val="20"/>
                <w:szCs w:val="20"/>
              </w:rPr>
              <w:t xml:space="preserve"> m</w:t>
            </w:r>
            <w:r w:rsidR="00B63814" w:rsidRPr="00E61F90">
              <w:rPr>
                <w:rFonts w:cs="Arial"/>
                <w:sz w:val="20"/>
                <w:szCs w:val="20"/>
              </w:rPr>
              <w:t>ember</w:t>
            </w:r>
            <w:r w:rsidR="006A5ED5">
              <w:rPr>
                <w:rFonts w:cs="Arial"/>
                <w:sz w:val="20"/>
                <w:szCs w:val="20"/>
              </w:rPr>
              <w:t xml:space="preserve">: </w:t>
            </w:r>
            <w:r w:rsidR="00AE06E7">
              <w:rPr>
                <w:rFonts w:cs="Arial"/>
                <w:sz w:val="20"/>
                <w:szCs w:val="20"/>
              </w:rPr>
              <w:t xml:space="preserve">July </w:t>
            </w:r>
            <w:r w:rsidR="006D5CE7">
              <w:rPr>
                <w:rFonts w:cs="Arial"/>
                <w:sz w:val="20"/>
                <w:szCs w:val="20"/>
              </w:rPr>
              <w:t xml:space="preserve">2015 </w:t>
            </w:r>
            <w:r w:rsidR="004A1A27">
              <w:rPr>
                <w:rFonts w:cs="Arial"/>
                <w:sz w:val="20"/>
                <w:szCs w:val="20"/>
              </w:rPr>
              <w:t xml:space="preserve">– </w:t>
            </w:r>
            <w:r w:rsidR="00AE06E7">
              <w:rPr>
                <w:rFonts w:cs="Arial"/>
                <w:sz w:val="20"/>
                <w:szCs w:val="20"/>
              </w:rPr>
              <w:t>June 2016</w:t>
            </w:r>
          </w:p>
        </w:tc>
      </w:tr>
      <w:tr w:rsidR="00B63814" w:rsidRPr="00E61F90" w:rsidTr="00E43403">
        <w:tc>
          <w:tcPr>
            <w:tcW w:w="2390"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rsidR="00B63814" w:rsidRPr="00E61F90" w:rsidRDefault="00304F81" w:rsidP="00B63814">
            <w:pPr>
              <w:spacing w:before="200" w:line="240" w:lineRule="auto"/>
              <w:contextualSpacing/>
              <w:rPr>
                <w:rFonts w:cs="Arial"/>
                <w:sz w:val="20"/>
                <w:szCs w:val="20"/>
              </w:rPr>
            </w:pPr>
            <w:r>
              <w:rPr>
                <w:rFonts w:cs="Arial"/>
                <w:sz w:val="20"/>
                <w:szCs w:val="20"/>
              </w:rPr>
              <w:t>Merrilyn Walton</w:t>
            </w:r>
          </w:p>
        </w:tc>
        <w:tc>
          <w:tcPr>
            <w:tcW w:w="5656"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rsidR="00B63814" w:rsidRPr="00E61F90" w:rsidRDefault="004A1A27" w:rsidP="00AE06E7">
            <w:pPr>
              <w:spacing w:before="200" w:line="240" w:lineRule="auto"/>
              <w:contextualSpacing/>
              <w:rPr>
                <w:rFonts w:cs="Arial"/>
                <w:sz w:val="20"/>
                <w:szCs w:val="20"/>
              </w:rPr>
            </w:pPr>
            <w:proofErr w:type="spellStart"/>
            <w:r>
              <w:rPr>
                <w:rFonts w:cs="Arial"/>
                <w:sz w:val="20"/>
                <w:szCs w:val="20"/>
              </w:rPr>
              <w:t>AManC</w:t>
            </w:r>
            <w:proofErr w:type="spellEnd"/>
            <w:r w:rsidR="00F22C4F">
              <w:rPr>
                <w:rFonts w:cs="Arial"/>
                <w:sz w:val="20"/>
                <w:szCs w:val="20"/>
              </w:rPr>
              <w:t xml:space="preserve"> m</w:t>
            </w:r>
            <w:r w:rsidR="00B63814" w:rsidRPr="00E61F90">
              <w:rPr>
                <w:rFonts w:cs="Arial"/>
                <w:sz w:val="20"/>
                <w:szCs w:val="20"/>
              </w:rPr>
              <w:t>ember</w:t>
            </w:r>
            <w:r w:rsidR="006A5ED5">
              <w:rPr>
                <w:rFonts w:cs="Arial"/>
                <w:sz w:val="20"/>
                <w:szCs w:val="20"/>
              </w:rPr>
              <w:t>:</w:t>
            </w:r>
            <w:r w:rsidR="00B63814" w:rsidRPr="00E61F90">
              <w:rPr>
                <w:rFonts w:cs="Arial"/>
                <w:sz w:val="20"/>
                <w:szCs w:val="20"/>
              </w:rPr>
              <w:t xml:space="preserve"> </w:t>
            </w:r>
            <w:r w:rsidR="00AE06E7">
              <w:rPr>
                <w:rFonts w:cs="Arial"/>
                <w:sz w:val="20"/>
                <w:szCs w:val="20"/>
              </w:rPr>
              <w:t>July 2015- June 2016</w:t>
            </w:r>
          </w:p>
        </w:tc>
      </w:tr>
      <w:tr w:rsidR="00B63814" w:rsidRPr="00E61F90" w:rsidTr="00E43403">
        <w:tc>
          <w:tcPr>
            <w:tcW w:w="2390" w:type="dxa"/>
            <w:tcBorders>
              <w:top w:val="single" w:sz="6" w:space="0" w:color="FFFFFF" w:themeColor="background1"/>
              <w:left w:val="outset" w:sz="6" w:space="0" w:color="auto"/>
              <w:bottom w:val="single" w:sz="6" w:space="0" w:color="FFFFFF" w:themeColor="background1"/>
            </w:tcBorders>
            <w:shd w:val="clear" w:color="auto" w:fill="D9D9D9" w:themeFill="background1" w:themeFillShade="D9"/>
          </w:tcPr>
          <w:p w:rsidR="00B63814" w:rsidRPr="00E61F90" w:rsidRDefault="00304F81" w:rsidP="00B63814">
            <w:pPr>
              <w:spacing w:before="200" w:line="240" w:lineRule="auto"/>
              <w:contextualSpacing/>
              <w:rPr>
                <w:rFonts w:cs="Arial"/>
                <w:sz w:val="20"/>
                <w:szCs w:val="20"/>
              </w:rPr>
            </w:pPr>
            <w:r>
              <w:rPr>
                <w:rFonts w:cs="Arial"/>
                <w:sz w:val="20"/>
                <w:szCs w:val="20"/>
              </w:rPr>
              <w:t>Jenny Taing</w:t>
            </w:r>
          </w:p>
        </w:tc>
        <w:tc>
          <w:tcPr>
            <w:tcW w:w="5656" w:type="dxa"/>
            <w:tcBorders>
              <w:top w:val="single" w:sz="6" w:space="0" w:color="FFFFFF" w:themeColor="background1"/>
              <w:bottom w:val="single" w:sz="6" w:space="0" w:color="FFFFFF" w:themeColor="background1"/>
              <w:right w:val="outset" w:sz="6" w:space="0" w:color="auto"/>
            </w:tcBorders>
            <w:shd w:val="clear" w:color="auto" w:fill="D9D9D9" w:themeFill="background1" w:themeFillShade="D9"/>
          </w:tcPr>
          <w:p w:rsidR="00B63814" w:rsidRPr="00E61F90" w:rsidRDefault="00F22C4F" w:rsidP="00F22C4F">
            <w:pPr>
              <w:spacing w:before="200" w:line="240" w:lineRule="auto"/>
              <w:contextualSpacing/>
              <w:rPr>
                <w:rFonts w:cs="Arial"/>
                <w:sz w:val="20"/>
                <w:szCs w:val="20"/>
              </w:rPr>
            </w:pPr>
            <w:proofErr w:type="spellStart"/>
            <w:r>
              <w:rPr>
                <w:rFonts w:cs="Arial"/>
                <w:sz w:val="20"/>
                <w:szCs w:val="20"/>
              </w:rPr>
              <w:t>AManC</w:t>
            </w:r>
            <w:proofErr w:type="spellEnd"/>
            <w:r>
              <w:rPr>
                <w:rFonts w:cs="Arial"/>
                <w:sz w:val="20"/>
                <w:szCs w:val="20"/>
              </w:rPr>
              <w:t xml:space="preserve"> m</w:t>
            </w:r>
            <w:r w:rsidR="00B63814" w:rsidRPr="00E61F90">
              <w:rPr>
                <w:rFonts w:cs="Arial"/>
                <w:sz w:val="20"/>
                <w:szCs w:val="20"/>
              </w:rPr>
              <w:t>ember</w:t>
            </w:r>
            <w:r w:rsidR="006A5ED5">
              <w:rPr>
                <w:rFonts w:cs="Arial"/>
                <w:sz w:val="20"/>
                <w:szCs w:val="20"/>
              </w:rPr>
              <w:t>:</w:t>
            </w:r>
            <w:r w:rsidR="00B63814" w:rsidRPr="00E61F90">
              <w:rPr>
                <w:rFonts w:cs="Arial"/>
                <w:sz w:val="20"/>
                <w:szCs w:val="20"/>
              </w:rPr>
              <w:t xml:space="preserve"> </w:t>
            </w:r>
            <w:r w:rsidR="00AE06E7">
              <w:rPr>
                <w:rFonts w:cs="Arial"/>
                <w:sz w:val="20"/>
                <w:szCs w:val="20"/>
              </w:rPr>
              <w:t>July 2015- June 2016</w:t>
            </w:r>
          </w:p>
        </w:tc>
      </w:tr>
      <w:tr w:rsidR="00B63814" w:rsidRPr="00E61F90" w:rsidTr="00E43403">
        <w:tc>
          <w:tcPr>
            <w:tcW w:w="2390"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rsidR="00B63814" w:rsidRDefault="00304F81" w:rsidP="00B63814">
            <w:pPr>
              <w:spacing w:before="200" w:line="240" w:lineRule="auto"/>
              <w:contextualSpacing/>
              <w:rPr>
                <w:rFonts w:cs="Arial"/>
                <w:sz w:val="20"/>
                <w:szCs w:val="20"/>
              </w:rPr>
            </w:pPr>
            <w:r>
              <w:rPr>
                <w:rFonts w:cs="Arial"/>
                <w:sz w:val="20"/>
                <w:szCs w:val="20"/>
              </w:rPr>
              <w:t>Joanna Flynn</w:t>
            </w:r>
          </w:p>
        </w:tc>
        <w:tc>
          <w:tcPr>
            <w:tcW w:w="5656"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rsidR="00B63814" w:rsidRDefault="004A1A27" w:rsidP="004A1A27">
            <w:pPr>
              <w:spacing w:before="200" w:line="240" w:lineRule="auto"/>
              <w:contextualSpacing/>
              <w:rPr>
                <w:rFonts w:cs="Arial"/>
                <w:sz w:val="20"/>
                <w:szCs w:val="20"/>
              </w:rPr>
            </w:pPr>
            <w:r>
              <w:rPr>
                <w:rFonts w:cs="Arial"/>
                <w:sz w:val="20"/>
                <w:szCs w:val="20"/>
              </w:rPr>
              <w:t>MBA and NCC</w:t>
            </w:r>
            <w:r w:rsidR="00F22C4F">
              <w:rPr>
                <w:rFonts w:cs="Arial"/>
                <w:sz w:val="20"/>
                <w:szCs w:val="20"/>
              </w:rPr>
              <w:t xml:space="preserve"> m</w:t>
            </w:r>
            <w:r w:rsidR="00B63814">
              <w:rPr>
                <w:rFonts w:cs="Arial"/>
                <w:sz w:val="20"/>
                <w:szCs w:val="20"/>
              </w:rPr>
              <w:t xml:space="preserve">ember: </w:t>
            </w:r>
            <w:r w:rsidR="00AE06E7">
              <w:rPr>
                <w:rFonts w:cs="Arial"/>
                <w:sz w:val="20"/>
                <w:szCs w:val="20"/>
              </w:rPr>
              <w:t>July 2015</w:t>
            </w:r>
            <w:r w:rsidR="006D5CE7">
              <w:rPr>
                <w:rFonts w:cs="Arial"/>
                <w:sz w:val="20"/>
                <w:szCs w:val="20"/>
              </w:rPr>
              <w:t xml:space="preserve"> </w:t>
            </w:r>
            <w:r w:rsidR="00AE06E7">
              <w:rPr>
                <w:rFonts w:cs="Arial"/>
                <w:sz w:val="20"/>
                <w:szCs w:val="20"/>
              </w:rPr>
              <w:t>- June 2016</w:t>
            </w:r>
          </w:p>
        </w:tc>
      </w:tr>
      <w:tr w:rsidR="004577C1" w:rsidRPr="00E61F90" w:rsidTr="00EF2E21">
        <w:tc>
          <w:tcPr>
            <w:tcW w:w="2390" w:type="dxa"/>
            <w:tcBorders>
              <w:top w:val="single" w:sz="6" w:space="0" w:color="FFFFFF" w:themeColor="background1"/>
              <w:left w:val="outset" w:sz="6" w:space="0" w:color="auto"/>
              <w:bottom w:val="single" w:sz="6" w:space="0" w:color="FFFFFF" w:themeColor="background1"/>
            </w:tcBorders>
            <w:shd w:val="clear" w:color="auto" w:fill="D9D9D9" w:themeFill="background1" w:themeFillShade="D9"/>
          </w:tcPr>
          <w:p w:rsidR="004577C1" w:rsidRDefault="00304F81" w:rsidP="00B63814">
            <w:pPr>
              <w:spacing w:before="200" w:line="240" w:lineRule="auto"/>
              <w:contextualSpacing/>
              <w:rPr>
                <w:rFonts w:cs="Arial"/>
                <w:sz w:val="20"/>
                <w:szCs w:val="20"/>
              </w:rPr>
            </w:pPr>
            <w:r>
              <w:rPr>
                <w:rFonts w:cs="Arial"/>
                <w:sz w:val="20"/>
                <w:szCs w:val="20"/>
              </w:rPr>
              <w:t>Paul Shinkfield</w:t>
            </w:r>
          </w:p>
        </w:tc>
        <w:tc>
          <w:tcPr>
            <w:tcW w:w="5656" w:type="dxa"/>
            <w:tcBorders>
              <w:top w:val="single" w:sz="6" w:space="0" w:color="FFFFFF" w:themeColor="background1"/>
              <w:bottom w:val="single" w:sz="6" w:space="0" w:color="FFFFFF" w:themeColor="background1"/>
              <w:right w:val="outset" w:sz="6" w:space="0" w:color="auto"/>
            </w:tcBorders>
            <w:shd w:val="clear" w:color="auto" w:fill="D9D9D9" w:themeFill="background1" w:themeFillShade="D9"/>
          </w:tcPr>
          <w:p w:rsidR="004577C1" w:rsidRDefault="004A1A27" w:rsidP="006D5CE7">
            <w:pPr>
              <w:spacing w:before="200" w:line="240" w:lineRule="auto"/>
              <w:contextualSpacing/>
              <w:rPr>
                <w:rFonts w:cs="Arial"/>
                <w:sz w:val="20"/>
                <w:szCs w:val="20"/>
              </w:rPr>
            </w:pPr>
            <w:proofErr w:type="spellStart"/>
            <w:r>
              <w:rPr>
                <w:rFonts w:cs="Arial"/>
                <w:sz w:val="20"/>
                <w:szCs w:val="20"/>
              </w:rPr>
              <w:t>PhysioBA</w:t>
            </w:r>
            <w:proofErr w:type="spellEnd"/>
            <w:r w:rsidR="00F22C4F">
              <w:rPr>
                <w:rFonts w:cs="Arial"/>
                <w:sz w:val="20"/>
                <w:szCs w:val="20"/>
              </w:rPr>
              <w:t xml:space="preserve"> m</w:t>
            </w:r>
            <w:r w:rsidR="004577C1">
              <w:rPr>
                <w:rFonts w:cs="Arial"/>
                <w:sz w:val="20"/>
                <w:szCs w:val="20"/>
              </w:rPr>
              <w:t xml:space="preserve">ember: </w:t>
            </w:r>
            <w:r w:rsidR="00AE06E7">
              <w:rPr>
                <w:rFonts w:cs="Arial"/>
                <w:sz w:val="20"/>
                <w:szCs w:val="20"/>
              </w:rPr>
              <w:t>Ju</w:t>
            </w:r>
            <w:r w:rsidR="00721C9F">
              <w:rPr>
                <w:rFonts w:cs="Arial"/>
                <w:sz w:val="20"/>
                <w:szCs w:val="20"/>
              </w:rPr>
              <w:t>ly</w:t>
            </w:r>
            <w:r w:rsidR="00AE06E7">
              <w:rPr>
                <w:rFonts w:cs="Arial"/>
                <w:sz w:val="20"/>
                <w:szCs w:val="20"/>
              </w:rPr>
              <w:t xml:space="preserve"> 2015 - Nov </w:t>
            </w:r>
            <w:r>
              <w:rPr>
                <w:rFonts w:cs="Arial"/>
                <w:sz w:val="20"/>
                <w:szCs w:val="20"/>
              </w:rPr>
              <w:t>2015</w:t>
            </w:r>
          </w:p>
        </w:tc>
      </w:tr>
      <w:tr w:rsidR="00721C9F" w:rsidRPr="00E61F90" w:rsidTr="00EF2E21">
        <w:tc>
          <w:tcPr>
            <w:tcW w:w="2390"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rsidR="00721C9F" w:rsidRDefault="009C19C8" w:rsidP="00B63814">
            <w:pPr>
              <w:spacing w:before="200" w:line="240" w:lineRule="auto"/>
              <w:contextualSpacing/>
              <w:rPr>
                <w:rFonts w:cs="Arial"/>
                <w:sz w:val="20"/>
                <w:szCs w:val="20"/>
              </w:rPr>
            </w:pPr>
            <w:r>
              <w:rPr>
                <w:rFonts w:cs="Arial"/>
                <w:sz w:val="20"/>
                <w:szCs w:val="20"/>
              </w:rPr>
              <w:t>John Lockwood</w:t>
            </w:r>
          </w:p>
        </w:tc>
        <w:tc>
          <w:tcPr>
            <w:tcW w:w="5656"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rsidR="00721C9F" w:rsidRDefault="009C19C8" w:rsidP="00721C9F">
            <w:pPr>
              <w:spacing w:before="200" w:line="240" w:lineRule="auto"/>
              <w:contextualSpacing/>
              <w:rPr>
                <w:rFonts w:cs="Arial"/>
                <w:sz w:val="20"/>
                <w:szCs w:val="20"/>
              </w:rPr>
            </w:pPr>
            <w:r>
              <w:rPr>
                <w:rFonts w:cs="Arial"/>
                <w:sz w:val="20"/>
                <w:szCs w:val="20"/>
              </w:rPr>
              <w:t>DBA member - May 2016 – June 2016</w:t>
            </w:r>
          </w:p>
        </w:tc>
      </w:tr>
      <w:tr w:rsidR="009C19C8" w:rsidRPr="00E61F90" w:rsidTr="00764706">
        <w:tc>
          <w:tcPr>
            <w:tcW w:w="2390" w:type="dxa"/>
            <w:tcBorders>
              <w:top w:val="single" w:sz="6" w:space="0" w:color="FFFFFF" w:themeColor="background1"/>
              <w:left w:val="outset" w:sz="6" w:space="0" w:color="auto"/>
              <w:bottom w:val="single" w:sz="6" w:space="0" w:color="FFFFFF" w:themeColor="background1"/>
            </w:tcBorders>
            <w:shd w:val="clear" w:color="auto" w:fill="D9D9D9" w:themeFill="background1" w:themeFillShade="D9"/>
          </w:tcPr>
          <w:p w:rsidR="009C19C8" w:rsidRDefault="009C19C8" w:rsidP="00B63814">
            <w:pPr>
              <w:spacing w:before="200" w:line="240" w:lineRule="auto"/>
              <w:contextualSpacing/>
              <w:rPr>
                <w:rFonts w:cs="Arial"/>
                <w:sz w:val="20"/>
                <w:szCs w:val="20"/>
              </w:rPr>
            </w:pPr>
            <w:r>
              <w:rPr>
                <w:rFonts w:cs="Arial"/>
                <w:sz w:val="20"/>
                <w:szCs w:val="20"/>
              </w:rPr>
              <w:t>Ian Bluntish</w:t>
            </w:r>
          </w:p>
        </w:tc>
        <w:tc>
          <w:tcPr>
            <w:tcW w:w="5656" w:type="dxa"/>
            <w:tcBorders>
              <w:top w:val="single" w:sz="6" w:space="0" w:color="FFFFFF" w:themeColor="background1"/>
              <w:bottom w:val="single" w:sz="6" w:space="0" w:color="FFFFFF" w:themeColor="background1"/>
              <w:right w:val="outset" w:sz="6" w:space="0" w:color="auto"/>
            </w:tcBorders>
            <w:shd w:val="clear" w:color="auto" w:fill="D9D9D9" w:themeFill="background1" w:themeFillShade="D9"/>
          </w:tcPr>
          <w:p w:rsidR="009C19C8" w:rsidRDefault="009C19C8" w:rsidP="00721C9F">
            <w:pPr>
              <w:spacing w:before="200" w:line="240" w:lineRule="auto"/>
              <w:contextualSpacing/>
              <w:rPr>
                <w:rFonts w:cs="Arial"/>
                <w:sz w:val="20"/>
                <w:szCs w:val="20"/>
              </w:rPr>
            </w:pPr>
            <w:proofErr w:type="spellStart"/>
            <w:r>
              <w:rPr>
                <w:rFonts w:cs="Arial"/>
                <w:sz w:val="20"/>
                <w:szCs w:val="20"/>
              </w:rPr>
              <w:t>OptomBA</w:t>
            </w:r>
            <w:proofErr w:type="spellEnd"/>
            <w:r>
              <w:rPr>
                <w:rFonts w:cs="Arial"/>
                <w:sz w:val="20"/>
                <w:szCs w:val="20"/>
              </w:rPr>
              <w:t xml:space="preserve"> member - May 2016 – June 2016</w:t>
            </w:r>
          </w:p>
        </w:tc>
      </w:tr>
      <w:tr w:rsidR="00764706" w:rsidRPr="00E61F90" w:rsidTr="00764706">
        <w:tc>
          <w:tcPr>
            <w:tcW w:w="2390" w:type="dxa"/>
            <w:tcBorders>
              <w:top w:val="single" w:sz="6" w:space="0" w:color="FFFFFF" w:themeColor="background1"/>
              <w:left w:val="outset" w:sz="6" w:space="0" w:color="auto"/>
              <w:bottom w:val="outset" w:sz="6" w:space="0" w:color="auto"/>
            </w:tcBorders>
            <w:shd w:val="clear" w:color="auto" w:fill="F2F2F2" w:themeFill="background1" w:themeFillShade="F2"/>
          </w:tcPr>
          <w:p w:rsidR="00764706" w:rsidRDefault="00764706" w:rsidP="00B63814">
            <w:pPr>
              <w:spacing w:before="200" w:line="240" w:lineRule="auto"/>
              <w:contextualSpacing/>
              <w:rPr>
                <w:rFonts w:cs="Arial"/>
                <w:sz w:val="20"/>
                <w:szCs w:val="20"/>
              </w:rPr>
            </w:pPr>
            <w:r>
              <w:rPr>
                <w:rFonts w:cs="Arial"/>
                <w:sz w:val="20"/>
                <w:szCs w:val="20"/>
              </w:rPr>
              <w:t>Peggy Brown</w:t>
            </w:r>
          </w:p>
        </w:tc>
        <w:tc>
          <w:tcPr>
            <w:tcW w:w="5656" w:type="dxa"/>
            <w:tcBorders>
              <w:top w:val="single" w:sz="6" w:space="0" w:color="FFFFFF" w:themeColor="background1"/>
              <w:bottom w:val="outset" w:sz="6" w:space="0" w:color="auto"/>
              <w:right w:val="outset" w:sz="6" w:space="0" w:color="auto"/>
            </w:tcBorders>
            <w:shd w:val="clear" w:color="auto" w:fill="F2F2F2" w:themeFill="background1" w:themeFillShade="F2"/>
          </w:tcPr>
          <w:p w:rsidR="00764706" w:rsidRDefault="00764706" w:rsidP="00721C9F">
            <w:pPr>
              <w:spacing w:before="200" w:line="240" w:lineRule="auto"/>
              <w:contextualSpacing/>
              <w:rPr>
                <w:rFonts w:cs="Arial"/>
                <w:sz w:val="20"/>
                <w:szCs w:val="20"/>
              </w:rPr>
            </w:pPr>
            <w:proofErr w:type="spellStart"/>
            <w:r>
              <w:rPr>
                <w:rFonts w:cs="Arial"/>
                <w:sz w:val="20"/>
                <w:szCs w:val="20"/>
              </w:rPr>
              <w:t>AManC</w:t>
            </w:r>
            <w:proofErr w:type="spellEnd"/>
            <w:r>
              <w:rPr>
                <w:rFonts w:cs="Arial"/>
                <w:sz w:val="20"/>
                <w:szCs w:val="20"/>
              </w:rPr>
              <w:t xml:space="preserve"> member - May 2016 – June 2016</w:t>
            </w:r>
          </w:p>
        </w:tc>
      </w:tr>
    </w:tbl>
    <w:p w:rsidR="00B63814" w:rsidRPr="00CC1E5F" w:rsidRDefault="00721C9F" w:rsidP="009811D9">
      <w:pPr>
        <w:pStyle w:val="PlainText"/>
        <w:spacing w:before="200" w:after="200"/>
        <w:ind w:left="0"/>
        <w:contextualSpacing/>
        <w:jc w:val="left"/>
        <w:rPr>
          <w:rFonts w:eastAsia="ヒラギノ角ゴ Pro W3" w:cs="Arial"/>
          <w:b/>
          <w:szCs w:val="20"/>
        </w:rPr>
      </w:pPr>
      <w:r>
        <w:rPr>
          <w:rFonts w:eastAsia="ヒラギノ角ゴ Pro W3" w:cs="Arial"/>
          <w:b/>
          <w:szCs w:val="20"/>
        </w:rPr>
        <w:t>AHPRA</w:t>
      </w:r>
      <w:r w:rsidR="004577C1" w:rsidRPr="00CC1E5F">
        <w:rPr>
          <w:rFonts w:eastAsia="ヒラギノ角ゴ Pro W3" w:cs="Arial"/>
          <w:b/>
          <w:szCs w:val="20"/>
        </w:rPr>
        <w:t xml:space="preserve"> attendees</w:t>
      </w:r>
    </w:p>
    <w:tbl>
      <w:tblPr>
        <w:tblStyle w:val="MediumGrid3-Accent3"/>
        <w:tblW w:w="0" w:type="auto"/>
        <w:tblLook w:val="0620" w:firstRow="1" w:lastRow="0" w:firstColumn="0" w:lastColumn="0" w:noHBand="1" w:noVBand="1"/>
      </w:tblPr>
      <w:tblGrid>
        <w:gridCol w:w="2376"/>
        <w:gridCol w:w="5670"/>
      </w:tblGrid>
      <w:tr w:rsidR="00B63814" w:rsidRPr="00E61F90" w:rsidTr="00911AB3">
        <w:trPr>
          <w:cnfStyle w:val="100000000000" w:firstRow="1" w:lastRow="0" w:firstColumn="0" w:lastColumn="0" w:oddVBand="0" w:evenVBand="0" w:oddHBand="0" w:evenHBand="0" w:firstRowFirstColumn="0" w:firstRowLastColumn="0" w:lastRowFirstColumn="0" w:lastRowLastColumn="0"/>
        </w:trPr>
        <w:tc>
          <w:tcPr>
            <w:tcW w:w="2376" w:type="dxa"/>
            <w:tcBorders>
              <w:top w:val="inset" w:sz="6" w:space="0" w:color="auto"/>
              <w:left w:val="inset" w:sz="6" w:space="0" w:color="auto"/>
              <w:bottom w:val="outset" w:sz="6" w:space="0" w:color="auto"/>
            </w:tcBorders>
            <w:shd w:val="clear" w:color="auto" w:fill="007DC3"/>
          </w:tcPr>
          <w:p w:rsidR="00B63814" w:rsidRPr="00E61F90" w:rsidRDefault="00B63814" w:rsidP="00B63814">
            <w:pPr>
              <w:spacing w:before="200" w:line="240" w:lineRule="auto"/>
              <w:contextualSpacing/>
              <w:rPr>
                <w:rFonts w:cs="Arial"/>
                <w:sz w:val="20"/>
                <w:szCs w:val="20"/>
              </w:rPr>
            </w:pPr>
            <w:r w:rsidRPr="00E61F90">
              <w:rPr>
                <w:rFonts w:cs="Arial"/>
                <w:sz w:val="20"/>
                <w:szCs w:val="20"/>
              </w:rPr>
              <w:t>Name</w:t>
            </w:r>
          </w:p>
        </w:tc>
        <w:tc>
          <w:tcPr>
            <w:tcW w:w="5670" w:type="dxa"/>
            <w:tcBorders>
              <w:top w:val="inset" w:sz="6" w:space="0" w:color="auto"/>
              <w:bottom w:val="outset" w:sz="6" w:space="0" w:color="auto"/>
              <w:right w:val="inset" w:sz="6" w:space="0" w:color="auto"/>
            </w:tcBorders>
            <w:shd w:val="clear" w:color="auto" w:fill="007DC3"/>
            <w:vAlign w:val="bottom"/>
          </w:tcPr>
          <w:p w:rsidR="00B63814" w:rsidRPr="00E61F90" w:rsidRDefault="00B63814" w:rsidP="00CC1E5F">
            <w:pPr>
              <w:spacing w:before="200" w:line="240" w:lineRule="auto"/>
              <w:contextualSpacing/>
              <w:rPr>
                <w:rFonts w:cs="Arial"/>
                <w:sz w:val="20"/>
                <w:szCs w:val="20"/>
              </w:rPr>
            </w:pPr>
            <w:r w:rsidRPr="00E61F90">
              <w:rPr>
                <w:rFonts w:cs="Arial"/>
                <w:sz w:val="20"/>
                <w:szCs w:val="20"/>
              </w:rPr>
              <w:t>Membership Status</w:t>
            </w:r>
          </w:p>
        </w:tc>
      </w:tr>
      <w:tr w:rsidR="00721C9F" w:rsidRPr="00E61F90" w:rsidTr="004933A6">
        <w:tc>
          <w:tcPr>
            <w:tcW w:w="2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721C9F" w:rsidRPr="00E61F90" w:rsidRDefault="00721C9F" w:rsidP="00B63814">
            <w:pPr>
              <w:spacing w:before="200" w:line="240" w:lineRule="auto"/>
              <w:contextualSpacing/>
              <w:rPr>
                <w:rFonts w:cs="Arial"/>
                <w:sz w:val="20"/>
                <w:szCs w:val="20"/>
              </w:rPr>
            </w:pPr>
            <w:r w:rsidRPr="00E61F90">
              <w:rPr>
                <w:rFonts w:cs="Arial"/>
                <w:sz w:val="20"/>
                <w:szCs w:val="20"/>
              </w:rPr>
              <w:t>Martin Fletcher, CEO</w:t>
            </w:r>
          </w:p>
        </w:tc>
        <w:tc>
          <w:tcPr>
            <w:tcW w:w="5670" w:type="dxa"/>
            <w:tcBorders>
              <w:top w:val="outset" w:sz="6" w:space="0" w:color="auto"/>
              <w:left w:val="outset" w:sz="6" w:space="0" w:color="auto"/>
              <w:bottom w:val="outset" w:sz="6" w:space="0" w:color="auto"/>
              <w:right w:val="inset" w:sz="6" w:space="0" w:color="auto"/>
            </w:tcBorders>
            <w:shd w:val="clear" w:color="auto" w:fill="F2F2F2" w:themeFill="background1" w:themeFillShade="F2"/>
          </w:tcPr>
          <w:p w:rsidR="00721C9F" w:rsidRPr="00E61F90" w:rsidRDefault="00721C9F" w:rsidP="00721C9F">
            <w:pPr>
              <w:spacing w:before="200" w:line="240" w:lineRule="auto"/>
              <w:contextualSpacing/>
              <w:rPr>
                <w:rFonts w:cs="Arial"/>
                <w:sz w:val="20"/>
                <w:szCs w:val="20"/>
              </w:rPr>
            </w:pPr>
            <w:r>
              <w:rPr>
                <w:rFonts w:cs="Arial"/>
                <w:sz w:val="20"/>
                <w:szCs w:val="20"/>
              </w:rPr>
              <w:t xml:space="preserve">AHPRA attendee: July 2015 – June 2016 </w:t>
            </w:r>
          </w:p>
        </w:tc>
      </w:tr>
      <w:tr w:rsidR="00721C9F" w:rsidRPr="00E61F90" w:rsidTr="004933A6">
        <w:tc>
          <w:tcPr>
            <w:tcW w:w="237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21C9F" w:rsidRDefault="00721C9F" w:rsidP="00B63814">
            <w:pPr>
              <w:spacing w:before="200" w:line="240" w:lineRule="auto"/>
              <w:contextualSpacing/>
              <w:rPr>
                <w:rFonts w:cs="Arial"/>
                <w:sz w:val="20"/>
                <w:szCs w:val="20"/>
              </w:rPr>
            </w:pPr>
            <w:r>
              <w:rPr>
                <w:rFonts w:cs="Arial"/>
                <w:sz w:val="20"/>
                <w:szCs w:val="20"/>
              </w:rPr>
              <w:t>Sarndrah Horsfall</w:t>
            </w:r>
          </w:p>
        </w:tc>
        <w:tc>
          <w:tcPr>
            <w:tcW w:w="5670" w:type="dxa"/>
            <w:tcBorders>
              <w:top w:val="outset" w:sz="6" w:space="0" w:color="auto"/>
              <w:left w:val="outset" w:sz="6" w:space="0" w:color="auto"/>
              <w:bottom w:val="outset" w:sz="6" w:space="0" w:color="auto"/>
              <w:right w:val="inset" w:sz="6" w:space="0" w:color="auto"/>
            </w:tcBorders>
            <w:shd w:val="clear" w:color="auto" w:fill="D9D9D9" w:themeFill="background1" w:themeFillShade="D9"/>
          </w:tcPr>
          <w:p w:rsidR="00721C9F" w:rsidRPr="00E61F90" w:rsidRDefault="00721C9F" w:rsidP="006A5ED5">
            <w:pPr>
              <w:spacing w:before="200" w:line="240" w:lineRule="auto"/>
              <w:contextualSpacing/>
              <w:rPr>
                <w:rFonts w:cs="Arial"/>
                <w:sz w:val="20"/>
                <w:szCs w:val="20"/>
              </w:rPr>
            </w:pPr>
            <w:r>
              <w:rPr>
                <w:rFonts w:cs="Arial"/>
                <w:sz w:val="20"/>
                <w:szCs w:val="20"/>
              </w:rPr>
              <w:t>AHPRA</w:t>
            </w:r>
            <w:r w:rsidDel="00F22C4F">
              <w:rPr>
                <w:rFonts w:cs="Arial"/>
                <w:sz w:val="20"/>
                <w:szCs w:val="20"/>
              </w:rPr>
              <w:t xml:space="preserve"> </w:t>
            </w:r>
            <w:r>
              <w:rPr>
                <w:rFonts w:cs="Arial"/>
                <w:sz w:val="20"/>
                <w:szCs w:val="20"/>
              </w:rPr>
              <w:t xml:space="preserve"> attendee: July 2015 – June 2016</w:t>
            </w:r>
          </w:p>
        </w:tc>
      </w:tr>
      <w:tr w:rsidR="00721C9F" w:rsidRPr="00E61F90" w:rsidTr="004933A6">
        <w:tc>
          <w:tcPr>
            <w:tcW w:w="2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721C9F" w:rsidRDefault="00721C9F" w:rsidP="00B63814">
            <w:pPr>
              <w:spacing w:before="200" w:line="240" w:lineRule="auto"/>
              <w:contextualSpacing/>
              <w:rPr>
                <w:rFonts w:cs="Arial"/>
                <w:sz w:val="20"/>
                <w:szCs w:val="20"/>
              </w:rPr>
            </w:pPr>
            <w:r>
              <w:rPr>
                <w:rFonts w:cs="Arial"/>
                <w:sz w:val="20"/>
                <w:szCs w:val="20"/>
              </w:rPr>
              <w:t>Kym Ayscough</w:t>
            </w:r>
          </w:p>
        </w:tc>
        <w:tc>
          <w:tcPr>
            <w:tcW w:w="5670" w:type="dxa"/>
            <w:tcBorders>
              <w:top w:val="outset" w:sz="6" w:space="0" w:color="auto"/>
              <w:left w:val="outset" w:sz="6" w:space="0" w:color="auto"/>
              <w:bottom w:val="outset" w:sz="6" w:space="0" w:color="auto"/>
              <w:right w:val="inset" w:sz="6" w:space="0" w:color="auto"/>
            </w:tcBorders>
            <w:shd w:val="clear" w:color="auto" w:fill="F2F2F2" w:themeFill="background1" w:themeFillShade="F2"/>
          </w:tcPr>
          <w:p w:rsidR="00721C9F" w:rsidRPr="00E61F90" w:rsidRDefault="00721C9F" w:rsidP="006A5ED5">
            <w:pPr>
              <w:spacing w:before="200" w:line="240" w:lineRule="auto"/>
              <w:contextualSpacing/>
              <w:rPr>
                <w:rFonts w:cs="Arial"/>
                <w:sz w:val="20"/>
                <w:szCs w:val="20"/>
              </w:rPr>
            </w:pPr>
            <w:r>
              <w:rPr>
                <w:rFonts w:cs="Arial"/>
                <w:sz w:val="20"/>
                <w:szCs w:val="20"/>
              </w:rPr>
              <w:t>AHPRA</w:t>
            </w:r>
            <w:r w:rsidDel="00F22C4F">
              <w:rPr>
                <w:rFonts w:cs="Arial"/>
                <w:sz w:val="20"/>
                <w:szCs w:val="20"/>
              </w:rPr>
              <w:t xml:space="preserve"> </w:t>
            </w:r>
            <w:r>
              <w:rPr>
                <w:rFonts w:cs="Arial"/>
                <w:sz w:val="20"/>
                <w:szCs w:val="20"/>
              </w:rPr>
              <w:t xml:space="preserve"> attendee: July 2015 – June 2016</w:t>
            </w:r>
          </w:p>
        </w:tc>
      </w:tr>
      <w:tr w:rsidR="00721C9F" w:rsidRPr="00E61F90" w:rsidTr="004933A6">
        <w:tc>
          <w:tcPr>
            <w:tcW w:w="237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21C9F" w:rsidRDefault="00721C9F" w:rsidP="00B63814">
            <w:pPr>
              <w:spacing w:before="200" w:line="240" w:lineRule="auto"/>
              <w:contextualSpacing/>
              <w:rPr>
                <w:rFonts w:cs="Arial"/>
                <w:sz w:val="20"/>
                <w:szCs w:val="20"/>
              </w:rPr>
            </w:pPr>
            <w:r>
              <w:rPr>
                <w:rFonts w:cs="Arial"/>
                <w:sz w:val="20"/>
                <w:szCs w:val="20"/>
              </w:rPr>
              <w:t>Sam Clausen</w:t>
            </w:r>
          </w:p>
        </w:tc>
        <w:tc>
          <w:tcPr>
            <w:tcW w:w="5670" w:type="dxa"/>
            <w:tcBorders>
              <w:top w:val="outset" w:sz="6" w:space="0" w:color="auto"/>
              <w:left w:val="outset" w:sz="6" w:space="0" w:color="auto"/>
              <w:bottom w:val="outset" w:sz="6" w:space="0" w:color="auto"/>
              <w:right w:val="inset" w:sz="6" w:space="0" w:color="auto"/>
            </w:tcBorders>
            <w:shd w:val="clear" w:color="auto" w:fill="D9D9D9" w:themeFill="background1" w:themeFillShade="D9"/>
          </w:tcPr>
          <w:p w:rsidR="00721C9F" w:rsidRDefault="00721C9F" w:rsidP="006A5ED5">
            <w:pPr>
              <w:spacing w:before="200" w:line="240" w:lineRule="auto"/>
              <w:contextualSpacing/>
              <w:rPr>
                <w:rFonts w:cs="Arial"/>
                <w:sz w:val="20"/>
                <w:szCs w:val="20"/>
              </w:rPr>
            </w:pPr>
            <w:r>
              <w:rPr>
                <w:rFonts w:cs="Arial"/>
                <w:sz w:val="20"/>
                <w:szCs w:val="20"/>
              </w:rPr>
              <w:t>AHPRA</w:t>
            </w:r>
            <w:r w:rsidDel="00F22C4F">
              <w:rPr>
                <w:rFonts w:cs="Arial"/>
                <w:sz w:val="20"/>
                <w:szCs w:val="20"/>
              </w:rPr>
              <w:t xml:space="preserve"> </w:t>
            </w:r>
            <w:r>
              <w:rPr>
                <w:rFonts w:cs="Arial"/>
                <w:sz w:val="20"/>
                <w:szCs w:val="20"/>
              </w:rPr>
              <w:t xml:space="preserve"> attendee: July 2015 – June 2016</w:t>
            </w:r>
          </w:p>
        </w:tc>
      </w:tr>
      <w:tr w:rsidR="00721C9F" w:rsidRPr="00E61F90" w:rsidTr="004933A6">
        <w:tc>
          <w:tcPr>
            <w:tcW w:w="2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721C9F" w:rsidRDefault="00721C9F" w:rsidP="00B63814">
            <w:pPr>
              <w:spacing w:before="200" w:line="240" w:lineRule="auto"/>
              <w:contextualSpacing/>
              <w:rPr>
                <w:rFonts w:cs="Arial"/>
                <w:sz w:val="20"/>
                <w:szCs w:val="20"/>
              </w:rPr>
            </w:pPr>
            <w:r>
              <w:rPr>
                <w:rFonts w:cs="Arial"/>
                <w:sz w:val="20"/>
                <w:szCs w:val="20"/>
              </w:rPr>
              <w:t>Megan Baker</w:t>
            </w:r>
          </w:p>
        </w:tc>
        <w:tc>
          <w:tcPr>
            <w:tcW w:w="5670" w:type="dxa"/>
            <w:tcBorders>
              <w:top w:val="outset" w:sz="6" w:space="0" w:color="auto"/>
              <w:left w:val="outset" w:sz="6" w:space="0" w:color="auto"/>
              <w:bottom w:val="outset" w:sz="6" w:space="0" w:color="auto"/>
              <w:right w:val="inset" w:sz="6" w:space="0" w:color="auto"/>
            </w:tcBorders>
            <w:shd w:val="clear" w:color="auto" w:fill="F2F2F2" w:themeFill="background1" w:themeFillShade="F2"/>
          </w:tcPr>
          <w:p w:rsidR="00721C9F" w:rsidRDefault="00721C9F" w:rsidP="006A5ED5">
            <w:pPr>
              <w:spacing w:before="200" w:line="240" w:lineRule="auto"/>
              <w:contextualSpacing/>
              <w:rPr>
                <w:rFonts w:cs="Arial"/>
                <w:sz w:val="20"/>
                <w:szCs w:val="20"/>
              </w:rPr>
            </w:pPr>
            <w:r>
              <w:rPr>
                <w:rFonts w:cs="Arial"/>
                <w:sz w:val="20"/>
                <w:szCs w:val="20"/>
              </w:rPr>
              <w:t>AHPRA attendee: July 2015 – June 2016</w:t>
            </w:r>
          </w:p>
        </w:tc>
      </w:tr>
      <w:tr w:rsidR="00721C9F" w:rsidRPr="00E61F90" w:rsidTr="004933A6">
        <w:tc>
          <w:tcPr>
            <w:tcW w:w="237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21C9F" w:rsidRDefault="00721C9F" w:rsidP="00B63814">
            <w:pPr>
              <w:spacing w:before="200" w:line="240" w:lineRule="auto"/>
              <w:contextualSpacing/>
              <w:rPr>
                <w:rFonts w:cs="Arial"/>
                <w:sz w:val="20"/>
                <w:szCs w:val="20"/>
              </w:rPr>
            </w:pPr>
            <w:r>
              <w:rPr>
                <w:rFonts w:cs="Arial"/>
                <w:sz w:val="20"/>
                <w:szCs w:val="20"/>
              </w:rPr>
              <w:t>Chris Ogilvie</w:t>
            </w:r>
          </w:p>
        </w:tc>
        <w:tc>
          <w:tcPr>
            <w:tcW w:w="5670" w:type="dxa"/>
            <w:tcBorders>
              <w:top w:val="outset" w:sz="6" w:space="0" w:color="auto"/>
              <w:left w:val="outset" w:sz="6" w:space="0" w:color="auto"/>
              <w:bottom w:val="outset" w:sz="6" w:space="0" w:color="auto"/>
              <w:right w:val="inset" w:sz="6" w:space="0" w:color="auto"/>
            </w:tcBorders>
            <w:shd w:val="clear" w:color="auto" w:fill="D9D9D9" w:themeFill="background1" w:themeFillShade="D9"/>
          </w:tcPr>
          <w:p w:rsidR="00721C9F" w:rsidRDefault="00721C9F" w:rsidP="006A5ED5">
            <w:pPr>
              <w:spacing w:before="200" w:line="240" w:lineRule="auto"/>
              <w:contextualSpacing/>
              <w:rPr>
                <w:rFonts w:cs="Arial"/>
                <w:sz w:val="20"/>
                <w:szCs w:val="20"/>
              </w:rPr>
            </w:pPr>
            <w:r>
              <w:rPr>
                <w:rFonts w:cs="Arial"/>
                <w:sz w:val="20"/>
                <w:szCs w:val="20"/>
              </w:rPr>
              <w:t>AHPRA attendee: July 2015 – June 2016</w:t>
            </w:r>
          </w:p>
        </w:tc>
      </w:tr>
      <w:tr w:rsidR="00721C9F" w:rsidRPr="00E61F90" w:rsidTr="004933A6">
        <w:tc>
          <w:tcPr>
            <w:tcW w:w="2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721C9F" w:rsidRDefault="00721C9F" w:rsidP="00B63814">
            <w:pPr>
              <w:spacing w:before="200" w:line="240" w:lineRule="auto"/>
              <w:contextualSpacing/>
              <w:rPr>
                <w:rFonts w:cs="Arial"/>
                <w:sz w:val="20"/>
                <w:szCs w:val="20"/>
              </w:rPr>
            </w:pPr>
            <w:r>
              <w:rPr>
                <w:rFonts w:cs="Arial"/>
                <w:sz w:val="20"/>
                <w:szCs w:val="20"/>
              </w:rPr>
              <w:t>Matt Hardy</w:t>
            </w:r>
          </w:p>
        </w:tc>
        <w:tc>
          <w:tcPr>
            <w:tcW w:w="5670" w:type="dxa"/>
            <w:tcBorders>
              <w:top w:val="outset" w:sz="6" w:space="0" w:color="auto"/>
              <w:left w:val="outset" w:sz="6" w:space="0" w:color="auto"/>
              <w:bottom w:val="outset" w:sz="6" w:space="0" w:color="auto"/>
              <w:right w:val="inset" w:sz="6" w:space="0" w:color="auto"/>
            </w:tcBorders>
            <w:shd w:val="clear" w:color="auto" w:fill="F2F2F2" w:themeFill="background1" w:themeFillShade="F2"/>
          </w:tcPr>
          <w:p w:rsidR="00721C9F" w:rsidRDefault="00721C9F" w:rsidP="006A5ED5">
            <w:pPr>
              <w:spacing w:before="200" w:line="240" w:lineRule="auto"/>
              <w:contextualSpacing/>
              <w:rPr>
                <w:rFonts w:cs="Arial"/>
                <w:sz w:val="20"/>
                <w:szCs w:val="20"/>
              </w:rPr>
            </w:pPr>
            <w:r>
              <w:rPr>
                <w:rFonts w:cs="Arial"/>
                <w:sz w:val="20"/>
                <w:szCs w:val="20"/>
              </w:rPr>
              <w:t>AHPRA attendee: July 2015 – June 2016</w:t>
            </w:r>
          </w:p>
        </w:tc>
      </w:tr>
      <w:tr w:rsidR="0076228B" w:rsidRPr="00E61F90" w:rsidTr="004933A6">
        <w:tc>
          <w:tcPr>
            <w:tcW w:w="237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6228B" w:rsidRDefault="0076228B" w:rsidP="00B63814">
            <w:pPr>
              <w:spacing w:before="200" w:line="240" w:lineRule="auto"/>
              <w:contextualSpacing/>
              <w:rPr>
                <w:rFonts w:cs="Arial"/>
                <w:sz w:val="20"/>
                <w:szCs w:val="20"/>
              </w:rPr>
            </w:pPr>
            <w:r>
              <w:rPr>
                <w:rFonts w:cs="Arial"/>
                <w:sz w:val="20"/>
                <w:szCs w:val="20"/>
              </w:rPr>
              <w:t>Jim O’Dempsey</w:t>
            </w:r>
          </w:p>
        </w:tc>
        <w:tc>
          <w:tcPr>
            <w:tcW w:w="5670" w:type="dxa"/>
            <w:tcBorders>
              <w:top w:val="outset" w:sz="6" w:space="0" w:color="auto"/>
              <w:left w:val="outset" w:sz="6" w:space="0" w:color="auto"/>
              <w:bottom w:val="outset" w:sz="6" w:space="0" w:color="auto"/>
              <w:right w:val="inset" w:sz="6" w:space="0" w:color="auto"/>
            </w:tcBorders>
            <w:shd w:val="clear" w:color="auto" w:fill="D9D9D9" w:themeFill="background1" w:themeFillShade="D9"/>
          </w:tcPr>
          <w:p w:rsidR="0076228B" w:rsidRDefault="0076228B" w:rsidP="006A5ED5">
            <w:pPr>
              <w:spacing w:before="200" w:line="240" w:lineRule="auto"/>
              <w:contextualSpacing/>
              <w:rPr>
                <w:rFonts w:cs="Arial"/>
                <w:sz w:val="20"/>
                <w:szCs w:val="20"/>
              </w:rPr>
            </w:pPr>
            <w:r>
              <w:rPr>
                <w:rFonts w:cs="Arial"/>
                <w:sz w:val="20"/>
                <w:szCs w:val="20"/>
              </w:rPr>
              <w:t>AHPRA attendee: July 2015 – June 2016</w:t>
            </w:r>
          </w:p>
        </w:tc>
      </w:tr>
      <w:tr w:rsidR="00721C9F" w:rsidRPr="00E61F90" w:rsidTr="004933A6">
        <w:tc>
          <w:tcPr>
            <w:tcW w:w="2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721C9F" w:rsidRDefault="00721C9F" w:rsidP="00B63814">
            <w:pPr>
              <w:spacing w:before="200" w:line="240" w:lineRule="auto"/>
              <w:contextualSpacing/>
              <w:rPr>
                <w:rFonts w:cs="Arial"/>
                <w:sz w:val="20"/>
                <w:szCs w:val="20"/>
              </w:rPr>
            </w:pPr>
            <w:r>
              <w:rPr>
                <w:rFonts w:cs="Arial"/>
                <w:sz w:val="20"/>
                <w:szCs w:val="20"/>
              </w:rPr>
              <w:t>Deena Jones</w:t>
            </w:r>
          </w:p>
        </w:tc>
        <w:tc>
          <w:tcPr>
            <w:tcW w:w="5670" w:type="dxa"/>
            <w:tcBorders>
              <w:top w:val="outset" w:sz="6" w:space="0" w:color="auto"/>
              <w:left w:val="outset" w:sz="6" w:space="0" w:color="auto"/>
              <w:bottom w:val="outset" w:sz="6" w:space="0" w:color="auto"/>
              <w:right w:val="inset" w:sz="6" w:space="0" w:color="auto"/>
            </w:tcBorders>
            <w:shd w:val="clear" w:color="auto" w:fill="F2F2F2" w:themeFill="background1" w:themeFillShade="F2"/>
          </w:tcPr>
          <w:p w:rsidR="00721C9F" w:rsidRDefault="00721C9F" w:rsidP="006A5ED5">
            <w:pPr>
              <w:spacing w:before="200" w:line="240" w:lineRule="auto"/>
              <w:contextualSpacing/>
              <w:rPr>
                <w:rFonts w:cs="Arial"/>
                <w:sz w:val="20"/>
                <w:szCs w:val="20"/>
              </w:rPr>
            </w:pPr>
            <w:r>
              <w:rPr>
                <w:rFonts w:cs="Arial"/>
                <w:sz w:val="20"/>
                <w:szCs w:val="20"/>
              </w:rPr>
              <w:t>AHPRA attendee: July 2015 – June 2016 (secretariat)</w:t>
            </w:r>
          </w:p>
        </w:tc>
      </w:tr>
      <w:tr w:rsidR="00721C9F" w:rsidRPr="00E61F90" w:rsidTr="00764706">
        <w:tc>
          <w:tcPr>
            <w:tcW w:w="237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21C9F" w:rsidRDefault="009C19C8" w:rsidP="00B63814">
            <w:pPr>
              <w:spacing w:before="200" w:line="240" w:lineRule="auto"/>
              <w:contextualSpacing/>
              <w:rPr>
                <w:rFonts w:cs="Arial"/>
                <w:sz w:val="20"/>
                <w:szCs w:val="20"/>
              </w:rPr>
            </w:pPr>
            <w:r>
              <w:rPr>
                <w:rFonts w:cs="Arial"/>
                <w:sz w:val="20"/>
                <w:szCs w:val="20"/>
              </w:rPr>
              <w:t>Paul Scicluna</w:t>
            </w:r>
          </w:p>
        </w:tc>
        <w:tc>
          <w:tcPr>
            <w:tcW w:w="5670" w:type="dxa"/>
            <w:tcBorders>
              <w:top w:val="outset" w:sz="6" w:space="0" w:color="auto"/>
              <w:left w:val="outset" w:sz="6" w:space="0" w:color="auto"/>
              <w:bottom w:val="outset" w:sz="6" w:space="0" w:color="auto"/>
              <w:right w:val="inset" w:sz="6" w:space="0" w:color="auto"/>
            </w:tcBorders>
            <w:shd w:val="clear" w:color="auto" w:fill="D9D9D9" w:themeFill="background1" w:themeFillShade="D9"/>
          </w:tcPr>
          <w:p w:rsidR="00721C9F" w:rsidRDefault="009C19C8" w:rsidP="006A5ED5">
            <w:pPr>
              <w:spacing w:before="200" w:line="240" w:lineRule="auto"/>
              <w:contextualSpacing/>
              <w:rPr>
                <w:rFonts w:cs="Arial"/>
                <w:sz w:val="20"/>
                <w:szCs w:val="20"/>
              </w:rPr>
            </w:pPr>
            <w:r>
              <w:rPr>
                <w:rFonts w:cs="Arial"/>
                <w:sz w:val="20"/>
                <w:szCs w:val="20"/>
              </w:rPr>
              <w:t>AHPRA attendee – Feb 2016</w:t>
            </w:r>
          </w:p>
        </w:tc>
      </w:tr>
      <w:tr w:rsidR="009C19C8" w:rsidRPr="00E61F90" w:rsidTr="00911AB3">
        <w:tc>
          <w:tcPr>
            <w:tcW w:w="2376" w:type="dxa"/>
            <w:tcBorders>
              <w:top w:val="outset" w:sz="6" w:space="0" w:color="auto"/>
              <w:left w:val="outset" w:sz="6" w:space="0" w:color="auto"/>
              <w:bottom w:val="inset" w:sz="6" w:space="0" w:color="auto"/>
              <w:right w:val="outset" w:sz="6" w:space="0" w:color="auto"/>
            </w:tcBorders>
            <w:shd w:val="clear" w:color="auto" w:fill="F2F2F2" w:themeFill="background1" w:themeFillShade="F2"/>
          </w:tcPr>
          <w:p w:rsidR="009C19C8" w:rsidRDefault="009C19C8" w:rsidP="00B63814">
            <w:pPr>
              <w:spacing w:before="200" w:line="240" w:lineRule="auto"/>
              <w:contextualSpacing/>
              <w:rPr>
                <w:rFonts w:cs="Arial"/>
                <w:sz w:val="20"/>
                <w:szCs w:val="20"/>
              </w:rPr>
            </w:pPr>
            <w:r>
              <w:rPr>
                <w:rFonts w:cs="Arial"/>
                <w:sz w:val="20"/>
                <w:szCs w:val="20"/>
              </w:rPr>
              <w:t>Amanda Doulos</w:t>
            </w:r>
          </w:p>
        </w:tc>
        <w:tc>
          <w:tcPr>
            <w:tcW w:w="5670" w:type="dxa"/>
            <w:tcBorders>
              <w:top w:val="outset" w:sz="6" w:space="0" w:color="auto"/>
              <w:left w:val="outset" w:sz="6" w:space="0" w:color="auto"/>
              <w:bottom w:val="inset" w:sz="6" w:space="0" w:color="auto"/>
              <w:right w:val="inset" w:sz="6" w:space="0" w:color="auto"/>
            </w:tcBorders>
            <w:shd w:val="clear" w:color="auto" w:fill="F2F2F2" w:themeFill="background1" w:themeFillShade="F2"/>
          </w:tcPr>
          <w:p w:rsidR="009C19C8" w:rsidRDefault="009C19C8" w:rsidP="006A5ED5">
            <w:pPr>
              <w:spacing w:before="200" w:line="240" w:lineRule="auto"/>
              <w:contextualSpacing/>
              <w:rPr>
                <w:rFonts w:cs="Arial"/>
                <w:sz w:val="20"/>
                <w:szCs w:val="20"/>
              </w:rPr>
            </w:pPr>
            <w:r>
              <w:rPr>
                <w:rFonts w:cs="Arial"/>
                <w:sz w:val="20"/>
                <w:szCs w:val="20"/>
              </w:rPr>
              <w:t>AHPRA attendee – Feb 2016</w:t>
            </w:r>
          </w:p>
        </w:tc>
      </w:tr>
    </w:tbl>
    <w:p w:rsidR="00580D71" w:rsidRDefault="00580D71" w:rsidP="009811D9">
      <w:pPr>
        <w:pStyle w:val="PlainText"/>
        <w:spacing w:before="200" w:after="200"/>
        <w:ind w:left="0"/>
        <w:jc w:val="left"/>
        <w:rPr>
          <w:rFonts w:eastAsia="Cambria"/>
          <w:b/>
          <w:color w:val="007DC3"/>
          <w:lang w:val="en-US"/>
        </w:rPr>
      </w:pPr>
      <w:r w:rsidRPr="00CC1E5F">
        <w:rPr>
          <w:rFonts w:eastAsia="Cambria"/>
          <w:b/>
          <w:color w:val="007DC3"/>
          <w:lang w:val="en-US"/>
        </w:rPr>
        <w:t>Meetings</w:t>
      </w:r>
    </w:p>
    <w:p w:rsidR="009811D9" w:rsidRPr="004933A6" w:rsidRDefault="009811D9" w:rsidP="004933A6">
      <w:pPr>
        <w:pStyle w:val="ListParagraph"/>
        <w:numPr>
          <w:ilvl w:val="0"/>
          <w:numId w:val="25"/>
        </w:numPr>
        <w:autoSpaceDE w:val="0"/>
        <w:autoSpaceDN w:val="0"/>
        <w:adjustRightInd w:val="0"/>
        <w:spacing w:before="200" w:line="240" w:lineRule="auto"/>
        <w:ind w:left="357" w:hanging="357"/>
        <w:rPr>
          <w:rFonts w:eastAsia="Cambria"/>
          <w:sz w:val="20"/>
          <w:szCs w:val="20"/>
          <w:lang w:val="en-US"/>
        </w:rPr>
      </w:pPr>
      <w:r w:rsidRPr="009811D9">
        <w:rPr>
          <w:rFonts w:eastAsia="Cambria"/>
          <w:sz w:val="20"/>
          <w:szCs w:val="20"/>
          <w:lang w:val="en-US"/>
        </w:rPr>
        <w:t xml:space="preserve">The Performance Committee </w:t>
      </w:r>
      <w:r w:rsidR="00D305B6">
        <w:rPr>
          <w:rFonts w:eastAsia="Cambria"/>
          <w:sz w:val="20"/>
          <w:szCs w:val="20"/>
          <w:lang w:val="en-US"/>
        </w:rPr>
        <w:t>shall</w:t>
      </w:r>
      <w:r w:rsidR="00D305B6" w:rsidRPr="009811D9">
        <w:rPr>
          <w:rFonts w:eastAsia="Cambria"/>
          <w:sz w:val="20"/>
          <w:szCs w:val="20"/>
          <w:lang w:val="en-US"/>
        </w:rPr>
        <w:t xml:space="preserve"> </w:t>
      </w:r>
      <w:r w:rsidRPr="009811D9">
        <w:rPr>
          <w:rFonts w:eastAsia="Cambria"/>
          <w:sz w:val="20"/>
          <w:szCs w:val="20"/>
          <w:lang w:val="en-US"/>
        </w:rPr>
        <w:t>meet at least four times a year</w:t>
      </w:r>
      <w:r>
        <w:rPr>
          <w:rFonts w:eastAsia="Cambria"/>
          <w:sz w:val="20"/>
          <w:szCs w:val="20"/>
          <w:lang w:val="en-US"/>
        </w:rPr>
        <w:t>.</w:t>
      </w:r>
    </w:p>
    <w:p w:rsidR="009811D9" w:rsidRDefault="00D305B6" w:rsidP="004933A6">
      <w:pPr>
        <w:pStyle w:val="ListParagraph"/>
        <w:numPr>
          <w:ilvl w:val="0"/>
          <w:numId w:val="25"/>
        </w:numPr>
        <w:autoSpaceDE w:val="0"/>
        <w:autoSpaceDN w:val="0"/>
        <w:adjustRightInd w:val="0"/>
        <w:spacing w:before="200" w:line="240" w:lineRule="auto"/>
        <w:ind w:left="357" w:hanging="357"/>
        <w:rPr>
          <w:rFonts w:eastAsia="Cambria"/>
          <w:sz w:val="20"/>
          <w:szCs w:val="20"/>
          <w:lang w:val="en-US"/>
        </w:rPr>
      </w:pPr>
      <w:r w:rsidRPr="00EB355D">
        <w:rPr>
          <w:rFonts w:cs="Arial"/>
          <w:sz w:val="20"/>
          <w:szCs w:val="20"/>
        </w:rPr>
        <w:t>A quorum will be</w:t>
      </w:r>
      <w:r>
        <w:rPr>
          <w:rFonts w:cs="Arial"/>
          <w:sz w:val="20"/>
          <w:szCs w:val="20"/>
        </w:rPr>
        <w:t xml:space="preserve"> met where there</w:t>
      </w:r>
      <w:r w:rsidRPr="00EB355D">
        <w:rPr>
          <w:rFonts w:cs="Arial"/>
          <w:sz w:val="20"/>
          <w:szCs w:val="20"/>
        </w:rPr>
        <w:t xml:space="preserve"> a</w:t>
      </w:r>
      <w:r>
        <w:rPr>
          <w:rFonts w:cs="Arial"/>
          <w:sz w:val="20"/>
          <w:szCs w:val="20"/>
        </w:rPr>
        <w:t>re</w:t>
      </w:r>
      <w:r w:rsidRPr="00EB355D">
        <w:rPr>
          <w:rFonts w:cs="Arial"/>
          <w:sz w:val="20"/>
          <w:szCs w:val="20"/>
        </w:rPr>
        <w:t xml:space="preserve"> </w:t>
      </w:r>
      <w:r>
        <w:rPr>
          <w:rFonts w:cs="Arial"/>
          <w:sz w:val="20"/>
          <w:szCs w:val="20"/>
        </w:rPr>
        <w:t>four</w:t>
      </w:r>
      <w:r w:rsidRPr="00EB355D">
        <w:rPr>
          <w:rFonts w:cs="Arial"/>
          <w:sz w:val="20"/>
          <w:szCs w:val="20"/>
        </w:rPr>
        <w:t xml:space="preserve"> </w:t>
      </w:r>
      <w:r>
        <w:rPr>
          <w:rFonts w:cs="Arial"/>
          <w:sz w:val="20"/>
          <w:szCs w:val="20"/>
        </w:rPr>
        <w:t>members present. The quorum shall be made up of at least three Agency Management Committee members.</w:t>
      </w:r>
      <w:r w:rsidR="004F5C42" w:rsidRPr="004933A6">
        <w:rPr>
          <w:rFonts w:eastAsia="Cambria"/>
          <w:sz w:val="20"/>
          <w:szCs w:val="20"/>
          <w:lang w:val="en-US"/>
        </w:rPr>
        <w:t xml:space="preserve"> </w:t>
      </w:r>
    </w:p>
    <w:p w:rsidR="00C84E24" w:rsidRPr="00C84E24" w:rsidRDefault="00C84E24" w:rsidP="00C84E24">
      <w:pPr>
        <w:autoSpaceDE w:val="0"/>
        <w:autoSpaceDN w:val="0"/>
        <w:adjustRightInd w:val="0"/>
        <w:spacing w:before="200" w:line="240" w:lineRule="auto"/>
        <w:rPr>
          <w:rFonts w:eastAsia="Cambria"/>
          <w:sz w:val="20"/>
          <w:szCs w:val="20"/>
          <w:lang w:val="en-US"/>
        </w:rPr>
      </w:pPr>
    </w:p>
    <w:tbl>
      <w:tblPr>
        <w:tblStyle w:val="MediumGrid3-Accent3"/>
        <w:tblW w:w="0" w:type="auto"/>
        <w:tblLook w:val="0620" w:firstRow="1" w:lastRow="0" w:firstColumn="0" w:lastColumn="0" w:noHBand="1" w:noVBand="1"/>
      </w:tblPr>
      <w:tblGrid>
        <w:gridCol w:w="2390"/>
        <w:gridCol w:w="5656"/>
      </w:tblGrid>
      <w:tr w:rsidR="004E7AED" w:rsidRPr="00E61F90" w:rsidTr="0023317C">
        <w:trPr>
          <w:cnfStyle w:val="100000000000" w:firstRow="1" w:lastRow="0" w:firstColumn="0" w:lastColumn="0" w:oddVBand="0" w:evenVBand="0" w:oddHBand="0" w:evenHBand="0" w:firstRowFirstColumn="0" w:firstRowLastColumn="0" w:lastRowFirstColumn="0" w:lastRowLastColumn="0"/>
        </w:trPr>
        <w:tc>
          <w:tcPr>
            <w:tcW w:w="2390" w:type="dxa"/>
            <w:tcBorders>
              <w:top w:val="inset" w:sz="6" w:space="0" w:color="auto"/>
              <w:left w:val="inset" w:sz="6" w:space="0" w:color="auto"/>
            </w:tcBorders>
            <w:shd w:val="clear" w:color="auto" w:fill="007DC3"/>
            <w:vAlign w:val="bottom"/>
          </w:tcPr>
          <w:p w:rsidR="004E7AED" w:rsidRPr="00E61F90" w:rsidRDefault="004E7AED" w:rsidP="00522DAE">
            <w:pPr>
              <w:spacing w:before="200" w:line="240" w:lineRule="auto"/>
              <w:contextualSpacing/>
              <w:rPr>
                <w:rFonts w:cs="Arial"/>
                <w:sz w:val="20"/>
                <w:szCs w:val="20"/>
              </w:rPr>
            </w:pPr>
            <w:r w:rsidRPr="00E61F90">
              <w:rPr>
                <w:rFonts w:cs="Arial"/>
                <w:sz w:val="20"/>
                <w:szCs w:val="20"/>
              </w:rPr>
              <w:t>Meeting dates</w:t>
            </w:r>
          </w:p>
        </w:tc>
        <w:tc>
          <w:tcPr>
            <w:tcW w:w="5656" w:type="dxa"/>
            <w:tcBorders>
              <w:top w:val="inset" w:sz="6" w:space="0" w:color="auto"/>
              <w:right w:val="inset" w:sz="6" w:space="0" w:color="auto"/>
            </w:tcBorders>
            <w:shd w:val="clear" w:color="auto" w:fill="007DC3"/>
            <w:vAlign w:val="bottom"/>
          </w:tcPr>
          <w:p w:rsidR="004E7AED" w:rsidRPr="00E61F90" w:rsidRDefault="004E7AED" w:rsidP="00522DAE">
            <w:pPr>
              <w:spacing w:before="200" w:line="240" w:lineRule="auto"/>
              <w:contextualSpacing/>
              <w:rPr>
                <w:rFonts w:cs="Arial"/>
                <w:sz w:val="20"/>
                <w:szCs w:val="20"/>
              </w:rPr>
            </w:pPr>
            <w:r w:rsidRPr="00E61F90">
              <w:rPr>
                <w:rFonts w:cs="Arial"/>
                <w:sz w:val="20"/>
                <w:szCs w:val="20"/>
              </w:rPr>
              <w:t>Attendance</w:t>
            </w:r>
          </w:p>
        </w:tc>
      </w:tr>
      <w:tr w:rsidR="004E7AED" w:rsidRPr="00E61F90" w:rsidTr="0023317C">
        <w:tc>
          <w:tcPr>
            <w:tcW w:w="2390" w:type="dxa"/>
            <w:tcBorders>
              <w:top w:val="single" w:sz="8" w:space="0" w:color="FFFFFF" w:themeColor="background1"/>
              <w:left w:val="inset" w:sz="6" w:space="0" w:color="auto"/>
              <w:bottom w:val="single" w:sz="6" w:space="0" w:color="FFFFFF" w:themeColor="background1"/>
            </w:tcBorders>
            <w:shd w:val="clear" w:color="auto" w:fill="F2F2F2" w:themeFill="background1" w:themeFillShade="F2"/>
          </w:tcPr>
          <w:p w:rsidR="004E7AED" w:rsidRPr="00E61F90" w:rsidRDefault="00C97C16" w:rsidP="00522DAE">
            <w:pPr>
              <w:spacing w:before="200" w:line="240" w:lineRule="auto"/>
              <w:contextualSpacing/>
              <w:rPr>
                <w:rFonts w:cs="Arial"/>
                <w:sz w:val="20"/>
                <w:szCs w:val="20"/>
              </w:rPr>
            </w:pPr>
            <w:r>
              <w:rPr>
                <w:rFonts w:cs="Arial"/>
                <w:sz w:val="20"/>
                <w:szCs w:val="20"/>
              </w:rPr>
              <w:t>28 August</w:t>
            </w:r>
            <w:r w:rsidR="004E7AED">
              <w:rPr>
                <w:rFonts w:cs="Arial"/>
                <w:sz w:val="20"/>
                <w:szCs w:val="20"/>
              </w:rPr>
              <w:t xml:space="preserve"> 2015</w:t>
            </w:r>
          </w:p>
        </w:tc>
        <w:tc>
          <w:tcPr>
            <w:tcW w:w="5656" w:type="dxa"/>
            <w:tcBorders>
              <w:top w:val="single" w:sz="8" w:space="0" w:color="FFFFFF" w:themeColor="background1"/>
              <w:bottom w:val="single" w:sz="6" w:space="0" w:color="FFFFFF" w:themeColor="background1"/>
              <w:right w:val="inset" w:sz="6" w:space="0" w:color="auto"/>
            </w:tcBorders>
            <w:shd w:val="clear" w:color="auto" w:fill="F2F2F2" w:themeFill="background1" w:themeFillShade="F2"/>
          </w:tcPr>
          <w:p w:rsidR="004E7AED" w:rsidRPr="00E61F90" w:rsidRDefault="007B7C19" w:rsidP="007B7C19">
            <w:pPr>
              <w:spacing w:before="200" w:line="240" w:lineRule="auto"/>
              <w:contextualSpacing/>
              <w:rPr>
                <w:rFonts w:cs="Arial"/>
                <w:sz w:val="20"/>
                <w:szCs w:val="20"/>
              </w:rPr>
            </w:pPr>
            <w:r>
              <w:rPr>
                <w:rFonts w:cs="Arial"/>
                <w:sz w:val="20"/>
                <w:szCs w:val="20"/>
              </w:rPr>
              <w:t>Ian Smith, Merrilyn Walton, Jenny Taing, Paul Shinkfield, Joanna Flynn, Martin Fletcher, Kym Ayscough, Sarndrah Horsfall, Matt Hardy, Sam Clausen, Megan Baker, Chris Ogilvie, Deena Jones</w:t>
            </w:r>
          </w:p>
        </w:tc>
      </w:tr>
      <w:tr w:rsidR="004E7AED" w:rsidRPr="00E61F90" w:rsidTr="009C19C8">
        <w:tc>
          <w:tcPr>
            <w:tcW w:w="2390" w:type="dxa"/>
            <w:tcBorders>
              <w:top w:val="single" w:sz="6" w:space="0" w:color="FFFFFF" w:themeColor="background1"/>
              <w:left w:val="inset" w:sz="6" w:space="0" w:color="auto"/>
              <w:bottom w:val="single" w:sz="6" w:space="0" w:color="FFFFFF" w:themeColor="background1"/>
            </w:tcBorders>
            <w:shd w:val="clear" w:color="auto" w:fill="D9D9D9" w:themeFill="background1" w:themeFillShade="D9"/>
          </w:tcPr>
          <w:p w:rsidR="004E7AED" w:rsidRPr="00E61F90" w:rsidRDefault="004E7AED" w:rsidP="00C97C16">
            <w:pPr>
              <w:spacing w:before="200" w:line="240" w:lineRule="auto"/>
              <w:contextualSpacing/>
              <w:rPr>
                <w:rFonts w:cs="Arial"/>
                <w:sz w:val="20"/>
                <w:szCs w:val="20"/>
              </w:rPr>
            </w:pPr>
            <w:r>
              <w:rPr>
                <w:rFonts w:cs="Arial"/>
                <w:sz w:val="20"/>
                <w:szCs w:val="20"/>
              </w:rPr>
              <w:t>1</w:t>
            </w:r>
            <w:r w:rsidR="00C97C16">
              <w:rPr>
                <w:rFonts w:cs="Arial"/>
                <w:sz w:val="20"/>
                <w:szCs w:val="20"/>
              </w:rPr>
              <w:t>3 November</w:t>
            </w:r>
            <w:r>
              <w:rPr>
                <w:rFonts w:cs="Arial"/>
                <w:sz w:val="20"/>
                <w:szCs w:val="20"/>
              </w:rPr>
              <w:t xml:space="preserve"> 2015</w:t>
            </w:r>
          </w:p>
        </w:tc>
        <w:tc>
          <w:tcPr>
            <w:tcW w:w="5656" w:type="dxa"/>
            <w:tcBorders>
              <w:top w:val="single" w:sz="6" w:space="0" w:color="FFFFFF" w:themeColor="background1"/>
              <w:bottom w:val="single" w:sz="6" w:space="0" w:color="FFFFFF" w:themeColor="background1"/>
              <w:right w:val="inset" w:sz="6" w:space="0" w:color="auto"/>
            </w:tcBorders>
            <w:shd w:val="clear" w:color="auto" w:fill="D9D9D9" w:themeFill="background1" w:themeFillShade="D9"/>
          </w:tcPr>
          <w:p w:rsidR="004E7AED" w:rsidRPr="00E61F90" w:rsidRDefault="004E7AED" w:rsidP="00522DAE">
            <w:pPr>
              <w:spacing w:before="200" w:line="240" w:lineRule="auto"/>
              <w:contextualSpacing/>
              <w:rPr>
                <w:rFonts w:cs="Arial"/>
                <w:sz w:val="20"/>
                <w:szCs w:val="20"/>
              </w:rPr>
            </w:pPr>
            <w:r>
              <w:rPr>
                <w:rFonts w:cs="Arial"/>
                <w:sz w:val="20"/>
                <w:szCs w:val="20"/>
              </w:rPr>
              <w:t xml:space="preserve"> </w:t>
            </w:r>
            <w:r w:rsidR="00DD278E">
              <w:rPr>
                <w:rFonts w:cs="Arial"/>
                <w:sz w:val="20"/>
                <w:szCs w:val="20"/>
              </w:rPr>
              <w:t>Ian Smith, Merrilyn Walton, Jenny Taing, Paul Shinkfield, Joanna Flynn, Martin Fletcher, Kym Ayscough, Sarndrah Horsfall, Matt Hardy, Sam Clausen, Megan Baker, Chris Ogilvie, Deena Jones</w:t>
            </w:r>
          </w:p>
        </w:tc>
      </w:tr>
      <w:tr w:rsidR="009C19C8" w:rsidRPr="00E61F90" w:rsidTr="00BC297D">
        <w:tc>
          <w:tcPr>
            <w:tcW w:w="2390" w:type="dxa"/>
            <w:tcBorders>
              <w:top w:val="single" w:sz="6" w:space="0" w:color="FFFFFF" w:themeColor="background1"/>
              <w:left w:val="inset" w:sz="6" w:space="0" w:color="auto"/>
              <w:bottom w:val="single" w:sz="6" w:space="0" w:color="FFFFFF" w:themeColor="background1"/>
            </w:tcBorders>
            <w:shd w:val="clear" w:color="auto" w:fill="D9D9D9" w:themeFill="background1" w:themeFillShade="D9"/>
          </w:tcPr>
          <w:p w:rsidR="009C19C8" w:rsidRDefault="009C19C8" w:rsidP="00C97C16">
            <w:pPr>
              <w:spacing w:before="200" w:line="240" w:lineRule="auto"/>
              <w:contextualSpacing/>
              <w:rPr>
                <w:rFonts w:cs="Arial"/>
                <w:sz w:val="20"/>
                <w:szCs w:val="20"/>
              </w:rPr>
            </w:pPr>
            <w:r>
              <w:rPr>
                <w:rFonts w:cs="Arial"/>
                <w:sz w:val="20"/>
                <w:szCs w:val="20"/>
              </w:rPr>
              <w:t>11 February 2016</w:t>
            </w:r>
          </w:p>
        </w:tc>
        <w:tc>
          <w:tcPr>
            <w:tcW w:w="5656" w:type="dxa"/>
            <w:tcBorders>
              <w:top w:val="single" w:sz="6" w:space="0" w:color="FFFFFF" w:themeColor="background1"/>
              <w:bottom w:val="single" w:sz="6" w:space="0" w:color="FFFFFF" w:themeColor="background1"/>
              <w:right w:val="inset" w:sz="6" w:space="0" w:color="auto"/>
            </w:tcBorders>
            <w:shd w:val="clear" w:color="auto" w:fill="D9D9D9" w:themeFill="background1" w:themeFillShade="D9"/>
          </w:tcPr>
          <w:p w:rsidR="009C19C8" w:rsidRDefault="009C19C8" w:rsidP="00BC297D">
            <w:pPr>
              <w:spacing w:before="200" w:line="240" w:lineRule="auto"/>
              <w:contextualSpacing/>
              <w:rPr>
                <w:rFonts w:cs="Arial"/>
                <w:sz w:val="20"/>
                <w:szCs w:val="20"/>
              </w:rPr>
            </w:pPr>
            <w:r>
              <w:rPr>
                <w:rFonts w:cs="Arial"/>
                <w:sz w:val="20"/>
                <w:szCs w:val="20"/>
              </w:rPr>
              <w:t xml:space="preserve">Ian Smith, Merrilyn Walton, Jenny Taing, Joanna Flynn, Martin Fletcher, Kym Ayscough, Sarndrah Horsfall, Matt Hardy, Megan Baker, Chris Ogilvie, </w:t>
            </w:r>
            <w:r w:rsidR="00BC297D">
              <w:rPr>
                <w:rFonts w:cs="Arial"/>
                <w:sz w:val="20"/>
                <w:szCs w:val="20"/>
              </w:rPr>
              <w:t xml:space="preserve">Jim O’Dempsey, </w:t>
            </w:r>
            <w:r>
              <w:rPr>
                <w:rFonts w:cs="Arial"/>
                <w:sz w:val="20"/>
                <w:szCs w:val="20"/>
              </w:rPr>
              <w:t>Deena Jones</w:t>
            </w:r>
            <w:r w:rsidR="00BC297D">
              <w:rPr>
                <w:rFonts w:cs="Arial"/>
                <w:sz w:val="20"/>
                <w:szCs w:val="20"/>
              </w:rPr>
              <w:t>, Paul Scicluna, Amanda Doulos</w:t>
            </w:r>
          </w:p>
        </w:tc>
      </w:tr>
      <w:tr w:rsidR="00BC297D" w:rsidRPr="00E61F90" w:rsidTr="0023317C">
        <w:tc>
          <w:tcPr>
            <w:tcW w:w="2390" w:type="dxa"/>
            <w:tcBorders>
              <w:top w:val="single" w:sz="6" w:space="0" w:color="FFFFFF" w:themeColor="background1"/>
              <w:left w:val="inset" w:sz="6" w:space="0" w:color="auto"/>
              <w:bottom w:val="inset" w:sz="6" w:space="0" w:color="auto"/>
            </w:tcBorders>
            <w:shd w:val="clear" w:color="auto" w:fill="D9D9D9" w:themeFill="background1" w:themeFillShade="D9"/>
          </w:tcPr>
          <w:p w:rsidR="00BC297D" w:rsidRDefault="00BC297D" w:rsidP="00C97C16">
            <w:pPr>
              <w:spacing w:before="200" w:line="240" w:lineRule="auto"/>
              <w:contextualSpacing/>
              <w:rPr>
                <w:rFonts w:cs="Arial"/>
                <w:sz w:val="20"/>
                <w:szCs w:val="20"/>
              </w:rPr>
            </w:pPr>
            <w:r>
              <w:rPr>
                <w:rFonts w:cs="Arial"/>
                <w:sz w:val="20"/>
                <w:szCs w:val="20"/>
              </w:rPr>
              <w:t>10 May 2016</w:t>
            </w:r>
          </w:p>
        </w:tc>
        <w:tc>
          <w:tcPr>
            <w:tcW w:w="5656" w:type="dxa"/>
            <w:tcBorders>
              <w:top w:val="single" w:sz="6" w:space="0" w:color="FFFFFF" w:themeColor="background1"/>
              <w:bottom w:val="inset" w:sz="6" w:space="0" w:color="auto"/>
              <w:right w:val="inset" w:sz="6" w:space="0" w:color="auto"/>
            </w:tcBorders>
            <w:shd w:val="clear" w:color="auto" w:fill="D9D9D9" w:themeFill="background1" w:themeFillShade="D9"/>
          </w:tcPr>
          <w:p w:rsidR="00BC297D" w:rsidRDefault="00BC297D" w:rsidP="00BC297D">
            <w:pPr>
              <w:spacing w:before="200" w:line="240" w:lineRule="auto"/>
              <w:contextualSpacing/>
              <w:rPr>
                <w:rFonts w:cs="Arial"/>
                <w:sz w:val="20"/>
                <w:szCs w:val="20"/>
              </w:rPr>
            </w:pPr>
            <w:r>
              <w:rPr>
                <w:rFonts w:cs="Arial"/>
                <w:sz w:val="20"/>
                <w:szCs w:val="20"/>
              </w:rPr>
              <w:t>Ian Smith, Merrilyn Walton, Jenny Taing, Joanna Flynn, John Lockwood, Ian Bluntish, Martin Fletcher, Kym Ayscough, Sarndrah Horsfall, Matt Hardy, Sam Clausen, Megan Baker, Chris Ogilvie, Sam Clausen, Deena Jones</w:t>
            </w:r>
          </w:p>
        </w:tc>
      </w:tr>
    </w:tbl>
    <w:p w:rsidR="00D721FE" w:rsidRPr="00CC1E5F" w:rsidRDefault="009811D9" w:rsidP="00E61F90">
      <w:pPr>
        <w:pStyle w:val="NoSpacing"/>
        <w:spacing w:before="200" w:after="200"/>
        <w:contextualSpacing/>
        <w:rPr>
          <w:rFonts w:ascii="Arial" w:eastAsia="Cambria" w:hAnsi="Arial"/>
          <w:b/>
          <w:color w:val="007DC3"/>
          <w:sz w:val="20"/>
          <w:szCs w:val="24"/>
          <w:lang w:val="en-US"/>
        </w:rPr>
      </w:pPr>
      <w:r w:rsidRPr="00CC1E5F">
        <w:rPr>
          <w:rFonts w:ascii="Arial" w:eastAsia="Cambria" w:hAnsi="Arial"/>
          <w:b/>
          <w:color w:val="007DC3"/>
          <w:sz w:val="20"/>
          <w:szCs w:val="24"/>
          <w:lang w:val="en-US"/>
        </w:rPr>
        <w:t>Reporting to the Agency Management Committee</w:t>
      </w:r>
    </w:p>
    <w:p w:rsidR="009811D9" w:rsidRPr="00E61F90" w:rsidRDefault="00D305B6" w:rsidP="00E61F90">
      <w:pPr>
        <w:pStyle w:val="ListParagraph"/>
        <w:numPr>
          <w:ilvl w:val="0"/>
          <w:numId w:val="25"/>
        </w:numPr>
        <w:autoSpaceDE w:val="0"/>
        <w:autoSpaceDN w:val="0"/>
        <w:adjustRightInd w:val="0"/>
        <w:spacing w:before="200" w:line="240" w:lineRule="auto"/>
        <w:ind w:left="357" w:hanging="357"/>
        <w:rPr>
          <w:rFonts w:cs="Arial"/>
          <w:sz w:val="20"/>
          <w:szCs w:val="20"/>
        </w:rPr>
      </w:pPr>
      <w:r w:rsidRPr="00EB355D">
        <w:rPr>
          <w:rFonts w:cs="Arial"/>
          <w:sz w:val="20"/>
          <w:szCs w:val="20"/>
        </w:rPr>
        <w:t xml:space="preserve">The minutes of the </w:t>
      </w:r>
      <w:r>
        <w:rPr>
          <w:rFonts w:cs="Arial"/>
          <w:sz w:val="20"/>
          <w:szCs w:val="20"/>
        </w:rPr>
        <w:t xml:space="preserve">Performance Committee </w:t>
      </w:r>
      <w:r w:rsidR="001701B3">
        <w:rPr>
          <w:rFonts w:cs="Arial"/>
          <w:sz w:val="20"/>
          <w:szCs w:val="20"/>
        </w:rPr>
        <w:t>are</w:t>
      </w:r>
      <w:r w:rsidRPr="00EB355D">
        <w:rPr>
          <w:rFonts w:cs="Arial"/>
          <w:sz w:val="20"/>
          <w:szCs w:val="20"/>
        </w:rPr>
        <w:t xml:space="preserve"> considered at the subsequent </w:t>
      </w:r>
      <w:r>
        <w:rPr>
          <w:rFonts w:cs="Arial"/>
          <w:sz w:val="20"/>
          <w:szCs w:val="20"/>
        </w:rPr>
        <w:t>Agency Management Committee meeting and provided to National Boards, at the following round of National Board meetings.</w:t>
      </w:r>
    </w:p>
    <w:p w:rsidR="00580D71" w:rsidRPr="002F780A" w:rsidRDefault="00580D71" w:rsidP="00E61F90">
      <w:pPr>
        <w:pStyle w:val="PlainText"/>
        <w:spacing w:before="200" w:after="200"/>
        <w:ind w:left="0"/>
        <w:jc w:val="left"/>
        <w:rPr>
          <w:rFonts w:cs="Arial"/>
          <w:b/>
          <w:szCs w:val="20"/>
        </w:rPr>
      </w:pPr>
      <w:r w:rsidRPr="00CC1E5F">
        <w:rPr>
          <w:rFonts w:eastAsia="Cambria"/>
          <w:b/>
          <w:color w:val="007DC3"/>
          <w:lang w:val="en-US"/>
        </w:rPr>
        <w:t>Committee activities for reporting period 1 J</w:t>
      </w:r>
      <w:r w:rsidR="004933A6">
        <w:rPr>
          <w:rFonts w:eastAsia="Cambria"/>
          <w:b/>
          <w:color w:val="007DC3"/>
          <w:lang w:val="en-US"/>
        </w:rPr>
        <w:t>uly</w:t>
      </w:r>
      <w:r w:rsidR="004F5C42">
        <w:rPr>
          <w:rFonts w:eastAsia="Cambria"/>
          <w:b/>
          <w:color w:val="007DC3"/>
          <w:lang w:val="en-US"/>
        </w:rPr>
        <w:t xml:space="preserve"> 2015</w:t>
      </w:r>
      <w:r w:rsidRPr="00CC1E5F">
        <w:rPr>
          <w:rFonts w:eastAsia="Cambria"/>
          <w:b/>
          <w:color w:val="007DC3"/>
          <w:lang w:val="en-US"/>
        </w:rPr>
        <w:t xml:space="preserve"> – 3</w:t>
      </w:r>
      <w:r w:rsidR="004933A6">
        <w:rPr>
          <w:rFonts w:eastAsia="Cambria"/>
          <w:b/>
          <w:color w:val="007DC3"/>
          <w:lang w:val="en-US"/>
        </w:rPr>
        <w:t>0 June 2016</w:t>
      </w:r>
      <w:r w:rsidRPr="002F780A">
        <w:rPr>
          <w:rFonts w:cs="Arial"/>
          <w:b/>
          <w:szCs w:val="20"/>
        </w:rPr>
        <w:t xml:space="preserve"> </w:t>
      </w:r>
    </w:p>
    <w:p w:rsidR="00130C0A" w:rsidRDefault="001701B3" w:rsidP="00F51985">
      <w:pPr>
        <w:pStyle w:val="PlainText"/>
        <w:numPr>
          <w:ilvl w:val="1"/>
          <w:numId w:val="17"/>
        </w:numPr>
        <w:spacing w:before="200"/>
        <w:ind w:left="357" w:hanging="357"/>
        <w:contextualSpacing/>
        <w:jc w:val="left"/>
        <w:rPr>
          <w:rFonts w:cs="Arial"/>
          <w:szCs w:val="20"/>
        </w:rPr>
      </w:pPr>
      <w:r w:rsidRPr="001701B3">
        <w:rPr>
          <w:rFonts w:cs="Arial"/>
          <w:szCs w:val="20"/>
        </w:rPr>
        <w:t>Implementation</w:t>
      </w:r>
      <w:r w:rsidR="00D07C1F" w:rsidRPr="001701B3">
        <w:rPr>
          <w:rFonts w:cs="Arial"/>
          <w:szCs w:val="20"/>
        </w:rPr>
        <w:t xml:space="preserve"> of a new Performance Reporting Framework</w:t>
      </w:r>
      <w:r w:rsidR="006C1A39" w:rsidRPr="001701B3">
        <w:rPr>
          <w:rFonts w:cs="Arial"/>
          <w:szCs w:val="20"/>
        </w:rPr>
        <w:t xml:space="preserve"> </w:t>
      </w:r>
      <w:r w:rsidR="00130C0A" w:rsidRPr="001701B3">
        <w:rPr>
          <w:rFonts w:cs="Arial"/>
          <w:szCs w:val="20"/>
        </w:rPr>
        <w:t>which is linked to AHPRA’s long term strategy.</w:t>
      </w:r>
    </w:p>
    <w:p w:rsidR="001B0138" w:rsidRPr="001701B3" w:rsidRDefault="001B0138" w:rsidP="00F51985">
      <w:pPr>
        <w:pStyle w:val="PlainText"/>
        <w:numPr>
          <w:ilvl w:val="1"/>
          <w:numId w:val="17"/>
        </w:numPr>
        <w:spacing w:before="200"/>
        <w:ind w:left="357" w:hanging="357"/>
        <w:contextualSpacing/>
        <w:jc w:val="left"/>
        <w:rPr>
          <w:rFonts w:cs="Arial"/>
          <w:szCs w:val="20"/>
        </w:rPr>
      </w:pPr>
      <w:r>
        <w:rPr>
          <w:rFonts w:cs="Arial"/>
          <w:szCs w:val="20"/>
        </w:rPr>
        <w:t xml:space="preserve">Implementation of the </w:t>
      </w:r>
      <w:r>
        <w:t>Reporting Framework with the Queensland Office of the Health Ombudsman.</w:t>
      </w:r>
    </w:p>
    <w:p w:rsidR="00D07C1F" w:rsidRDefault="001B0138" w:rsidP="00F51985">
      <w:pPr>
        <w:pStyle w:val="PlainText"/>
        <w:numPr>
          <w:ilvl w:val="1"/>
          <w:numId w:val="17"/>
        </w:numPr>
        <w:spacing w:before="200"/>
        <w:ind w:left="357" w:hanging="357"/>
        <w:contextualSpacing/>
        <w:jc w:val="left"/>
        <w:rPr>
          <w:rFonts w:cs="Arial"/>
          <w:szCs w:val="20"/>
        </w:rPr>
      </w:pPr>
      <w:r w:rsidRPr="001B0138">
        <w:rPr>
          <w:rFonts w:cs="Arial"/>
          <w:szCs w:val="20"/>
        </w:rPr>
        <w:t>Monitoring</w:t>
      </w:r>
      <w:r w:rsidR="00130C0A" w:rsidRPr="001B0138">
        <w:rPr>
          <w:rFonts w:cs="Arial"/>
          <w:szCs w:val="20"/>
        </w:rPr>
        <w:t xml:space="preserve"> of </w:t>
      </w:r>
      <w:r>
        <w:rPr>
          <w:rFonts w:cs="Arial"/>
          <w:szCs w:val="20"/>
        </w:rPr>
        <w:t>the</w:t>
      </w:r>
      <w:r w:rsidR="006C1A39" w:rsidRPr="001B0138">
        <w:rPr>
          <w:rFonts w:cs="Arial"/>
          <w:szCs w:val="20"/>
        </w:rPr>
        <w:t xml:space="preserve"> Notifications Quality Reviews</w:t>
      </w:r>
      <w:r w:rsidR="00B06925" w:rsidRPr="001B0138">
        <w:rPr>
          <w:rFonts w:cs="Arial"/>
          <w:szCs w:val="20"/>
        </w:rPr>
        <w:t xml:space="preserve"> </w:t>
      </w:r>
      <w:r>
        <w:rPr>
          <w:rFonts w:cs="Arial"/>
          <w:szCs w:val="20"/>
        </w:rPr>
        <w:t>action plan</w:t>
      </w:r>
      <w:r w:rsidR="00130C0A" w:rsidRPr="001B0138">
        <w:rPr>
          <w:rFonts w:cs="Arial"/>
          <w:szCs w:val="20"/>
        </w:rPr>
        <w:t>.</w:t>
      </w:r>
    </w:p>
    <w:p w:rsidR="00522B37" w:rsidRPr="00522B37" w:rsidRDefault="001B0138" w:rsidP="001B0138">
      <w:pPr>
        <w:pStyle w:val="PlainText"/>
        <w:numPr>
          <w:ilvl w:val="0"/>
          <w:numId w:val="44"/>
        </w:numPr>
        <w:spacing w:before="200"/>
        <w:ind w:left="714" w:hanging="357"/>
        <w:contextualSpacing/>
        <w:jc w:val="left"/>
        <w:rPr>
          <w:rFonts w:cs="Arial"/>
          <w:szCs w:val="20"/>
        </w:rPr>
      </w:pPr>
      <w:r>
        <w:t>Review of open (aged) health and performance assessments</w:t>
      </w:r>
    </w:p>
    <w:p w:rsidR="001B0138" w:rsidRPr="001B0138" w:rsidRDefault="00522B37" w:rsidP="001B0138">
      <w:pPr>
        <w:pStyle w:val="PlainText"/>
        <w:numPr>
          <w:ilvl w:val="0"/>
          <w:numId w:val="44"/>
        </w:numPr>
        <w:spacing w:before="200"/>
        <w:ind w:left="714" w:hanging="357"/>
        <w:contextualSpacing/>
        <w:jc w:val="left"/>
        <w:rPr>
          <w:rFonts w:cs="Arial"/>
          <w:szCs w:val="20"/>
        </w:rPr>
      </w:pPr>
      <w:r>
        <w:t>S</w:t>
      </w:r>
      <w:r w:rsidR="001B0138">
        <w:t>tatus reports</w:t>
      </w:r>
      <w:r>
        <w:t xml:space="preserve"> on aged investigations and implementation plan of recommendations from review.</w:t>
      </w:r>
    </w:p>
    <w:p w:rsidR="001B0138" w:rsidRPr="00522B37" w:rsidRDefault="001B0138" w:rsidP="001B0138">
      <w:pPr>
        <w:pStyle w:val="PlainText"/>
        <w:numPr>
          <w:ilvl w:val="0"/>
          <w:numId w:val="44"/>
        </w:numPr>
        <w:spacing w:before="200"/>
        <w:ind w:left="714" w:hanging="357"/>
        <w:contextualSpacing/>
        <w:jc w:val="left"/>
        <w:rPr>
          <w:rFonts w:cs="Arial"/>
          <w:szCs w:val="20"/>
        </w:rPr>
      </w:pPr>
      <w:r>
        <w:t>Report on review of N</w:t>
      </w:r>
      <w:r w:rsidR="00522B37">
        <w:t xml:space="preserve">o </w:t>
      </w:r>
      <w:r>
        <w:t>F</w:t>
      </w:r>
      <w:r w:rsidR="00522B37">
        <w:t xml:space="preserve">urther </w:t>
      </w:r>
      <w:r>
        <w:t>A</w:t>
      </w:r>
      <w:r w:rsidR="00522B37">
        <w:t xml:space="preserve">ction </w:t>
      </w:r>
      <w:r>
        <w:t>outcomes</w:t>
      </w:r>
    </w:p>
    <w:p w:rsidR="00522B37" w:rsidRPr="001B0138" w:rsidRDefault="00522B37" w:rsidP="001B0138">
      <w:pPr>
        <w:pStyle w:val="PlainText"/>
        <w:numPr>
          <w:ilvl w:val="0"/>
          <w:numId w:val="44"/>
        </w:numPr>
        <w:spacing w:before="200"/>
        <w:ind w:left="714" w:hanging="357"/>
        <w:contextualSpacing/>
        <w:jc w:val="left"/>
        <w:rPr>
          <w:rFonts w:cs="Arial"/>
          <w:szCs w:val="20"/>
        </w:rPr>
      </w:pPr>
      <w:r>
        <w:t>Investigation Management Planning.</w:t>
      </w:r>
    </w:p>
    <w:p w:rsidR="00627096" w:rsidRPr="001B0138" w:rsidRDefault="00627096" w:rsidP="00F51985">
      <w:pPr>
        <w:pStyle w:val="PlainText"/>
        <w:numPr>
          <w:ilvl w:val="1"/>
          <w:numId w:val="17"/>
        </w:numPr>
        <w:spacing w:after="200"/>
        <w:ind w:left="357" w:hanging="357"/>
        <w:contextualSpacing/>
        <w:jc w:val="left"/>
        <w:rPr>
          <w:rFonts w:cs="Arial"/>
          <w:szCs w:val="20"/>
        </w:rPr>
      </w:pPr>
      <w:r w:rsidRPr="001B0138">
        <w:rPr>
          <w:rFonts w:cs="Arial"/>
          <w:szCs w:val="20"/>
        </w:rPr>
        <w:t xml:space="preserve">Review of </w:t>
      </w:r>
      <w:r w:rsidR="001B0138" w:rsidRPr="001B0138">
        <w:rPr>
          <w:rFonts w:cs="Arial"/>
          <w:szCs w:val="20"/>
        </w:rPr>
        <w:t>Performance Committee Terms of Reference</w:t>
      </w:r>
      <w:r w:rsidR="00522B37">
        <w:rPr>
          <w:rFonts w:cs="Arial"/>
          <w:szCs w:val="20"/>
        </w:rPr>
        <w:t>.</w:t>
      </w:r>
    </w:p>
    <w:p w:rsidR="00580D71" w:rsidRPr="001B0138" w:rsidRDefault="00BB4C11" w:rsidP="00130C0A">
      <w:pPr>
        <w:pStyle w:val="PlainText"/>
        <w:numPr>
          <w:ilvl w:val="1"/>
          <w:numId w:val="17"/>
        </w:numPr>
        <w:spacing w:before="200"/>
        <w:ind w:left="357" w:hanging="357"/>
        <w:contextualSpacing/>
        <w:jc w:val="left"/>
        <w:rPr>
          <w:rFonts w:cs="Arial"/>
          <w:szCs w:val="20"/>
        </w:rPr>
      </w:pPr>
      <w:r w:rsidRPr="001B0138">
        <w:rPr>
          <w:rFonts w:cs="Arial"/>
          <w:szCs w:val="20"/>
        </w:rPr>
        <w:t>Consider</w:t>
      </w:r>
      <w:r w:rsidR="001B0138" w:rsidRPr="001B0138">
        <w:rPr>
          <w:rFonts w:cs="Arial"/>
          <w:szCs w:val="20"/>
        </w:rPr>
        <w:t>ation of</w:t>
      </w:r>
      <w:r w:rsidRPr="001B0138">
        <w:rPr>
          <w:rFonts w:cs="Arial"/>
          <w:szCs w:val="20"/>
        </w:rPr>
        <w:t xml:space="preserve"> quarterly performance reports and specific commentary to National Boards</w:t>
      </w:r>
      <w:r w:rsidR="00522B37">
        <w:rPr>
          <w:rFonts w:cs="Arial"/>
          <w:szCs w:val="20"/>
        </w:rPr>
        <w:t>.</w:t>
      </w:r>
    </w:p>
    <w:p w:rsidR="003C1FBB" w:rsidRPr="001B0138" w:rsidRDefault="00522B37" w:rsidP="003C1FBB">
      <w:pPr>
        <w:pStyle w:val="PlainText"/>
        <w:numPr>
          <w:ilvl w:val="1"/>
          <w:numId w:val="17"/>
        </w:numPr>
        <w:ind w:left="357" w:hanging="357"/>
        <w:jc w:val="left"/>
        <w:rPr>
          <w:rFonts w:cs="Arial"/>
          <w:szCs w:val="20"/>
        </w:rPr>
      </w:pPr>
      <w:r>
        <w:rPr>
          <w:rFonts w:cs="Arial"/>
          <w:szCs w:val="20"/>
        </w:rPr>
        <w:t>Q</w:t>
      </w:r>
      <w:r w:rsidR="0069674C" w:rsidRPr="001B0138">
        <w:rPr>
          <w:rFonts w:cs="Arial"/>
          <w:szCs w:val="20"/>
        </w:rPr>
        <w:t xml:space="preserve">uarterly </w:t>
      </w:r>
      <w:r>
        <w:rPr>
          <w:rFonts w:cs="Arial"/>
          <w:szCs w:val="20"/>
        </w:rPr>
        <w:t xml:space="preserve">reporting </w:t>
      </w:r>
      <w:r w:rsidR="0069674C" w:rsidRPr="001B0138">
        <w:rPr>
          <w:rFonts w:cs="Arial"/>
          <w:szCs w:val="20"/>
        </w:rPr>
        <w:t xml:space="preserve">on performance to the </w:t>
      </w:r>
      <w:r w:rsidR="00D847AB" w:rsidRPr="001B0138">
        <w:rPr>
          <w:rFonts w:cs="Arial"/>
          <w:szCs w:val="20"/>
        </w:rPr>
        <w:t>A</w:t>
      </w:r>
      <w:r w:rsidR="001B0138" w:rsidRPr="001B0138">
        <w:rPr>
          <w:rFonts w:cs="Arial"/>
          <w:szCs w:val="20"/>
        </w:rPr>
        <w:t xml:space="preserve">gency </w:t>
      </w:r>
      <w:r w:rsidR="00D847AB" w:rsidRPr="001B0138">
        <w:rPr>
          <w:rFonts w:cs="Arial"/>
          <w:szCs w:val="20"/>
        </w:rPr>
        <w:t>Man</w:t>
      </w:r>
      <w:r w:rsidR="001B0138" w:rsidRPr="001B0138">
        <w:rPr>
          <w:rFonts w:cs="Arial"/>
          <w:szCs w:val="20"/>
        </w:rPr>
        <w:t xml:space="preserve">agement </w:t>
      </w:r>
      <w:r w:rsidR="00D847AB" w:rsidRPr="001B0138">
        <w:rPr>
          <w:rFonts w:cs="Arial"/>
          <w:szCs w:val="20"/>
        </w:rPr>
        <w:t>C</w:t>
      </w:r>
      <w:r w:rsidR="001B0138" w:rsidRPr="001B0138">
        <w:rPr>
          <w:rFonts w:cs="Arial"/>
          <w:szCs w:val="20"/>
        </w:rPr>
        <w:t>ommittee</w:t>
      </w:r>
      <w:r w:rsidR="003C1FBB" w:rsidRPr="001B0138">
        <w:rPr>
          <w:rFonts w:cs="Arial"/>
          <w:szCs w:val="20"/>
        </w:rPr>
        <w:t>.</w:t>
      </w:r>
    </w:p>
    <w:p w:rsidR="00580D71" w:rsidRPr="00D305B6" w:rsidRDefault="00580D71" w:rsidP="00001BBF">
      <w:pPr>
        <w:pStyle w:val="PlainText"/>
        <w:spacing w:before="200" w:after="200"/>
        <w:ind w:left="0"/>
        <w:jc w:val="left"/>
        <w:rPr>
          <w:rFonts w:eastAsia="ヒラギノ角ゴ Pro W3" w:cs="Arial"/>
          <w:b/>
          <w:szCs w:val="20"/>
          <w:highlight w:val="yellow"/>
        </w:rPr>
      </w:pPr>
      <w:r w:rsidRPr="00522B37">
        <w:rPr>
          <w:rFonts w:eastAsia="ヒラギノ角ゴ Pro W3" w:cs="Arial"/>
          <w:b/>
          <w:szCs w:val="20"/>
        </w:rPr>
        <w:t>Significant Issues</w:t>
      </w:r>
    </w:p>
    <w:p w:rsidR="00580D71" w:rsidRPr="009B0DD8" w:rsidRDefault="00580D71" w:rsidP="00E61F90">
      <w:pPr>
        <w:pStyle w:val="PlainText"/>
        <w:numPr>
          <w:ilvl w:val="0"/>
          <w:numId w:val="17"/>
        </w:numPr>
        <w:spacing w:before="200" w:after="200"/>
        <w:contextualSpacing/>
        <w:jc w:val="left"/>
        <w:rPr>
          <w:rFonts w:cs="Arial"/>
          <w:szCs w:val="20"/>
        </w:rPr>
      </w:pPr>
      <w:r w:rsidRPr="009B0DD8">
        <w:rPr>
          <w:rFonts w:cs="Arial"/>
          <w:szCs w:val="20"/>
        </w:rPr>
        <w:t>There were no significa</w:t>
      </w:r>
      <w:r w:rsidR="00F60DD0" w:rsidRPr="009B0DD8">
        <w:rPr>
          <w:rFonts w:cs="Arial"/>
          <w:szCs w:val="20"/>
        </w:rPr>
        <w:t>nt issues considered during the 2015</w:t>
      </w:r>
      <w:r w:rsidR="009B0DD8" w:rsidRPr="009B0DD8">
        <w:rPr>
          <w:rFonts w:cs="Arial"/>
          <w:szCs w:val="20"/>
        </w:rPr>
        <w:t>/16</w:t>
      </w:r>
      <w:r w:rsidR="00F60DD0" w:rsidRPr="009B0DD8">
        <w:rPr>
          <w:rFonts w:cs="Arial"/>
          <w:szCs w:val="20"/>
        </w:rPr>
        <w:t xml:space="preserve"> </w:t>
      </w:r>
      <w:r w:rsidR="00001BBF" w:rsidRPr="009B0DD8">
        <w:rPr>
          <w:rFonts w:cs="Arial"/>
          <w:szCs w:val="20"/>
        </w:rPr>
        <w:t>reporting</w:t>
      </w:r>
      <w:r w:rsidRPr="009B0DD8">
        <w:rPr>
          <w:rFonts w:cs="Arial"/>
          <w:szCs w:val="20"/>
        </w:rPr>
        <w:t xml:space="preserve"> period which could not be handled through routine Committee procedures.</w:t>
      </w:r>
    </w:p>
    <w:p w:rsidR="00580D71" w:rsidRPr="009B0DD8" w:rsidRDefault="00580D71" w:rsidP="00001BBF">
      <w:pPr>
        <w:pStyle w:val="PlainText"/>
        <w:numPr>
          <w:ilvl w:val="0"/>
          <w:numId w:val="17"/>
        </w:numPr>
        <w:spacing w:before="200"/>
        <w:ind w:left="357" w:hanging="357"/>
        <w:contextualSpacing/>
        <w:jc w:val="left"/>
        <w:rPr>
          <w:rFonts w:cs="Arial"/>
          <w:szCs w:val="20"/>
        </w:rPr>
      </w:pPr>
      <w:r w:rsidRPr="009B0DD8">
        <w:rPr>
          <w:rFonts w:cs="Arial"/>
          <w:szCs w:val="20"/>
        </w:rPr>
        <w:t>Matters of note considered by the Committee included:</w:t>
      </w:r>
    </w:p>
    <w:p w:rsidR="00F01E6C" w:rsidRPr="00EB1C61" w:rsidRDefault="00EB1C61" w:rsidP="00E958F3">
      <w:pPr>
        <w:pStyle w:val="CommentText"/>
        <w:numPr>
          <w:ilvl w:val="1"/>
          <w:numId w:val="38"/>
        </w:numPr>
        <w:spacing w:after="0"/>
        <w:ind w:left="714" w:hanging="357"/>
      </w:pPr>
      <w:r w:rsidRPr="00EB1C61">
        <w:rPr>
          <w:sz w:val="20"/>
        </w:rPr>
        <w:t>Contributing factors to performance improvement including t</w:t>
      </w:r>
      <w:r w:rsidR="00F01E6C" w:rsidRPr="00EB1C61">
        <w:rPr>
          <w:sz w:val="20"/>
        </w:rPr>
        <w:t>he approach Boards take to confirm decisions and actions and how greater national consistency can be achieved</w:t>
      </w:r>
      <w:r w:rsidRPr="00EB1C61">
        <w:rPr>
          <w:sz w:val="20"/>
        </w:rPr>
        <w:t xml:space="preserve"> and delegations to close an inquiry.</w:t>
      </w:r>
    </w:p>
    <w:p w:rsidR="009B0DD8" w:rsidRDefault="009B0DD8" w:rsidP="00E958F3">
      <w:pPr>
        <w:pStyle w:val="CommentText"/>
        <w:numPr>
          <w:ilvl w:val="1"/>
          <w:numId w:val="38"/>
        </w:numPr>
        <w:spacing w:after="0"/>
        <w:ind w:left="714" w:hanging="357"/>
        <w:rPr>
          <w:sz w:val="20"/>
        </w:rPr>
      </w:pPr>
      <w:r w:rsidRPr="009B0DD8">
        <w:rPr>
          <w:sz w:val="20"/>
        </w:rPr>
        <w:t>Consideration of the Business Intelligence Portal</w:t>
      </w:r>
    </w:p>
    <w:p w:rsidR="009B0DD8" w:rsidRDefault="009B0DD8" w:rsidP="00E958F3">
      <w:pPr>
        <w:pStyle w:val="CommentText"/>
        <w:numPr>
          <w:ilvl w:val="1"/>
          <w:numId w:val="38"/>
        </w:numPr>
        <w:spacing w:after="0"/>
        <w:ind w:left="714" w:hanging="357"/>
        <w:rPr>
          <w:sz w:val="20"/>
        </w:rPr>
      </w:pPr>
      <w:r>
        <w:rPr>
          <w:sz w:val="20"/>
        </w:rPr>
        <w:t xml:space="preserve">Review of compliance management </w:t>
      </w:r>
      <w:r w:rsidR="00EB1C61">
        <w:rPr>
          <w:sz w:val="20"/>
        </w:rPr>
        <w:t>–</w:t>
      </w:r>
      <w:r>
        <w:rPr>
          <w:sz w:val="20"/>
        </w:rPr>
        <w:t xml:space="preserve"> ACT</w:t>
      </w:r>
    </w:p>
    <w:p w:rsidR="00EB1C61" w:rsidRDefault="00EB1C61" w:rsidP="00E958F3">
      <w:pPr>
        <w:pStyle w:val="CommentText"/>
        <w:numPr>
          <w:ilvl w:val="1"/>
          <w:numId w:val="38"/>
        </w:numPr>
        <w:spacing w:after="0"/>
        <w:ind w:left="714" w:hanging="357"/>
        <w:rPr>
          <w:sz w:val="20"/>
        </w:rPr>
      </w:pPr>
      <w:r>
        <w:rPr>
          <w:sz w:val="20"/>
        </w:rPr>
        <w:t>Notifications performance in Queensland.</w:t>
      </w:r>
    </w:p>
    <w:p w:rsidR="00EB1C61" w:rsidRPr="009B0DD8" w:rsidRDefault="00EB1C61" w:rsidP="00E958F3">
      <w:pPr>
        <w:pStyle w:val="CommentText"/>
        <w:numPr>
          <w:ilvl w:val="1"/>
          <w:numId w:val="38"/>
        </w:numPr>
        <w:spacing w:after="0"/>
        <w:ind w:left="714" w:hanging="357"/>
        <w:rPr>
          <w:sz w:val="20"/>
        </w:rPr>
      </w:pPr>
      <w:r>
        <w:rPr>
          <w:sz w:val="20"/>
        </w:rPr>
        <w:t>Contributing factors to performance improvement.</w:t>
      </w:r>
    </w:p>
    <w:p w:rsidR="00580D71" w:rsidRPr="00EC6591" w:rsidRDefault="00580D71" w:rsidP="00E61F90">
      <w:pPr>
        <w:pStyle w:val="PlainText"/>
        <w:spacing w:before="200" w:after="200"/>
        <w:ind w:left="0"/>
        <w:jc w:val="left"/>
        <w:rPr>
          <w:rFonts w:eastAsia="Cambria"/>
          <w:b/>
          <w:noProof/>
        </w:rPr>
      </w:pPr>
      <w:r w:rsidRPr="00EC6591">
        <w:rPr>
          <w:rFonts w:eastAsia="Cambria"/>
          <w:b/>
          <w:noProof/>
        </w:rPr>
        <w:t>Looking Ahead</w:t>
      </w:r>
    </w:p>
    <w:p w:rsidR="003904DD" w:rsidRPr="00EC6591" w:rsidRDefault="00897696" w:rsidP="001206FC">
      <w:pPr>
        <w:spacing w:before="200" w:after="0" w:line="240" w:lineRule="auto"/>
        <w:contextualSpacing/>
        <w:rPr>
          <w:rFonts w:cs="Arial"/>
          <w:sz w:val="20"/>
          <w:szCs w:val="20"/>
        </w:rPr>
      </w:pPr>
      <w:r w:rsidRPr="00EC6591">
        <w:rPr>
          <w:rFonts w:cs="Arial"/>
          <w:sz w:val="20"/>
          <w:szCs w:val="20"/>
        </w:rPr>
        <w:t>The Committee have highlighted the following key areas</w:t>
      </w:r>
      <w:r w:rsidR="00146553">
        <w:rPr>
          <w:rFonts w:cs="Arial"/>
          <w:sz w:val="20"/>
          <w:szCs w:val="20"/>
        </w:rPr>
        <w:t>:</w:t>
      </w:r>
    </w:p>
    <w:p w:rsidR="00926E89" w:rsidRDefault="009C2E43" w:rsidP="00926E89">
      <w:pPr>
        <w:pStyle w:val="PlainText"/>
        <w:numPr>
          <w:ilvl w:val="0"/>
          <w:numId w:val="17"/>
        </w:numPr>
        <w:ind w:left="357" w:hanging="357"/>
        <w:contextualSpacing/>
        <w:jc w:val="left"/>
        <w:rPr>
          <w:rFonts w:cs="Arial"/>
          <w:szCs w:val="20"/>
        </w:rPr>
      </w:pPr>
      <w:r>
        <w:rPr>
          <w:rFonts w:cs="Arial"/>
          <w:szCs w:val="20"/>
        </w:rPr>
        <w:t>Further opportunities to work with Tribunals to streamline timeframes, whenever possible</w:t>
      </w:r>
      <w:r w:rsidR="00977FF4">
        <w:rPr>
          <w:rFonts w:cs="Arial"/>
          <w:szCs w:val="20"/>
        </w:rPr>
        <w:t>.</w:t>
      </w:r>
    </w:p>
    <w:p w:rsidR="00BB5D13" w:rsidRDefault="009C2E43" w:rsidP="00926E89">
      <w:pPr>
        <w:pStyle w:val="PlainText"/>
        <w:numPr>
          <w:ilvl w:val="0"/>
          <w:numId w:val="17"/>
        </w:numPr>
        <w:ind w:left="357" w:hanging="357"/>
        <w:contextualSpacing/>
        <w:jc w:val="left"/>
        <w:rPr>
          <w:rFonts w:cs="Arial"/>
          <w:szCs w:val="20"/>
        </w:rPr>
      </w:pPr>
      <w:r>
        <w:rPr>
          <w:rFonts w:cs="Arial"/>
          <w:szCs w:val="20"/>
        </w:rPr>
        <w:t>R</w:t>
      </w:r>
      <w:r w:rsidR="00146553">
        <w:rPr>
          <w:rFonts w:cs="Arial"/>
          <w:szCs w:val="20"/>
        </w:rPr>
        <w:t>eview of the Operational Directive</w:t>
      </w:r>
      <w:r w:rsidR="00232A42">
        <w:rPr>
          <w:rFonts w:cs="Arial"/>
          <w:szCs w:val="20"/>
        </w:rPr>
        <w:t xml:space="preserve"> and Investigations Management</w:t>
      </w:r>
      <w:r>
        <w:rPr>
          <w:rFonts w:cs="Arial"/>
          <w:szCs w:val="20"/>
        </w:rPr>
        <w:t xml:space="preserve"> to clarify the role of allocated Board members</w:t>
      </w:r>
      <w:r w:rsidR="00977FF4">
        <w:rPr>
          <w:rFonts w:cs="Arial"/>
          <w:szCs w:val="20"/>
        </w:rPr>
        <w:t>.</w:t>
      </w:r>
    </w:p>
    <w:p w:rsidR="00977FF4" w:rsidRPr="009C2E43" w:rsidRDefault="009C2E43" w:rsidP="00926E89">
      <w:pPr>
        <w:pStyle w:val="PlainText"/>
        <w:numPr>
          <w:ilvl w:val="0"/>
          <w:numId w:val="17"/>
        </w:numPr>
        <w:ind w:left="357" w:hanging="357"/>
        <w:contextualSpacing/>
        <w:jc w:val="left"/>
        <w:rPr>
          <w:rFonts w:cs="Arial"/>
          <w:szCs w:val="20"/>
        </w:rPr>
      </w:pPr>
      <w:r>
        <w:rPr>
          <w:szCs w:val="22"/>
        </w:rPr>
        <w:t xml:space="preserve">Further work on accurate measures of </w:t>
      </w:r>
      <w:r w:rsidR="00977FF4">
        <w:rPr>
          <w:szCs w:val="22"/>
        </w:rPr>
        <w:t>productivity.</w:t>
      </w:r>
    </w:p>
    <w:p w:rsidR="009C2E43" w:rsidRPr="00977FF4" w:rsidRDefault="009C2E43" w:rsidP="00926E89">
      <w:pPr>
        <w:pStyle w:val="PlainText"/>
        <w:numPr>
          <w:ilvl w:val="0"/>
          <w:numId w:val="17"/>
        </w:numPr>
        <w:ind w:left="357" w:hanging="357"/>
        <w:contextualSpacing/>
        <w:jc w:val="left"/>
        <w:rPr>
          <w:rFonts w:cs="Arial"/>
          <w:szCs w:val="20"/>
        </w:rPr>
      </w:pPr>
      <w:r>
        <w:rPr>
          <w:szCs w:val="22"/>
        </w:rPr>
        <w:t>Continued work to build a positive reporting and measurement culture within AHPRA</w:t>
      </w:r>
    </w:p>
    <w:p w:rsidR="00977FF4" w:rsidRPr="00EC6591" w:rsidRDefault="00977FF4" w:rsidP="00926E89">
      <w:pPr>
        <w:pStyle w:val="PlainText"/>
        <w:numPr>
          <w:ilvl w:val="0"/>
          <w:numId w:val="17"/>
        </w:numPr>
        <w:ind w:left="357" w:hanging="357"/>
        <w:contextualSpacing/>
        <w:jc w:val="left"/>
        <w:rPr>
          <w:rFonts w:cs="Arial"/>
          <w:szCs w:val="20"/>
        </w:rPr>
      </w:pPr>
      <w:r>
        <w:t>Launch of business intelligence portal</w:t>
      </w:r>
    </w:p>
    <w:p w:rsidR="003C1FBB" w:rsidRPr="006F1F49" w:rsidRDefault="003C1FBB" w:rsidP="002F780A">
      <w:pPr>
        <w:spacing w:before="200" w:line="240" w:lineRule="auto"/>
        <w:rPr>
          <w:rFonts w:eastAsiaTheme="minorHAnsi" w:cs="Arial"/>
          <w:sz w:val="20"/>
          <w:szCs w:val="20"/>
          <w:lang w:val="en-GB"/>
        </w:rPr>
      </w:pPr>
    </w:p>
    <w:sectPr w:rsidR="003C1FBB" w:rsidRPr="006F1F49" w:rsidSect="004A1A27">
      <w:footerReference w:type="default" r:id="rId8"/>
      <w:headerReference w:type="first" r:id="rId9"/>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53" w:rsidRDefault="00146553">
      <w:pPr>
        <w:spacing w:after="0" w:line="240" w:lineRule="auto"/>
      </w:pPr>
      <w:r>
        <w:separator/>
      </w:r>
    </w:p>
  </w:endnote>
  <w:endnote w:type="continuationSeparator" w:id="0">
    <w:p w:rsidR="00146553" w:rsidRDefault="0014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553" w:rsidRPr="00522DAE" w:rsidRDefault="00146553" w:rsidP="00522DAE">
    <w:pPr>
      <w:pStyle w:val="Footer"/>
      <w:tabs>
        <w:tab w:val="clear" w:pos="4320"/>
        <w:tab w:val="clear" w:pos="8640"/>
        <w:tab w:val="right" w:pos="9072"/>
      </w:tabs>
      <w:spacing w:before="240" w:after="0" w:line="240" w:lineRule="auto"/>
      <w:rPr>
        <w:sz w:val="16"/>
        <w:szCs w:val="16"/>
      </w:rPr>
    </w:pPr>
    <w:r>
      <w:rPr>
        <w:sz w:val="16"/>
        <w:szCs w:val="16"/>
      </w:rPr>
      <w:t>PC 20</w:t>
    </w:r>
    <w:r w:rsidRPr="00522DAE">
      <w:rPr>
        <w:sz w:val="16"/>
        <w:szCs w:val="16"/>
      </w:rPr>
      <w:t>15</w:t>
    </w:r>
    <w:r>
      <w:rPr>
        <w:sz w:val="16"/>
        <w:szCs w:val="16"/>
      </w:rPr>
      <w:t>/16</w:t>
    </w:r>
    <w:r w:rsidRPr="00522DAE">
      <w:rPr>
        <w:sz w:val="16"/>
        <w:szCs w:val="16"/>
      </w:rPr>
      <w:t xml:space="preserve"> annual report</w:t>
    </w:r>
    <w:r w:rsidRPr="00522DAE">
      <w:rPr>
        <w:sz w:val="16"/>
        <w:szCs w:val="16"/>
      </w:rPr>
      <w:tab/>
      <w:t xml:space="preserve">Page </w:t>
    </w:r>
    <w:r w:rsidR="00DA497A" w:rsidRPr="00522DAE">
      <w:rPr>
        <w:b/>
        <w:sz w:val="16"/>
        <w:szCs w:val="16"/>
      </w:rPr>
      <w:fldChar w:fldCharType="begin"/>
    </w:r>
    <w:r w:rsidRPr="00522DAE">
      <w:rPr>
        <w:b/>
        <w:sz w:val="16"/>
        <w:szCs w:val="16"/>
      </w:rPr>
      <w:instrText xml:space="preserve"> PAGE  \* Arabic  \* MERGEFORMAT </w:instrText>
    </w:r>
    <w:r w:rsidR="00DA497A" w:rsidRPr="00522DAE">
      <w:rPr>
        <w:b/>
        <w:sz w:val="16"/>
        <w:szCs w:val="16"/>
      </w:rPr>
      <w:fldChar w:fldCharType="separate"/>
    </w:r>
    <w:r w:rsidR="004F55CB">
      <w:rPr>
        <w:b/>
        <w:noProof/>
        <w:sz w:val="16"/>
        <w:szCs w:val="16"/>
      </w:rPr>
      <w:t>3</w:t>
    </w:r>
    <w:r w:rsidR="00DA497A" w:rsidRPr="00522DAE">
      <w:rPr>
        <w:b/>
        <w:sz w:val="16"/>
        <w:szCs w:val="16"/>
      </w:rPr>
      <w:fldChar w:fldCharType="end"/>
    </w:r>
    <w:r w:rsidRPr="00522DAE">
      <w:rPr>
        <w:sz w:val="16"/>
        <w:szCs w:val="16"/>
      </w:rPr>
      <w:t xml:space="preserve"> of </w:t>
    </w:r>
    <w:r w:rsidR="004F55CB">
      <w:fldChar w:fldCharType="begin"/>
    </w:r>
    <w:r w:rsidR="004F55CB">
      <w:instrText xml:space="preserve"> NUMPAGES  \* Arabic  \* MERGEFORMAT </w:instrText>
    </w:r>
    <w:r w:rsidR="004F55CB">
      <w:fldChar w:fldCharType="separate"/>
    </w:r>
    <w:r w:rsidR="004F55CB" w:rsidRPr="004F55CB">
      <w:rPr>
        <w:b/>
        <w:noProof/>
        <w:sz w:val="16"/>
        <w:szCs w:val="16"/>
      </w:rPr>
      <w:t>3</w:t>
    </w:r>
    <w:r w:rsidR="004F55CB">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53" w:rsidRDefault="00146553">
      <w:pPr>
        <w:spacing w:after="0" w:line="240" w:lineRule="auto"/>
      </w:pPr>
      <w:r>
        <w:separator/>
      </w:r>
    </w:p>
  </w:footnote>
  <w:footnote w:type="continuationSeparator" w:id="0">
    <w:p w:rsidR="00146553" w:rsidRDefault="00146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24" w:rsidRDefault="00C84E24">
    <w:pPr>
      <w:pStyle w:val="Header"/>
    </w:pPr>
  </w:p>
  <w:p w:rsidR="00C84E24" w:rsidRDefault="00C84E24">
    <w:pPr>
      <w:pStyle w:val="Header"/>
    </w:pPr>
    <w:r w:rsidRPr="00C21C53">
      <w:rPr>
        <w:noProof/>
        <w:lang w:eastAsia="en-AU"/>
      </w:rPr>
      <w:drawing>
        <wp:anchor distT="0" distB="0" distL="114300" distR="114300" simplePos="0" relativeHeight="251658752" behindDoc="0" locked="0" layoutInCell="1" allowOverlap="1" wp14:anchorId="2CAECDB6" wp14:editId="49168B78">
          <wp:simplePos x="0" y="0"/>
          <wp:positionH relativeFrom="page">
            <wp:posOffset>3329940</wp:posOffset>
          </wp:positionH>
          <wp:positionV relativeFrom="page">
            <wp:posOffset>634365</wp:posOffset>
          </wp:positionV>
          <wp:extent cx="3505200" cy="1457325"/>
          <wp:effectExtent l="0" t="0" r="0" b="0"/>
          <wp:wrapSquare wrapText="bothSides"/>
          <wp:docPr id="2" name="Picture 0" descr="Australian Health Practitioner Regulation Agency and Combined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C84E24" w:rsidRDefault="00C84E24">
    <w:pPr>
      <w:pStyle w:val="Header"/>
    </w:pPr>
  </w:p>
  <w:p w:rsidR="00C84E24" w:rsidRDefault="00C84E24">
    <w:pPr>
      <w:pStyle w:val="Header"/>
    </w:pPr>
  </w:p>
  <w:p w:rsidR="00C84E24" w:rsidRDefault="00C84E24">
    <w:pPr>
      <w:pStyle w:val="Header"/>
    </w:pPr>
  </w:p>
  <w:p w:rsidR="00146553" w:rsidRDefault="00146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CB3"/>
    <w:multiLevelType w:val="hybridMultilevel"/>
    <w:tmpl w:val="F14EE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029A"/>
    <w:multiLevelType w:val="multilevel"/>
    <w:tmpl w:val="3990B75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15:restartNumberingAfterBreak="0">
    <w:nsid w:val="03ED3E1B"/>
    <w:multiLevelType w:val="hybridMultilevel"/>
    <w:tmpl w:val="8916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10755"/>
    <w:multiLevelType w:val="hybridMultilevel"/>
    <w:tmpl w:val="13F0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05639"/>
    <w:multiLevelType w:val="hybridMultilevel"/>
    <w:tmpl w:val="206413CC"/>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056A71F2"/>
    <w:multiLevelType w:val="hybridMultilevel"/>
    <w:tmpl w:val="632E6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031BD9"/>
    <w:multiLevelType w:val="hybridMultilevel"/>
    <w:tmpl w:val="28C8E1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9EA1666"/>
    <w:multiLevelType w:val="multilevel"/>
    <w:tmpl w:val="5DC4ACEC"/>
    <w:lvl w:ilvl="0">
      <w:start w:val="1"/>
      <w:numFmt w:val="decimal"/>
      <w:lvlText w:val="%1.0"/>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C06769E"/>
    <w:multiLevelType w:val="hybridMultilevel"/>
    <w:tmpl w:val="AB8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C565F"/>
    <w:multiLevelType w:val="hybridMultilevel"/>
    <w:tmpl w:val="88A48088"/>
    <w:lvl w:ilvl="0" w:tplc="422E38E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3637A0A"/>
    <w:multiLevelType w:val="hybridMultilevel"/>
    <w:tmpl w:val="67BAD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854BB"/>
    <w:multiLevelType w:val="multilevel"/>
    <w:tmpl w:val="3990B75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15395972"/>
    <w:multiLevelType w:val="multilevel"/>
    <w:tmpl w:val="3990B75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178B6969"/>
    <w:multiLevelType w:val="hybridMultilevel"/>
    <w:tmpl w:val="65A00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FE06D9"/>
    <w:multiLevelType w:val="hybridMultilevel"/>
    <w:tmpl w:val="A2BE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70B11"/>
    <w:multiLevelType w:val="hybridMultilevel"/>
    <w:tmpl w:val="CA3AC3F8"/>
    <w:lvl w:ilvl="0" w:tplc="78ACF7CA">
      <w:start w:val="1"/>
      <w:numFmt w:val="decimal"/>
      <w:lvlText w:val="%1."/>
      <w:lvlJc w:val="left"/>
      <w:pPr>
        <w:ind w:left="1635" w:hanging="36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6" w15:restartNumberingAfterBreak="0">
    <w:nsid w:val="1C5C1C67"/>
    <w:multiLevelType w:val="hybridMultilevel"/>
    <w:tmpl w:val="ACB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55879"/>
    <w:multiLevelType w:val="hybridMultilevel"/>
    <w:tmpl w:val="A8D2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BD1014"/>
    <w:multiLevelType w:val="hybridMultilevel"/>
    <w:tmpl w:val="1BC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43C63"/>
    <w:multiLevelType w:val="hybridMultilevel"/>
    <w:tmpl w:val="22C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D311DC"/>
    <w:multiLevelType w:val="hybridMultilevel"/>
    <w:tmpl w:val="D572FDB8"/>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DCA5F1B"/>
    <w:multiLevelType w:val="multilevel"/>
    <w:tmpl w:val="0409001D"/>
    <w:styleLink w:val="Style2"/>
    <w:lvl w:ilvl="0">
      <w:start w:val="1"/>
      <w:numFmt w:val="bullet"/>
      <w:lvlText w:val=""/>
      <w:lvlJc w:val="left"/>
      <w:pPr>
        <w:tabs>
          <w:tab w:val="num" w:pos="360"/>
        </w:tabs>
        <w:ind w:left="1800" w:hanging="360"/>
      </w:pPr>
      <w:rPr>
        <w:rFonts w:ascii="Wingdings" w:hAnsi="Wingdings" w:hint="default"/>
        <w:sz w:val="24"/>
      </w:rPr>
    </w:lvl>
    <w:lvl w:ilvl="1">
      <w:start w:val="1"/>
      <w:numFmt w:val="bullet"/>
      <w:lvlText w:val=""/>
      <w:lvlJc w:val="left"/>
      <w:pPr>
        <w:tabs>
          <w:tab w:val="num" w:pos="720"/>
        </w:tabs>
        <w:ind w:left="2520" w:hanging="360"/>
      </w:pPr>
      <w:rPr>
        <w:rFonts w:ascii="Wingdings" w:hAnsi="Wingdings"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EF6629"/>
    <w:multiLevelType w:val="hybridMultilevel"/>
    <w:tmpl w:val="EB5A5A0E"/>
    <w:lvl w:ilvl="0" w:tplc="0C090001">
      <w:start w:val="1"/>
      <w:numFmt w:val="bullet"/>
      <w:lvlText w:val=""/>
      <w:lvlJc w:val="left"/>
      <w:pPr>
        <w:ind w:left="369" w:hanging="360"/>
      </w:pPr>
      <w:rPr>
        <w:rFonts w:ascii="Symbol" w:hAnsi="Symbol" w:hint="default"/>
      </w:rPr>
    </w:lvl>
    <w:lvl w:ilvl="1" w:tplc="0C090003" w:tentative="1">
      <w:start w:val="1"/>
      <w:numFmt w:val="bullet"/>
      <w:lvlText w:val="o"/>
      <w:lvlJc w:val="left"/>
      <w:pPr>
        <w:ind w:left="1089" w:hanging="360"/>
      </w:pPr>
      <w:rPr>
        <w:rFonts w:ascii="Courier New" w:hAnsi="Courier New" w:cs="Arial" w:hint="default"/>
      </w:rPr>
    </w:lvl>
    <w:lvl w:ilvl="2" w:tplc="0C090005" w:tentative="1">
      <w:start w:val="1"/>
      <w:numFmt w:val="bullet"/>
      <w:lvlText w:val=""/>
      <w:lvlJc w:val="left"/>
      <w:pPr>
        <w:ind w:left="1809" w:hanging="360"/>
      </w:pPr>
      <w:rPr>
        <w:rFonts w:ascii="Wingdings" w:hAnsi="Wingdings" w:hint="default"/>
      </w:rPr>
    </w:lvl>
    <w:lvl w:ilvl="3" w:tplc="0C090001" w:tentative="1">
      <w:start w:val="1"/>
      <w:numFmt w:val="bullet"/>
      <w:lvlText w:val=""/>
      <w:lvlJc w:val="left"/>
      <w:pPr>
        <w:ind w:left="2529" w:hanging="360"/>
      </w:pPr>
      <w:rPr>
        <w:rFonts w:ascii="Symbol" w:hAnsi="Symbol" w:hint="default"/>
      </w:rPr>
    </w:lvl>
    <w:lvl w:ilvl="4" w:tplc="0C090003" w:tentative="1">
      <w:start w:val="1"/>
      <w:numFmt w:val="bullet"/>
      <w:lvlText w:val="o"/>
      <w:lvlJc w:val="left"/>
      <w:pPr>
        <w:ind w:left="3249" w:hanging="360"/>
      </w:pPr>
      <w:rPr>
        <w:rFonts w:ascii="Courier New" w:hAnsi="Courier New" w:cs="Arial" w:hint="default"/>
      </w:rPr>
    </w:lvl>
    <w:lvl w:ilvl="5" w:tplc="0C090005" w:tentative="1">
      <w:start w:val="1"/>
      <w:numFmt w:val="bullet"/>
      <w:lvlText w:val=""/>
      <w:lvlJc w:val="left"/>
      <w:pPr>
        <w:ind w:left="3969" w:hanging="360"/>
      </w:pPr>
      <w:rPr>
        <w:rFonts w:ascii="Wingdings" w:hAnsi="Wingdings" w:hint="default"/>
      </w:rPr>
    </w:lvl>
    <w:lvl w:ilvl="6" w:tplc="0C090001" w:tentative="1">
      <w:start w:val="1"/>
      <w:numFmt w:val="bullet"/>
      <w:lvlText w:val=""/>
      <w:lvlJc w:val="left"/>
      <w:pPr>
        <w:ind w:left="4689" w:hanging="360"/>
      </w:pPr>
      <w:rPr>
        <w:rFonts w:ascii="Symbol" w:hAnsi="Symbol" w:hint="default"/>
      </w:rPr>
    </w:lvl>
    <w:lvl w:ilvl="7" w:tplc="0C090003" w:tentative="1">
      <w:start w:val="1"/>
      <w:numFmt w:val="bullet"/>
      <w:lvlText w:val="o"/>
      <w:lvlJc w:val="left"/>
      <w:pPr>
        <w:ind w:left="5409" w:hanging="360"/>
      </w:pPr>
      <w:rPr>
        <w:rFonts w:ascii="Courier New" w:hAnsi="Courier New" w:cs="Arial" w:hint="default"/>
      </w:rPr>
    </w:lvl>
    <w:lvl w:ilvl="8" w:tplc="0C090005" w:tentative="1">
      <w:start w:val="1"/>
      <w:numFmt w:val="bullet"/>
      <w:lvlText w:val=""/>
      <w:lvlJc w:val="left"/>
      <w:pPr>
        <w:ind w:left="6129" w:hanging="360"/>
      </w:pPr>
      <w:rPr>
        <w:rFonts w:ascii="Wingdings" w:hAnsi="Wingdings" w:hint="default"/>
      </w:rPr>
    </w:lvl>
  </w:abstractNum>
  <w:abstractNum w:abstractNumId="23" w15:restartNumberingAfterBreak="0">
    <w:nsid w:val="3D2F05A8"/>
    <w:multiLevelType w:val="hybridMultilevel"/>
    <w:tmpl w:val="5FE09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C838B7"/>
    <w:multiLevelType w:val="hybridMultilevel"/>
    <w:tmpl w:val="2B9EB024"/>
    <w:lvl w:ilvl="0" w:tplc="7082A54A">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63435"/>
    <w:multiLevelType w:val="multilevel"/>
    <w:tmpl w:val="3990B75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6" w15:restartNumberingAfterBreak="0">
    <w:nsid w:val="4D6D2183"/>
    <w:multiLevelType w:val="hybridMultilevel"/>
    <w:tmpl w:val="B2A61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24267"/>
    <w:multiLevelType w:val="hybridMultilevel"/>
    <w:tmpl w:val="54DCF1D8"/>
    <w:lvl w:ilvl="0" w:tplc="0C090001">
      <w:start w:val="1"/>
      <w:numFmt w:val="bullet"/>
      <w:lvlText w:val=""/>
      <w:lvlJc w:val="left"/>
      <w:pPr>
        <w:ind w:left="360" w:hanging="360"/>
      </w:pPr>
      <w:rPr>
        <w:rFonts w:ascii="Symbol" w:hAnsi="Symbol" w:hint="default"/>
        <w:b w:val="0"/>
        <w:i w:val="0"/>
      </w:rPr>
    </w:lvl>
    <w:lvl w:ilvl="1" w:tplc="422E38EE">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36407"/>
    <w:multiLevelType w:val="multilevel"/>
    <w:tmpl w:val="3990B75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9" w15:restartNumberingAfterBreak="0">
    <w:nsid w:val="51F906AA"/>
    <w:multiLevelType w:val="hybridMultilevel"/>
    <w:tmpl w:val="D640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F1CA1"/>
    <w:multiLevelType w:val="multilevel"/>
    <w:tmpl w:val="0409001D"/>
    <w:styleLink w:val="Style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CB63FF"/>
    <w:multiLevelType w:val="hybridMultilevel"/>
    <w:tmpl w:val="DDA0BC30"/>
    <w:lvl w:ilvl="0" w:tplc="422E38E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B477F8D"/>
    <w:multiLevelType w:val="hybridMultilevel"/>
    <w:tmpl w:val="0F92957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5CD75D9B"/>
    <w:multiLevelType w:val="hybridMultilevel"/>
    <w:tmpl w:val="A24E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55023"/>
    <w:multiLevelType w:val="hybridMultilevel"/>
    <w:tmpl w:val="0C5680F0"/>
    <w:lvl w:ilvl="0" w:tplc="7082A54A">
      <w:start w:val="1"/>
      <w:numFmt w:val="decimal"/>
      <w:lvlText w:val="%1."/>
      <w:lvlJc w:val="left"/>
      <w:pPr>
        <w:ind w:left="648" w:hanging="360"/>
      </w:pPr>
      <w:rPr>
        <w:b w:val="0"/>
        <w:i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5" w15:restartNumberingAfterBreak="0">
    <w:nsid w:val="67A150C8"/>
    <w:multiLevelType w:val="hybridMultilevel"/>
    <w:tmpl w:val="9A763D1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15:restartNumberingAfterBreak="0">
    <w:nsid w:val="68850ED3"/>
    <w:multiLevelType w:val="hybridMultilevel"/>
    <w:tmpl w:val="BBD0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F2ACF"/>
    <w:multiLevelType w:val="multilevel"/>
    <w:tmpl w:val="5DC0FF84"/>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8" w15:restartNumberingAfterBreak="0">
    <w:nsid w:val="6D337E96"/>
    <w:multiLevelType w:val="hybridMultilevel"/>
    <w:tmpl w:val="EAA8E7E4"/>
    <w:lvl w:ilvl="0" w:tplc="0C090001">
      <w:start w:val="1"/>
      <w:numFmt w:val="bullet"/>
      <w:lvlText w:val=""/>
      <w:lvlJc w:val="left"/>
      <w:pPr>
        <w:ind w:left="360" w:hanging="360"/>
      </w:pPr>
      <w:rPr>
        <w:rFonts w:ascii="Symbol" w:hAnsi="Symbol" w:hint="default"/>
        <w:b w:val="0"/>
        <w:i w:val="0"/>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126F2"/>
    <w:multiLevelType w:val="hybridMultilevel"/>
    <w:tmpl w:val="BBB6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60252"/>
    <w:multiLevelType w:val="hybridMultilevel"/>
    <w:tmpl w:val="34307E8A"/>
    <w:lvl w:ilvl="0" w:tplc="0C09000F">
      <w:start w:val="1"/>
      <w:numFmt w:val="decimal"/>
      <w:lvlText w:val="%1."/>
      <w:lvlJc w:val="left"/>
      <w:pPr>
        <w:ind w:left="1854"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1" w15:restartNumberingAfterBreak="0">
    <w:nsid w:val="71E41419"/>
    <w:multiLevelType w:val="hybridMultilevel"/>
    <w:tmpl w:val="4DB6D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85B1826"/>
    <w:multiLevelType w:val="multilevel"/>
    <w:tmpl w:val="10D05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3D67F0"/>
    <w:multiLevelType w:val="hybridMultilevel"/>
    <w:tmpl w:val="8544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B5A86"/>
    <w:multiLevelType w:val="hybridMultilevel"/>
    <w:tmpl w:val="0790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8"/>
  </w:num>
  <w:num w:numId="4">
    <w:abstractNumId w:val="22"/>
  </w:num>
  <w:num w:numId="5">
    <w:abstractNumId w:val="44"/>
  </w:num>
  <w:num w:numId="6">
    <w:abstractNumId w:val="7"/>
  </w:num>
  <w:num w:numId="7">
    <w:abstractNumId w:val="15"/>
  </w:num>
  <w:num w:numId="8">
    <w:abstractNumId w:val="40"/>
  </w:num>
  <w:num w:numId="9">
    <w:abstractNumId w:val="6"/>
  </w:num>
  <w:num w:numId="10">
    <w:abstractNumId w:val="23"/>
  </w:num>
  <w:num w:numId="11">
    <w:abstractNumId w:val="41"/>
  </w:num>
  <w:num w:numId="12">
    <w:abstractNumId w:val="25"/>
  </w:num>
  <w:num w:numId="13">
    <w:abstractNumId w:val="12"/>
  </w:num>
  <w:num w:numId="14">
    <w:abstractNumId w:val="1"/>
  </w:num>
  <w:num w:numId="15">
    <w:abstractNumId w:val="30"/>
  </w:num>
  <w:num w:numId="16">
    <w:abstractNumId w:val="21"/>
  </w:num>
  <w:num w:numId="17">
    <w:abstractNumId w:val="38"/>
  </w:num>
  <w:num w:numId="18">
    <w:abstractNumId w:val="26"/>
  </w:num>
  <w:num w:numId="19">
    <w:abstractNumId w:val="5"/>
  </w:num>
  <w:num w:numId="20">
    <w:abstractNumId w:val="35"/>
  </w:num>
  <w:num w:numId="21">
    <w:abstractNumId w:val="10"/>
  </w:num>
  <w:num w:numId="22">
    <w:abstractNumId w:val="24"/>
  </w:num>
  <w:num w:numId="23">
    <w:abstractNumId w:val="34"/>
  </w:num>
  <w:num w:numId="24">
    <w:abstractNumId w:val="42"/>
  </w:num>
  <w:num w:numId="25">
    <w:abstractNumId w:val="19"/>
  </w:num>
  <w:num w:numId="26">
    <w:abstractNumId w:val="8"/>
  </w:num>
  <w:num w:numId="27">
    <w:abstractNumId w:val="2"/>
  </w:num>
  <w:num w:numId="28">
    <w:abstractNumId w:val="3"/>
  </w:num>
  <w:num w:numId="29">
    <w:abstractNumId w:val="18"/>
  </w:num>
  <w:num w:numId="30">
    <w:abstractNumId w:val="14"/>
  </w:num>
  <w:num w:numId="31">
    <w:abstractNumId w:val="39"/>
  </w:num>
  <w:num w:numId="32">
    <w:abstractNumId w:val="33"/>
  </w:num>
  <w:num w:numId="33">
    <w:abstractNumId w:val="36"/>
  </w:num>
  <w:num w:numId="34">
    <w:abstractNumId w:val="16"/>
  </w:num>
  <w:num w:numId="35">
    <w:abstractNumId w:val="43"/>
  </w:num>
  <w:num w:numId="36">
    <w:abstractNumId w:val="29"/>
  </w:num>
  <w:num w:numId="37">
    <w:abstractNumId w:val="31"/>
  </w:num>
  <w:num w:numId="38">
    <w:abstractNumId w:val="27"/>
  </w:num>
  <w:num w:numId="39">
    <w:abstractNumId w:val="0"/>
  </w:num>
  <w:num w:numId="40">
    <w:abstractNumId w:val="20"/>
  </w:num>
  <w:num w:numId="41">
    <w:abstractNumId w:val="13"/>
  </w:num>
  <w:num w:numId="42">
    <w:abstractNumId w:val="9"/>
  </w:num>
  <w:num w:numId="43">
    <w:abstractNumId w:val="17"/>
  </w:num>
  <w:num w:numId="44">
    <w:abstractNumId w:val="4"/>
  </w:num>
  <w:num w:numId="45">
    <w:abstractNumId w:val="37"/>
    <w:lvlOverride w:ilvl="0">
      <w:lvl w:ilvl="0">
        <w:numFmt w:val="decimal"/>
        <w:pStyle w:val="AHPRAnumberedsubheadinglevel1"/>
        <w:lvlText w:val=""/>
        <w:lvlJc w:val="left"/>
      </w:lvl>
    </w:lvlOverride>
    <w:lvlOverride w:ilvl="1">
      <w:lvl w:ilvl="1">
        <w:start w:val="1"/>
        <w:numFmt w:val="decimal"/>
        <w:pStyle w:val="AHPRAnumberedbulletpoint"/>
        <w:lvlText w:val="%1.%2"/>
        <w:lvlJc w:val="left"/>
        <w:pPr>
          <w:ind w:left="851" w:hanging="567"/>
        </w:pPr>
        <w:rPr>
          <w:rFonts w:ascii="Arial" w:hAnsi="Arial" w:hint="default"/>
          <w:b/>
          <w:i w:val="0"/>
          <w:color w:val="auto"/>
          <w:sz w:val="20"/>
        </w:rPr>
      </w:lvl>
    </w:lvlOverride>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B93A22"/>
    <w:rsid w:val="00001BBF"/>
    <w:rsid w:val="000121A2"/>
    <w:rsid w:val="00016069"/>
    <w:rsid w:val="00016577"/>
    <w:rsid w:val="000245D1"/>
    <w:rsid w:val="00040F1E"/>
    <w:rsid w:val="000522A2"/>
    <w:rsid w:val="0005233C"/>
    <w:rsid w:val="00053240"/>
    <w:rsid w:val="0005460F"/>
    <w:rsid w:val="00064B57"/>
    <w:rsid w:val="0007398F"/>
    <w:rsid w:val="0007577C"/>
    <w:rsid w:val="000819EA"/>
    <w:rsid w:val="00091B9E"/>
    <w:rsid w:val="00093B8D"/>
    <w:rsid w:val="000A2C60"/>
    <w:rsid w:val="000A6E92"/>
    <w:rsid w:val="000B59C3"/>
    <w:rsid w:val="000C061E"/>
    <w:rsid w:val="000C0D13"/>
    <w:rsid w:val="000C5AED"/>
    <w:rsid w:val="000D0FF6"/>
    <w:rsid w:val="000E5E89"/>
    <w:rsid w:val="000F1254"/>
    <w:rsid w:val="000F41BE"/>
    <w:rsid w:val="000F6FF6"/>
    <w:rsid w:val="0010638C"/>
    <w:rsid w:val="001103B4"/>
    <w:rsid w:val="0011265A"/>
    <w:rsid w:val="00112BF7"/>
    <w:rsid w:val="001206FC"/>
    <w:rsid w:val="00130C0A"/>
    <w:rsid w:val="0013300D"/>
    <w:rsid w:val="001419DB"/>
    <w:rsid w:val="00146553"/>
    <w:rsid w:val="001701B3"/>
    <w:rsid w:val="0017386F"/>
    <w:rsid w:val="00176B16"/>
    <w:rsid w:val="00177D50"/>
    <w:rsid w:val="00192D0B"/>
    <w:rsid w:val="001A6930"/>
    <w:rsid w:val="001B0138"/>
    <w:rsid w:val="001D65A6"/>
    <w:rsid w:val="001F77D9"/>
    <w:rsid w:val="00201B58"/>
    <w:rsid w:val="00202B26"/>
    <w:rsid w:val="002100C4"/>
    <w:rsid w:val="002146B3"/>
    <w:rsid w:val="00214B82"/>
    <w:rsid w:val="00230D16"/>
    <w:rsid w:val="00232A42"/>
    <w:rsid w:val="0023317C"/>
    <w:rsid w:val="00235F81"/>
    <w:rsid w:val="00237532"/>
    <w:rsid w:val="0025174E"/>
    <w:rsid w:val="00271791"/>
    <w:rsid w:val="00274AE0"/>
    <w:rsid w:val="002A1ECA"/>
    <w:rsid w:val="002A4338"/>
    <w:rsid w:val="002C1A80"/>
    <w:rsid w:val="002C1BEE"/>
    <w:rsid w:val="002D030A"/>
    <w:rsid w:val="002D6DCB"/>
    <w:rsid w:val="002E0176"/>
    <w:rsid w:val="002E0C4F"/>
    <w:rsid w:val="002F4D74"/>
    <w:rsid w:val="002F780A"/>
    <w:rsid w:val="00304939"/>
    <w:rsid w:val="00304F81"/>
    <w:rsid w:val="00307DDE"/>
    <w:rsid w:val="003101FD"/>
    <w:rsid w:val="003219E8"/>
    <w:rsid w:val="0032519C"/>
    <w:rsid w:val="00325208"/>
    <w:rsid w:val="0033116E"/>
    <w:rsid w:val="003316F8"/>
    <w:rsid w:val="00343364"/>
    <w:rsid w:val="0034417B"/>
    <w:rsid w:val="00345100"/>
    <w:rsid w:val="00347088"/>
    <w:rsid w:val="003514CC"/>
    <w:rsid w:val="003627BC"/>
    <w:rsid w:val="00365B11"/>
    <w:rsid w:val="0037200A"/>
    <w:rsid w:val="0037484C"/>
    <w:rsid w:val="00374AC0"/>
    <w:rsid w:val="00376D3E"/>
    <w:rsid w:val="003805B9"/>
    <w:rsid w:val="00384DEF"/>
    <w:rsid w:val="003904DD"/>
    <w:rsid w:val="00391628"/>
    <w:rsid w:val="00393D83"/>
    <w:rsid w:val="00394417"/>
    <w:rsid w:val="003B7A3B"/>
    <w:rsid w:val="003C1FBB"/>
    <w:rsid w:val="003F62EC"/>
    <w:rsid w:val="00404037"/>
    <w:rsid w:val="00421A82"/>
    <w:rsid w:val="00425D5B"/>
    <w:rsid w:val="004263AF"/>
    <w:rsid w:val="00430C61"/>
    <w:rsid w:val="00437FEE"/>
    <w:rsid w:val="0044562D"/>
    <w:rsid w:val="004555E5"/>
    <w:rsid w:val="00456CEE"/>
    <w:rsid w:val="004577C1"/>
    <w:rsid w:val="00460E48"/>
    <w:rsid w:val="00462918"/>
    <w:rsid w:val="004636FE"/>
    <w:rsid w:val="004805D1"/>
    <w:rsid w:val="0049049C"/>
    <w:rsid w:val="004933A6"/>
    <w:rsid w:val="004A1A27"/>
    <w:rsid w:val="004A597F"/>
    <w:rsid w:val="004A5F96"/>
    <w:rsid w:val="004B09C7"/>
    <w:rsid w:val="004B4FFC"/>
    <w:rsid w:val="004C6A62"/>
    <w:rsid w:val="004D1499"/>
    <w:rsid w:val="004D16CA"/>
    <w:rsid w:val="004D1D5A"/>
    <w:rsid w:val="004D521A"/>
    <w:rsid w:val="004E1D41"/>
    <w:rsid w:val="004E7261"/>
    <w:rsid w:val="004E7AED"/>
    <w:rsid w:val="004E7FF4"/>
    <w:rsid w:val="004F55CB"/>
    <w:rsid w:val="004F5C42"/>
    <w:rsid w:val="00501E7B"/>
    <w:rsid w:val="00510F96"/>
    <w:rsid w:val="00512741"/>
    <w:rsid w:val="00512FF1"/>
    <w:rsid w:val="00522B37"/>
    <w:rsid w:val="00522DAE"/>
    <w:rsid w:val="005242D1"/>
    <w:rsid w:val="00525303"/>
    <w:rsid w:val="00531805"/>
    <w:rsid w:val="00534D21"/>
    <w:rsid w:val="00557B1D"/>
    <w:rsid w:val="00577BEE"/>
    <w:rsid w:val="00580D71"/>
    <w:rsid w:val="00584FBE"/>
    <w:rsid w:val="005873FE"/>
    <w:rsid w:val="005936E3"/>
    <w:rsid w:val="00594A62"/>
    <w:rsid w:val="00596605"/>
    <w:rsid w:val="00597B69"/>
    <w:rsid w:val="005A6974"/>
    <w:rsid w:val="005A7883"/>
    <w:rsid w:val="005B3857"/>
    <w:rsid w:val="005C2030"/>
    <w:rsid w:val="005E5334"/>
    <w:rsid w:val="005E7528"/>
    <w:rsid w:val="005F38C3"/>
    <w:rsid w:val="00602289"/>
    <w:rsid w:val="00611025"/>
    <w:rsid w:val="006251D8"/>
    <w:rsid w:val="00627096"/>
    <w:rsid w:val="00630116"/>
    <w:rsid w:val="0063027C"/>
    <w:rsid w:val="00635C72"/>
    <w:rsid w:val="00642ABD"/>
    <w:rsid w:val="006452FC"/>
    <w:rsid w:val="006468AC"/>
    <w:rsid w:val="00654BFC"/>
    <w:rsid w:val="00663925"/>
    <w:rsid w:val="006659A8"/>
    <w:rsid w:val="00691DE2"/>
    <w:rsid w:val="0069674C"/>
    <w:rsid w:val="006A0299"/>
    <w:rsid w:val="006A5ED5"/>
    <w:rsid w:val="006C1A39"/>
    <w:rsid w:val="006C7C84"/>
    <w:rsid w:val="006D5CE7"/>
    <w:rsid w:val="006F1C30"/>
    <w:rsid w:val="006F1F49"/>
    <w:rsid w:val="00701773"/>
    <w:rsid w:val="00704A3D"/>
    <w:rsid w:val="007130AD"/>
    <w:rsid w:val="007153F4"/>
    <w:rsid w:val="007156CD"/>
    <w:rsid w:val="00721C9F"/>
    <w:rsid w:val="00751C0B"/>
    <w:rsid w:val="00753BF5"/>
    <w:rsid w:val="00753DD6"/>
    <w:rsid w:val="0076228B"/>
    <w:rsid w:val="0076265B"/>
    <w:rsid w:val="00764706"/>
    <w:rsid w:val="0078318E"/>
    <w:rsid w:val="00784FA1"/>
    <w:rsid w:val="007908EF"/>
    <w:rsid w:val="00792E79"/>
    <w:rsid w:val="007962DB"/>
    <w:rsid w:val="007A356B"/>
    <w:rsid w:val="007B3537"/>
    <w:rsid w:val="007B4EAF"/>
    <w:rsid w:val="007B7C19"/>
    <w:rsid w:val="007C749E"/>
    <w:rsid w:val="007D1287"/>
    <w:rsid w:val="007D79F2"/>
    <w:rsid w:val="007E6147"/>
    <w:rsid w:val="007F68D5"/>
    <w:rsid w:val="00802FEC"/>
    <w:rsid w:val="00804C44"/>
    <w:rsid w:val="00810B39"/>
    <w:rsid w:val="00811FFF"/>
    <w:rsid w:val="00824F82"/>
    <w:rsid w:val="00832B90"/>
    <w:rsid w:val="00833184"/>
    <w:rsid w:val="00851BC9"/>
    <w:rsid w:val="00854864"/>
    <w:rsid w:val="008574E9"/>
    <w:rsid w:val="00867DDF"/>
    <w:rsid w:val="00880DCA"/>
    <w:rsid w:val="00887697"/>
    <w:rsid w:val="008975A8"/>
    <w:rsid w:val="00897696"/>
    <w:rsid w:val="008A3FEA"/>
    <w:rsid w:val="008C11CD"/>
    <w:rsid w:val="008C3916"/>
    <w:rsid w:val="008D011D"/>
    <w:rsid w:val="008D130B"/>
    <w:rsid w:val="008D2858"/>
    <w:rsid w:val="008E05CC"/>
    <w:rsid w:val="008E57AE"/>
    <w:rsid w:val="008F26AE"/>
    <w:rsid w:val="00902779"/>
    <w:rsid w:val="00911A7C"/>
    <w:rsid w:val="00911AB3"/>
    <w:rsid w:val="009212CF"/>
    <w:rsid w:val="00926E89"/>
    <w:rsid w:val="00930129"/>
    <w:rsid w:val="0094206C"/>
    <w:rsid w:val="00946B5A"/>
    <w:rsid w:val="00947436"/>
    <w:rsid w:val="00952BFD"/>
    <w:rsid w:val="009616BB"/>
    <w:rsid w:val="009627CE"/>
    <w:rsid w:val="00964EC7"/>
    <w:rsid w:val="00974200"/>
    <w:rsid w:val="00977FF4"/>
    <w:rsid w:val="009811D9"/>
    <w:rsid w:val="00990CDE"/>
    <w:rsid w:val="00991EEB"/>
    <w:rsid w:val="00994DB9"/>
    <w:rsid w:val="009969BE"/>
    <w:rsid w:val="00997B27"/>
    <w:rsid w:val="009A4E50"/>
    <w:rsid w:val="009B0DD8"/>
    <w:rsid w:val="009B169E"/>
    <w:rsid w:val="009B60D2"/>
    <w:rsid w:val="009C19C8"/>
    <w:rsid w:val="009C2E43"/>
    <w:rsid w:val="009C3812"/>
    <w:rsid w:val="009C559C"/>
    <w:rsid w:val="009C7B48"/>
    <w:rsid w:val="009D0987"/>
    <w:rsid w:val="009E39AB"/>
    <w:rsid w:val="009E3B64"/>
    <w:rsid w:val="009F1B83"/>
    <w:rsid w:val="009F34D0"/>
    <w:rsid w:val="00A0549F"/>
    <w:rsid w:val="00A05578"/>
    <w:rsid w:val="00A213D5"/>
    <w:rsid w:val="00A303FE"/>
    <w:rsid w:val="00A34402"/>
    <w:rsid w:val="00A61D48"/>
    <w:rsid w:val="00A64E63"/>
    <w:rsid w:val="00A713E5"/>
    <w:rsid w:val="00A81E78"/>
    <w:rsid w:val="00A978B3"/>
    <w:rsid w:val="00AA06DD"/>
    <w:rsid w:val="00AA0C6F"/>
    <w:rsid w:val="00AA1FC7"/>
    <w:rsid w:val="00AA7BB3"/>
    <w:rsid w:val="00AB18A2"/>
    <w:rsid w:val="00AB6C40"/>
    <w:rsid w:val="00AC0483"/>
    <w:rsid w:val="00AC075C"/>
    <w:rsid w:val="00AC7FD6"/>
    <w:rsid w:val="00AD0383"/>
    <w:rsid w:val="00AD03A8"/>
    <w:rsid w:val="00AD5E2E"/>
    <w:rsid w:val="00AE06E7"/>
    <w:rsid w:val="00AE36B3"/>
    <w:rsid w:val="00AF013D"/>
    <w:rsid w:val="00AF3E2C"/>
    <w:rsid w:val="00B02D3D"/>
    <w:rsid w:val="00B0330F"/>
    <w:rsid w:val="00B06925"/>
    <w:rsid w:val="00B158F5"/>
    <w:rsid w:val="00B201D6"/>
    <w:rsid w:val="00B24268"/>
    <w:rsid w:val="00B30B1E"/>
    <w:rsid w:val="00B41C44"/>
    <w:rsid w:val="00B63814"/>
    <w:rsid w:val="00B649DF"/>
    <w:rsid w:val="00B77D75"/>
    <w:rsid w:val="00B8108F"/>
    <w:rsid w:val="00B817F6"/>
    <w:rsid w:val="00B93A22"/>
    <w:rsid w:val="00B969D7"/>
    <w:rsid w:val="00BA3CAD"/>
    <w:rsid w:val="00BB4C11"/>
    <w:rsid w:val="00BB5848"/>
    <w:rsid w:val="00BB5D13"/>
    <w:rsid w:val="00BC114E"/>
    <w:rsid w:val="00BC297D"/>
    <w:rsid w:val="00BC7A54"/>
    <w:rsid w:val="00BD11E4"/>
    <w:rsid w:val="00BD2657"/>
    <w:rsid w:val="00BE1B67"/>
    <w:rsid w:val="00BE2978"/>
    <w:rsid w:val="00BF3E31"/>
    <w:rsid w:val="00C00160"/>
    <w:rsid w:val="00C17A99"/>
    <w:rsid w:val="00C219DE"/>
    <w:rsid w:val="00C24652"/>
    <w:rsid w:val="00C31E72"/>
    <w:rsid w:val="00C40FB3"/>
    <w:rsid w:val="00C41B36"/>
    <w:rsid w:val="00C600A2"/>
    <w:rsid w:val="00C67AA0"/>
    <w:rsid w:val="00C84E24"/>
    <w:rsid w:val="00C870AC"/>
    <w:rsid w:val="00C97C16"/>
    <w:rsid w:val="00CA1D09"/>
    <w:rsid w:val="00CA796D"/>
    <w:rsid w:val="00CC0F48"/>
    <w:rsid w:val="00CC1E5F"/>
    <w:rsid w:val="00CC7C3D"/>
    <w:rsid w:val="00CC7EF7"/>
    <w:rsid w:val="00CE36D0"/>
    <w:rsid w:val="00CE3AC2"/>
    <w:rsid w:val="00CF004E"/>
    <w:rsid w:val="00CF267C"/>
    <w:rsid w:val="00D0067D"/>
    <w:rsid w:val="00D05192"/>
    <w:rsid w:val="00D07C1F"/>
    <w:rsid w:val="00D1066A"/>
    <w:rsid w:val="00D12200"/>
    <w:rsid w:val="00D17FAA"/>
    <w:rsid w:val="00D21F52"/>
    <w:rsid w:val="00D305B6"/>
    <w:rsid w:val="00D504E6"/>
    <w:rsid w:val="00D7050A"/>
    <w:rsid w:val="00D721FE"/>
    <w:rsid w:val="00D743B6"/>
    <w:rsid w:val="00D773FA"/>
    <w:rsid w:val="00D80D5D"/>
    <w:rsid w:val="00D83DD9"/>
    <w:rsid w:val="00D847AB"/>
    <w:rsid w:val="00D91C7A"/>
    <w:rsid w:val="00D95E65"/>
    <w:rsid w:val="00D971F6"/>
    <w:rsid w:val="00DA0CEA"/>
    <w:rsid w:val="00DA497A"/>
    <w:rsid w:val="00DB31D5"/>
    <w:rsid w:val="00DC0907"/>
    <w:rsid w:val="00DC26C8"/>
    <w:rsid w:val="00DC2B47"/>
    <w:rsid w:val="00DC2CAA"/>
    <w:rsid w:val="00DD278E"/>
    <w:rsid w:val="00DD606C"/>
    <w:rsid w:val="00DE5881"/>
    <w:rsid w:val="00DE7769"/>
    <w:rsid w:val="00DF1BB9"/>
    <w:rsid w:val="00DF3D67"/>
    <w:rsid w:val="00E05810"/>
    <w:rsid w:val="00E13C46"/>
    <w:rsid w:val="00E20231"/>
    <w:rsid w:val="00E33952"/>
    <w:rsid w:val="00E33E48"/>
    <w:rsid w:val="00E365A4"/>
    <w:rsid w:val="00E43403"/>
    <w:rsid w:val="00E5408B"/>
    <w:rsid w:val="00E60C77"/>
    <w:rsid w:val="00E6150A"/>
    <w:rsid w:val="00E61BAF"/>
    <w:rsid w:val="00E61F90"/>
    <w:rsid w:val="00E81E20"/>
    <w:rsid w:val="00E843A1"/>
    <w:rsid w:val="00E862B6"/>
    <w:rsid w:val="00E86C01"/>
    <w:rsid w:val="00E930F3"/>
    <w:rsid w:val="00E958F3"/>
    <w:rsid w:val="00EA13F9"/>
    <w:rsid w:val="00EA2E77"/>
    <w:rsid w:val="00EA5ACF"/>
    <w:rsid w:val="00EB011F"/>
    <w:rsid w:val="00EB1C61"/>
    <w:rsid w:val="00EB355D"/>
    <w:rsid w:val="00EC067B"/>
    <w:rsid w:val="00EC0B30"/>
    <w:rsid w:val="00EC6591"/>
    <w:rsid w:val="00EC6D42"/>
    <w:rsid w:val="00ED208A"/>
    <w:rsid w:val="00ED288E"/>
    <w:rsid w:val="00ED5444"/>
    <w:rsid w:val="00ED6969"/>
    <w:rsid w:val="00EF1F95"/>
    <w:rsid w:val="00EF2E21"/>
    <w:rsid w:val="00F01E6C"/>
    <w:rsid w:val="00F04957"/>
    <w:rsid w:val="00F04FD4"/>
    <w:rsid w:val="00F14963"/>
    <w:rsid w:val="00F149BF"/>
    <w:rsid w:val="00F21518"/>
    <w:rsid w:val="00F22C4F"/>
    <w:rsid w:val="00F260DE"/>
    <w:rsid w:val="00F26F64"/>
    <w:rsid w:val="00F27EC2"/>
    <w:rsid w:val="00F33DE2"/>
    <w:rsid w:val="00F44366"/>
    <w:rsid w:val="00F51985"/>
    <w:rsid w:val="00F54754"/>
    <w:rsid w:val="00F60DD0"/>
    <w:rsid w:val="00F6529D"/>
    <w:rsid w:val="00F76858"/>
    <w:rsid w:val="00F7773B"/>
    <w:rsid w:val="00F81C3D"/>
    <w:rsid w:val="00F86415"/>
    <w:rsid w:val="00F92C9B"/>
    <w:rsid w:val="00FA2378"/>
    <w:rsid w:val="00FA6A41"/>
    <w:rsid w:val="00FA6B07"/>
    <w:rsid w:val="00FA781C"/>
    <w:rsid w:val="00FB4C2E"/>
    <w:rsid w:val="00FB518F"/>
    <w:rsid w:val="00FB68C8"/>
    <w:rsid w:val="00FC24F5"/>
    <w:rsid w:val="00FD08BB"/>
    <w:rsid w:val="00FD2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5:docId w15:val="{AC42615B-F620-4864-8B99-BF47C500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5D"/>
    <w:pPr>
      <w:spacing w:after="200" w:line="276" w:lineRule="auto"/>
    </w:pPr>
    <w:rPr>
      <w:rFonts w:ascii="Arial" w:hAnsi="Arial"/>
      <w:szCs w:val="22"/>
      <w:lang w:eastAsia="en-US"/>
    </w:rPr>
  </w:style>
  <w:style w:type="paragraph" w:styleId="Heading1">
    <w:name w:val="heading 1"/>
    <w:basedOn w:val="Normal"/>
    <w:next w:val="Normal"/>
    <w:link w:val="Heading1Char"/>
    <w:qFormat/>
    <w:rsid w:val="00580D71"/>
    <w:pPr>
      <w:keepNext/>
      <w:spacing w:before="240" w:after="60" w:line="240" w:lineRule="auto"/>
      <w:ind w:left="360"/>
      <w:jc w:val="both"/>
      <w:outlineLvl w:val="0"/>
    </w:pPr>
    <w:rPr>
      <w:rFonts w:eastAsiaTheme="minorEastAsia"/>
      <w:b/>
      <w:kern w:val="32"/>
      <w:sz w:val="20"/>
      <w:szCs w:val="32"/>
    </w:rPr>
  </w:style>
  <w:style w:type="paragraph" w:styleId="Heading2">
    <w:name w:val="heading 2"/>
    <w:basedOn w:val="Normal"/>
    <w:next w:val="Normal"/>
    <w:link w:val="Heading2Char"/>
    <w:qFormat/>
    <w:rsid w:val="00580D71"/>
    <w:pPr>
      <w:keepNext/>
      <w:spacing w:before="240" w:after="60" w:line="240" w:lineRule="auto"/>
      <w:ind w:left="360"/>
      <w:jc w:val="both"/>
      <w:outlineLvl w:val="1"/>
    </w:pPr>
    <w:rPr>
      <w:rFonts w:eastAsiaTheme="minorEastAsia"/>
      <w:b/>
      <w:sz w:val="22"/>
      <w:szCs w:val="28"/>
    </w:rPr>
  </w:style>
  <w:style w:type="paragraph" w:styleId="Heading3">
    <w:name w:val="heading 3"/>
    <w:basedOn w:val="Normal"/>
    <w:next w:val="Normal"/>
    <w:link w:val="Heading3Char"/>
    <w:qFormat/>
    <w:rsid w:val="00580D71"/>
    <w:pPr>
      <w:keepNext/>
      <w:spacing w:before="240" w:after="60" w:line="240" w:lineRule="auto"/>
      <w:ind w:left="360"/>
      <w:jc w:val="both"/>
      <w:outlineLvl w:val="2"/>
    </w:pPr>
    <w:rPr>
      <w:rFonts w:eastAsiaTheme="minorEastAsia"/>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93A22"/>
    <w:rPr>
      <w:sz w:val="22"/>
      <w:szCs w:val="22"/>
      <w:lang w:eastAsia="en-US"/>
    </w:rPr>
  </w:style>
  <w:style w:type="paragraph" w:styleId="ListParagraph">
    <w:name w:val="List Paragraph"/>
    <w:basedOn w:val="Normal"/>
    <w:uiPriority w:val="34"/>
    <w:qFormat/>
    <w:rsid w:val="008F26AE"/>
    <w:pPr>
      <w:ind w:left="720"/>
      <w:contextualSpacing/>
    </w:pPr>
  </w:style>
  <w:style w:type="paragraph" w:styleId="Footer">
    <w:name w:val="footer"/>
    <w:basedOn w:val="Normal"/>
    <w:link w:val="FooterChar"/>
    <w:uiPriority w:val="99"/>
    <w:rsid w:val="00A213D5"/>
    <w:pPr>
      <w:tabs>
        <w:tab w:val="center" w:pos="4320"/>
        <w:tab w:val="right" w:pos="8640"/>
      </w:tabs>
    </w:pPr>
  </w:style>
  <w:style w:type="character" w:customStyle="1" w:styleId="FooterChar">
    <w:name w:val="Footer Char"/>
    <w:basedOn w:val="DefaultParagraphFont"/>
    <w:link w:val="Footer"/>
    <w:uiPriority w:val="99"/>
    <w:rsid w:val="00B16D10"/>
    <w:rPr>
      <w:lang w:eastAsia="en-US"/>
    </w:rPr>
  </w:style>
  <w:style w:type="character" w:styleId="PageNumber">
    <w:name w:val="page number"/>
    <w:basedOn w:val="DefaultParagraphFont"/>
    <w:uiPriority w:val="99"/>
    <w:rsid w:val="00A213D5"/>
    <w:rPr>
      <w:rFonts w:cs="Times New Roman"/>
    </w:rPr>
  </w:style>
  <w:style w:type="paragraph" w:styleId="BalloonText">
    <w:name w:val="Balloon Text"/>
    <w:basedOn w:val="Normal"/>
    <w:link w:val="BalloonTextChar"/>
    <w:uiPriority w:val="99"/>
    <w:semiHidden/>
    <w:unhideWhenUsed/>
    <w:rsid w:val="004C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62"/>
    <w:rPr>
      <w:rFonts w:ascii="Tahoma" w:hAnsi="Tahoma" w:cs="Tahoma"/>
      <w:sz w:val="16"/>
      <w:szCs w:val="16"/>
      <w:lang w:eastAsia="en-US"/>
    </w:rPr>
  </w:style>
  <w:style w:type="paragraph" w:styleId="Header">
    <w:name w:val="header"/>
    <w:basedOn w:val="Normal"/>
    <w:link w:val="HeaderChar"/>
    <w:uiPriority w:val="99"/>
    <w:unhideWhenUsed/>
    <w:rsid w:val="00214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B3"/>
    <w:rPr>
      <w:lang w:eastAsia="en-US"/>
    </w:rPr>
  </w:style>
  <w:style w:type="character" w:styleId="CommentReference">
    <w:name w:val="annotation reference"/>
    <w:basedOn w:val="DefaultParagraphFont"/>
    <w:uiPriority w:val="99"/>
    <w:semiHidden/>
    <w:unhideWhenUsed/>
    <w:rsid w:val="00A303FE"/>
    <w:rPr>
      <w:sz w:val="16"/>
      <w:szCs w:val="16"/>
    </w:rPr>
  </w:style>
  <w:style w:type="paragraph" w:styleId="CommentText">
    <w:name w:val="annotation text"/>
    <w:basedOn w:val="Normal"/>
    <w:link w:val="CommentTextChar"/>
    <w:uiPriority w:val="99"/>
    <w:unhideWhenUsed/>
    <w:rsid w:val="00A303FE"/>
    <w:pPr>
      <w:spacing w:line="240" w:lineRule="auto"/>
    </w:pPr>
    <w:rPr>
      <w:szCs w:val="20"/>
    </w:rPr>
  </w:style>
  <w:style w:type="character" w:customStyle="1" w:styleId="CommentTextChar">
    <w:name w:val="Comment Text Char"/>
    <w:basedOn w:val="DefaultParagraphFont"/>
    <w:link w:val="CommentText"/>
    <w:uiPriority w:val="99"/>
    <w:rsid w:val="00A303FE"/>
    <w:rPr>
      <w:sz w:val="20"/>
      <w:szCs w:val="20"/>
      <w:lang w:eastAsia="en-US"/>
    </w:rPr>
  </w:style>
  <w:style w:type="paragraph" w:styleId="CommentSubject">
    <w:name w:val="annotation subject"/>
    <w:basedOn w:val="CommentText"/>
    <w:next w:val="CommentText"/>
    <w:link w:val="CommentSubjectChar"/>
    <w:uiPriority w:val="99"/>
    <w:semiHidden/>
    <w:unhideWhenUsed/>
    <w:rsid w:val="00A303FE"/>
    <w:rPr>
      <w:b/>
      <w:bCs/>
    </w:rPr>
  </w:style>
  <w:style w:type="character" w:customStyle="1" w:styleId="CommentSubjectChar">
    <w:name w:val="Comment Subject Char"/>
    <w:basedOn w:val="CommentTextChar"/>
    <w:link w:val="CommentSubject"/>
    <w:uiPriority w:val="99"/>
    <w:semiHidden/>
    <w:rsid w:val="00A303FE"/>
    <w:rPr>
      <w:b/>
      <w:bCs/>
      <w:sz w:val="20"/>
      <w:szCs w:val="20"/>
      <w:lang w:eastAsia="en-US"/>
    </w:rPr>
  </w:style>
  <w:style w:type="paragraph" w:customStyle="1" w:styleId="Text">
    <w:name w:val="Text"/>
    <w:basedOn w:val="Normal"/>
    <w:rsid w:val="0033116E"/>
    <w:pPr>
      <w:spacing w:after="120" w:line="240" w:lineRule="auto"/>
      <w:ind w:left="540"/>
    </w:pPr>
    <w:rPr>
      <w:rFonts w:eastAsia="Times New Roman" w:cs="Arial"/>
      <w:szCs w:val="20"/>
      <w:lang w:eastAsia="en-AU"/>
    </w:rPr>
  </w:style>
  <w:style w:type="paragraph" w:styleId="BodyText">
    <w:name w:val="Body Text"/>
    <w:basedOn w:val="Normal"/>
    <w:link w:val="BodyTextChar"/>
    <w:qFormat/>
    <w:rsid w:val="00663925"/>
    <w:pPr>
      <w:spacing w:before="240" w:after="0" w:line="300" w:lineRule="atLeast"/>
    </w:pPr>
    <w:rPr>
      <w:rFonts w:eastAsia="Times New Roman"/>
      <w:sz w:val="22"/>
    </w:rPr>
  </w:style>
  <w:style w:type="character" w:customStyle="1" w:styleId="BodyTextChar">
    <w:name w:val="Body Text Char"/>
    <w:basedOn w:val="DefaultParagraphFont"/>
    <w:link w:val="BodyText"/>
    <w:rsid w:val="00663925"/>
    <w:rPr>
      <w:rFonts w:ascii="Arial" w:eastAsia="Times New Roman" w:hAnsi="Arial"/>
      <w:sz w:val="22"/>
      <w:szCs w:val="22"/>
    </w:rPr>
  </w:style>
  <w:style w:type="character" w:customStyle="1" w:styleId="Heading1Char">
    <w:name w:val="Heading 1 Char"/>
    <w:basedOn w:val="DefaultParagraphFont"/>
    <w:link w:val="Heading1"/>
    <w:rsid w:val="00580D71"/>
    <w:rPr>
      <w:rFonts w:ascii="Arial" w:eastAsiaTheme="minorEastAsia" w:hAnsi="Arial"/>
      <w:b/>
      <w:kern w:val="32"/>
      <w:sz w:val="20"/>
      <w:szCs w:val="32"/>
      <w:lang w:eastAsia="en-US"/>
    </w:rPr>
  </w:style>
  <w:style w:type="character" w:customStyle="1" w:styleId="Heading2Char">
    <w:name w:val="Heading 2 Char"/>
    <w:basedOn w:val="DefaultParagraphFont"/>
    <w:link w:val="Heading2"/>
    <w:rsid w:val="00580D71"/>
    <w:rPr>
      <w:rFonts w:ascii="Arial" w:eastAsiaTheme="minorEastAsia" w:hAnsi="Arial"/>
      <w:b/>
      <w:sz w:val="22"/>
      <w:szCs w:val="28"/>
      <w:lang w:eastAsia="en-US"/>
    </w:rPr>
  </w:style>
  <w:style w:type="character" w:customStyle="1" w:styleId="Heading3Char">
    <w:name w:val="Heading 3 Char"/>
    <w:basedOn w:val="DefaultParagraphFont"/>
    <w:link w:val="Heading3"/>
    <w:rsid w:val="00580D71"/>
    <w:rPr>
      <w:rFonts w:ascii="Arial" w:eastAsiaTheme="minorEastAsia" w:hAnsi="Arial"/>
      <w:b/>
      <w:sz w:val="20"/>
      <w:szCs w:val="26"/>
      <w:lang w:eastAsia="en-US"/>
    </w:rPr>
  </w:style>
  <w:style w:type="numbering" w:customStyle="1" w:styleId="Style1">
    <w:name w:val="Style1"/>
    <w:basedOn w:val="NoList"/>
    <w:rsid w:val="00580D71"/>
    <w:pPr>
      <w:numPr>
        <w:numId w:val="15"/>
      </w:numPr>
    </w:pPr>
  </w:style>
  <w:style w:type="numbering" w:customStyle="1" w:styleId="Style2">
    <w:name w:val="Style2"/>
    <w:rsid w:val="00580D71"/>
    <w:pPr>
      <w:numPr>
        <w:numId w:val="16"/>
      </w:numPr>
    </w:pPr>
  </w:style>
  <w:style w:type="paragraph" w:styleId="PlainText">
    <w:name w:val="Plain Text"/>
    <w:basedOn w:val="Normal"/>
    <w:link w:val="PlainTextChar"/>
    <w:rsid w:val="00580D71"/>
    <w:pPr>
      <w:spacing w:after="0" w:line="240" w:lineRule="auto"/>
      <w:ind w:left="288"/>
      <w:jc w:val="both"/>
    </w:pPr>
    <w:rPr>
      <w:rFonts w:eastAsiaTheme="minorEastAsia"/>
      <w:sz w:val="20"/>
      <w:szCs w:val="24"/>
    </w:rPr>
  </w:style>
  <w:style w:type="character" w:customStyle="1" w:styleId="PlainTextChar">
    <w:name w:val="Plain Text Char"/>
    <w:basedOn w:val="DefaultParagraphFont"/>
    <w:link w:val="PlainText"/>
    <w:rsid w:val="00580D71"/>
    <w:rPr>
      <w:rFonts w:ascii="Arial" w:eastAsiaTheme="minorEastAsia" w:hAnsi="Arial"/>
      <w:sz w:val="20"/>
      <w:lang w:eastAsia="en-US"/>
    </w:rPr>
  </w:style>
  <w:style w:type="table" w:styleId="TableGrid">
    <w:name w:val="Table Grid"/>
    <w:basedOn w:val="TableNormal"/>
    <w:uiPriority w:val="59"/>
    <w:rsid w:val="00580D71"/>
    <w:rPr>
      <w:rFonts w:ascii="Times New Roman" w:eastAsiaTheme="minorEastAsia"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580D71"/>
    <w:rPr>
      <w:rFonts w:asciiTheme="minorHAnsi" w:eastAsia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Web">
    <w:name w:val="Normal (Web)"/>
    <w:basedOn w:val="Normal"/>
    <w:uiPriority w:val="99"/>
    <w:rsid w:val="00580D71"/>
    <w:pPr>
      <w:spacing w:beforeLines="1" w:afterLines="1" w:line="240" w:lineRule="auto"/>
    </w:pPr>
    <w:rPr>
      <w:rFonts w:ascii="Times" w:eastAsiaTheme="minorHAnsi" w:hAnsi="Times"/>
      <w:sz w:val="20"/>
      <w:szCs w:val="20"/>
      <w:lang w:val="en-GB"/>
    </w:rPr>
  </w:style>
  <w:style w:type="character" w:styleId="Hyperlink">
    <w:name w:val="Hyperlink"/>
    <w:basedOn w:val="DefaultParagraphFont"/>
    <w:rsid w:val="0013300D"/>
    <w:rPr>
      <w:color w:val="0000FF" w:themeColor="hyperlink"/>
      <w:u w:val="single"/>
    </w:rPr>
  </w:style>
  <w:style w:type="paragraph" w:styleId="Revision">
    <w:name w:val="Revision"/>
    <w:hidden/>
    <w:rsid w:val="00F92C9B"/>
    <w:rPr>
      <w:rFonts w:ascii="Arial" w:hAnsi="Arial"/>
      <w:szCs w:val="22"/>
      <w:lang w:eastAsia="en-US"/>
    </w:rPr>
  </w:style>
  <w:style w:type="paragraph" w:customStyle="1" w:styleId="Default">
    <w:name w:val="Default"/>
    <w:rsid w:val="00C67AA0"/>
    <w:pPr>
      <w:autoSpaceDE w:val="0"/>
      <w:autoSpaceDN w:val="0"/>
      <w:adjustRightInd w:val="0"/>
    </w:pPr>
    <w:rPr>
      <w:rFonts w:ascii="Arial" w:hAnsi="Arial" w:cs="Arial"/>
      <w:color w:val="000000"/>
    </w:rPr>
  </w:style>
  <w:style w:type="paragraph" w:customStyle="1" w:styleId="AHPRAbody">
    <w:name w:val="AHPRA body"/>
    <w:basedOn w:val="Normal"/>
    <w:link w:val="AHPRAbodyChar"/>
    <w:qFormat/>
    <w:rsid w:val="00ED6969"/>
    <w:pPr>
      <w:spacing w:line="240" w:lineRule="auto"/>
    </w:pPr>
    <w:rPr>
      <w:rFonts w:eastAsia="Cambria" w:cs="Arial"/>
      <w:sz w:val="20"/>
      <w:szCs w:val="24"/>
    </w:rPr>
  </w:style>
  <w:style w:type="character" w:customStyle="1" w:styleId="AHPRAbodyChar">
    <w:name w:val="AHPRA body Char"/>
    <w:basedOn w:val="DefaultParagraphFont"/>
    <w:link w:val="AHPRAbody"/>
    <w:rsid w:val="00ED6969"/>
    <w:rPr>
      <w:rFonts w:ascii="Arial" w:eastAsia="Cambria" w:hAnsi="Arial" w:cs="Arial"/>
      <w:sz w:val="20"/>
      <w:lang w:eastAsia="en-US"/>
    </w:rPr>
  </w:style>
  <w:style w:type="paragraph" w:customStyle="1" w:styleId="AHPRAnumberedsubheadinglevel1">
    <w:name w:val="AHPRA numbered subheading level 1"/>
    <w:basedOn w:val="Normal"/>
    <w:next w:val="AHPRAnumberedbulletpoint"/>
    <w:rsid w:val="001B0138"/>
    <w:pPr>
      <w:numPr>
        <w:numId w:val="45"/>
      </w:numPr>
      <w:spacing w:before="200" w:line="240" w:lineRule="auto"/>
      <w:ind w:left="369" w:hanging="369"/>
    </w:pPr>
    <w:rPr>
      <w:rFonts w:eastAsia="Cambria"/>
      <w:b/>
      <w:color w:val="008EC4"/>
      <w:sz w:val="20"/>
      <w:szCs w:val="24"/>
      <w:lang w:val="en-US"/>
    </w:rPr>
  </w:style>
  <w:style w:type="paragraph" w:customStyle="1" w:styleId="AHPRAnumberedbulletpoint">
    <w:name w:val="AHPRA numbered bullet point"/>
    <w:basedOn w:val="AHPRAnumberedsubheadinglevel1"/>
    <w:link w:val="AHPRAnumberedbulletpointChar"/>
    <w:rsid w:val="001B0138"/>
    <w:pPr>
      <w:numPr>
        <w:ilvl w:val="1"/>
      </w:numPr>
    </w:pPr>
    <w:rPr>
      <w:b w:val="0"/>
      <w:color w:val="auto"/>
    </w:rPr>
  </w:style>
  <w:style w:type="numbering" w:customStyle="1" w:styleId="AHPRAlist">
    <w:name w:val="AHPRA list"/>
    <w:uiPriority w:val="99"/>
    <w:rsid w:val="001B0138"/>
    <w:pPr>
      <w:numPr>
        <w:numId w:val="46"/>
      </w:numPr>
    </w:pPr>
  </w:style>
  <w:style w:type="character" w:customStyle="1" w:styleId="AHPRAnumberedbulletpointChar">
    <w:name w:val="AHPRA numbered bullet point Char"/>
    <w:basedOn w:val="DefaultParagraphFont"/>
    <w:link w:val="AHPRAnumberedbulletpoint"/>
    <w:rsid w:val="001B0138"/>
    <w:rPr>
      <w:rFonts w:ascii="Arial" w:eastAsia="Cambria" w:hAnsi="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A61CA-B9B6-4BA3-9B46-AC769551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AUDIT &amp; RISK MANAGEMENT COMMITTEE CHARTER</vt:lpstr>
    </vt:vector>
  </TitlesOfParts>
  <Company>AHPRA</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Committee Annual Report 2016-16</dc:title>
  <dc:subject>Report</dc:subject>
  <dc:creator>AHPRA</dc:creator>
  <cp:lastModifiedBy>Sheryl Kamath</cp:lastModifiedBy>
  <cp:revision>2</cp:revision>
  <cp:lastPrinted>2016-08-12T06:28:00Z</cp:lastPrinted>
  <dcterms:created xsi:type="dcterms:W3CDTF">2016-11-24T00:03:00Z</dcterms:created>
  <dcterms:modified xsi:type="dcterms:W3CDTF">2016-11-24T00:03:00Z</dcterms:modified>
</cp:coreProperties>
</file>