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489" w:rsidRDefault="00974489" w:rsidP="00974489">
      <w:pPr>
        <w:pStyle w:val="Heading1"/>
      </w:pPr>
      <w:bookmarkStart w:id="0" w:name="_Toc453007384"/>
      <w:bookmarkStart w:id="1" w:name="_Toc453007437"/>
      <w:r>
        <w:t>Psychology regulation at work in Australia, 2014/15</w:t>
      </w:r>
      <w:bookmarkEnd w:id="0"/>
      <w:bookmarkEnd w:id="1"/>
    </w:p>
    <w:p w:rsidR="00974489" w:rsidRDefault="00974489" w:rsidP="00974489">
      <w:pPr>
        <w:pStyle w:val="AHPRABody0"/>
      </w:pPr>
      <w:r>
        <w:t>Regulating psychologists in the National Regulation and Accreditation Scheme</w:t>
      </w:r>
    </w:p>
    <w:p w:rsidR="00974489" w:rsidRDefault="00974489" w:rsidP="00974489">
      <w:pPr>
        <w:pStyle w:val="AHPRABody0"/>
        <w:spacing w:before="360"/>
      </w:pPr>
      <w:bookmarkStart w:id="2" w:name="_GoBack"/>
      <w:bookmarkEnd w:id="2"/>
    </w:p>
    <w:p w:rsidR="00974489" w:rsidRDefault="00974489" w:rsidP="00974489">
      <w:pPr>
        <w:pStyle w:val="AHPRABody0"/>
      </w:pPr>
      <w:r>
        <w:t>Managing risk to the public</w:t>
      </w:r>
    </w:p>
    <w:p w:rsidR="00974489" w:rsidRDefault="00974489" w:rsidP="00974489">
      <w:pPr>
        <w:pStyle w:val="AHPRABody0"/>
      </w:pPr>
    </w:p>
    <w:p w:rsidR="00974489" w:rsidRDefault="00974489" w:rsidP="00974489">
      <w:pPr>
        <w:pStyle w:val="AHPRABody0"/>
      </w:pPr>
      <w:r>
        <w:t>Regulating psychologists</w:t>
      </w:r>
    </w:p>
    <w:p w:rsidR="00974489" w:rsidRDefault="00974489" w:rsidP="00974489">
      <w:pPr>
        <w:pStyle w:val="AHPRABody0"/>
      </w:pPr>
    </w:p>
    <w:p w:rsidR="00974489" w:rsidRDefault="00974489" w:rsidP="00974489">
      <w:pPr>
        <w:pStyle w:val="AHPRABody0"/>
      </w:pPr>
    </w:p>
    <w:p w:rsidR="00974489" w:rsidRDefault="00974489" w:rsidP="00974489">
      <w:pPr>
        <w:pStyle w:val="AHPRABody0"/>
      </w:pPr>
      <w:r>
        <w:t xml:space="preserve">Download this summary of the work of the Psychology Board in 2014/15 from </w:t>
      </w:r>
      <w:hyperlink r:id="rId8" w:history="1">
        <w:r w:rsidRPr="00DA3DA2">
          <w:rPr>
            <w:rStyle w:val="Hyperlink"/>
            <w:rFonts w:eastAsia="Cambria"/>
          </w:rPr>
          <w:t>www.ahpra.org.au</w:t>
        </w:r>
      </w:hyperlink>
      <w:r>
        <w:t xml:space="preserve"> or go to </w:t>
      </w:r>
      <w:hyperlink r:id="rId9" w:history="1">
        <w:r w:rsidRPr="00DA3DA2">
          <w:rPr>
            <w:rStyle w:val="Hyperlink"/>
            <w:rFonts w:eastAsia="Cambria"/>
          </w:rPr>
          <w:t>www.psychologyboard.org.au</w:t>
        </w:r>
      </w:hyperlink>
      <w:r>
        <w:t xml:space="preserve"> </w:t>
      </w:r>
    </w:p>
    <w:p w:rsidR="00974489" w:rsidRPr="000728D1" w:rsidRDefault="00974489" w:rsidP="00974489">
      <w:pPr>
        <w:spacing w:line="276" w:lineRule="auto"/>
        <w:rPr>
          <w:rFonts w:eastAsia="Times New Roman" w:cs="Arial"/>
          <w:noProof/>
          <w:sz w:val="20"/>
          <w:szCs w:val="20"/>
          <w:lang w:eastAsia="en-AU"/>
        </w:rPr>
      </w:pPr>
      <w:r>
        <w:br w:type="page"/>
      </w:r>
    </w:p>
    <w:p w:rsidR="00974489" w:rsidRDefault="00974489" w:rsidP="00974489">
      <w:pPr>
        <w:pStyle w:val="AHPRASubheading"/>
      </w:pPr>
      <w:r>
        <w:lastRenderedPageBreak/>
        <w:t>Highlights</w:t>
      </w:r>
    </w:p>
    <w:p w:rsidR="00974489" w:rsidRDefault="00974489" w:rsidP="00974489">
      <w:pPr>
        <w:pStyle w:val="AHPRABody0"/>
        <w:numPr>
          <w:ilvl w:val="0"/>
          <w:numId w:val="27"/>
        </w:numPr>
      </w:pPr>
      <w:r>
        <w:t>Audit carried out of all serious complaints against psychologists</w:t>
      </w:r>
    </w:p>
    <w:p w:rsidR="00974489" w:rsidRDefault="00974489" w:rsidP="00974489">
      <w:pPr>
        <w:pStyle w:val="AHPRABody0"/>
        <w:numPr>
          <w:ilvl w:val="0"/>
          <w:numId w:val="27"/>
        </w:numPr>
      </w:pPr>
      <w:r>
        <w:t>Review of approved supervisor training program</w:t>
      </w:r>
    </w:p>
    <w:p w:rsidR="00974489" w:rsidRDefault="00974489" w:rsidP="00974489">
      <w:pPr>
        <w:pStyle w:val="AHPRABody0"/>
        <w:numPr>
          <w:ilvl w:val="0"/>
          <w:numId w:val="27"/>
        </w:numPr>
      </w:pPr>
      <w:r>
        <w:t>72 supervisor training workshops held</w:t>
      </w:r>
    </w:p>
    <w:p w:rsidR="00974489" w:rsidRDefault="00974489" w:rsidP="00974489">
      <w:pPr>
        <w:pStyle w:val="AHPRABody0"/>
        <w:numPr>
          <w:ilvl w:val="0"/>
          <w:numId w:val="27"/>
        </w:numPr>
      </w:pPr>
      <w:r>
        <w:t>Strengthened ties with international regulators</w:t>
      </w:r>
    </w:p>
    <w:p w:rsidR="00974489" w:rsidRDefault="00974489" w:rsidP="00974489">
      <w:pPr>
        <w:pStyle w:val="AHPRABody0"/>
        <w:numPr>
          <w:ilvl w:val="0"/>
          <w:numId w:val="27"/>
        </w:numPr>
      </w:pPr>
      <w:r>
        <w:t>88% overall pass rate for the National Psychology Examination, sat by 247 candidates</w:t>
      </w:r>
    </w:p>
    <w:p w:rsidR="00974489" w:rsidRDefault="00974489" w:rsidP="00974489">
      <w:pPr>
        <w:pStyle w:val="AHPRABody0"/>
        <w:numPr>
          <w:ilvl w:val="0"/>
          <w:numId w:val="27"/>
        </w:numPr>
      </w:pPr>
      <w:r>
        <w:t>32,766 registered psychologists in Australia on 30 June 2015</w:t>
      </w:r>
    </w:p>
    <w:p w:rsidR="00974489" w:rsidRDefault="00974489" w:rsidP="00974489">
      <w:pPr>
        <w:pStyle w:val="AHPRABody0"/>
        <w:numPr>
          <w:ilvl w:val="0"/>
          <w:numId w:val="27"/>
        </w:numPr>
      </w:pPr>
      <w:r>
        <w:t xml:space="preserve">3.31% increase in number of </w:t>
      </w:r>
      <w:r w:rsidRPr="006E62A7">
        <w:t>registered psychologists</w:t>
      </w:r>
      <w:r>
        <w:t xml:space="preserve"> compared to 2013/14</w:t>
      </w:r>
    </w:p>
    <w:p w:rsidR="00974489" w:rsidRDefault="00974489" w:rsidP="00974489">
      <w:pPr>
        <w:pStyle w:val="AHPRABody0"/>
        <w:numPr>
          <w:ilvl w:val="0"/>
          <w:numId w:val="27"/>
        </w:numPr>
      </w:pPr>
      <w:r>
        <w:t xml:space="preserve">33% of </w:t>
      </w:r>
      <w:r w:rsidRPr="006E62A7">
        <w:t>registered psychologists</w:t>
      </w:r>
      <w:r>
        <w:t xml:space="preserve"> are based in New South Wales, 27% are based in Victoria</w:t>
      </w:r>
    </w:p>
    <w:p w:rsidR="00974489" w:rsidRDefault="00974489" w:rsidP="00974489">
      <w:pPr>
        <w:pStyle w:val="AHPRABody0"/>
        <w:numPr>
          <w:ilvl w:val="0"/>
          <w:numId w:val="27"/>
        </w:numPr>
      </w:pPr>
      <w:r>
        <w:t xml:space="preserve">29.4% of </w:t>
      </w:r>
      <w:r w:rsidRPr="006E62A7">
        <w:t>registered psychologists</w:t>
      </w:r>
      <w:r>
        <w:t xml:space="preserve"> are aged under 35</w:t>
      </w:r>
    </w:p>
    <w:p w:rsidR="00974489" w:rsidRDefault="00974489" w:rsidP="00974489">
      <w:pPr>
        <w:pStyle w:val="AHPRABody0"/>
        <w:numPr>
          <w:ilvl w:val="0"/>
          <w:numId w:val="27"/>
        </w:numPr>
      </w:pPr>
      <w:r>
        <w:t>10,643 endorsements held by psychologists on 30 June 2015 – 66% are for clinical psychology</w:t>
      </w:r>
    </w:p>
    <w:p w:rsidR="00974489" w:rsidRDefault="00974489" w:rsidP="00974489">
      <w:pPr>
        <w:pStyle w:val="AHPRABody0"/>
        <w:numPr>
          <w:ilvl w:val="0"/>
          <w:numId w:val="27"/>
        </w:numPr>
      </w:pPr>
      <w:r>
        <w:t xml:space="preserve">432 notifications about </w:t>
      </w:r>
      <w:r w:rsidRPr="006E62A7">
        <w:t>registered psychologists</w:t>
      </w:r>
      <w:r>
        <w:t xml:space="preserve"> – 1.3% of the registrant base</w:t>
      </w:r>
    </w:p>
    <w:p w:rsidR="00974489" w:rsidRDefault="00974489" w:rsidP="00974489">
      <w:pPr>
        <w:pStyle w:val="AHPRABody0"/>
        <w:numPr>
          <w:ilvl w:val="0"/>
          <w:numId w:val="27"/>
        </w:numPr>
      </w:pPr>
      <w:r>
        <w:t xml:space="preserve">11% decrease in notifications about </w:t>
      </w:r>
      <w:r w:rsidRPr="0036417E">
        <w:t>registered psychologists</w:t>
      </w:r>
      <w:r>
        <w:t xml:space="preserve"> compared to 2013/14</w:t>
      </w:r>
    </w:p>
    <w:p w:rsidR="00974489" w:rsidRDefault="00974489" w:rsidP="00974489">
      <w:pPr>
        <w:pStyle w:val="AHPRABody0"/>
        <w:numPr>
          <w:ilvl w:val="0"/>
          <w:numId w:val="27"/>
        </w:numPr>
      </w:pPr>
      <w:r>
        <w:t>Of the 313 notifications closed in 2014/15 (excluding New South Wales), 56% were concluded after assessment and 25% after an investigation</w:t>
      </w:r>
    </w:p>
    <w:p w:rsidR="00974489" w:rsidRDefault="00974489" w:rsidP="00974489">
      <w:pPr>
        <w:pStyle w:val="AHPRABody0"/>
        <w:numPr>
          <w:ilvl w:val="0"/>
          <w:numId w:val="27"/>
        </w:numPr>
      </w:pPr>
      <w:r>
        <w:t>65% of closed notifications (excluding New South Wales) led to no further action and 13% resulted in a caution being issued</w:t>
      </w:r>
    </w:p>
    <w:p w:rsidR="00974489" w:rsidRDefault="00974489" w:rsidP="00974489">
      <w:pPr>
        <w:pStyle w:val="AHPRABody0"/>
        <w:numPr>
          <w:ilvl w:val="0"/>
          <w:numId w:val="27"/>
        </w:numPr>
      </w:pPr>
      <w:r>
        <w:t>Eight immediate action cases, compared to five last year</w:t>
      </w:r>
    </w:p>
    <w:p w:rsidR="00974489" w:rsidRDefault="00974489" w:rsidP="00974489">
      <w:pPr>
        <w:pStyle w:val="AHPRABody0"/>
        <w:numPr>
          <w:ilvl w:val="0"/>
          <w:numId w:val="27"/>
        </w:numPr>
      </w:pPr>
      <w:r>
        <w:t xml:space="preserve">177 </w:t>
      </w:r>
      <w:r w:rsidRPr="006E62A7">
        <w:t>registered psychologists</w:t>
      </w:r>
      <w:r>
        <w:t xml:space="preserve"> under active monitoring on 30 June 2015 – 34% due to suitability/eligibility and 28% due to conduct.</w:t>
      </w:r>
    </w:p>
    <w:p w:rsidR="00974489" w:rsidRDefault="00974489" w:rsidP="00974489">
      <w:pPr>
        <w:rPr>
          <w:rFonts w:eastAsia="Times New Roman" w:cs="Arial"/>
          <w:sz w:val="20"/>
          <w:szCs w:val="20"/>
          <w:lang w:eastAsia="en-AU"/>
        </w:rPr>
      </w:pPr>
      <w:r>
        <w:br w:type="page"/>
      </w:r>
    </w:p>
    <w:p w:rsidR="00974489" w:rsidRPr="001E477C" w:rsidRDefault="00974489" w:rsidP="00974489">
      <w:pPr>
        <w:pStyle w:val="Heading2"/>
      </w:pPr>
      <w:bookmarkStart w:id="3" w:name="_Toc453007438"/>
      <w:r>
        <w:t>About this report</w:t>
      </w:r>
      <w:bookmarkEnd w:id="3"/>
    </w:p>
    <w:p w:rsidR="00974489" w:rsidRPr="004D2E4C" w:rsidRDefault="00974489" w:rsidP="00974489">
      <w:pPr>
        <w:pStyle w:val="AHPRAbody"/>
      </w:pPr>
      <w:r>
        <w:t>This</w:t>
      </w:r>
      <w:r w:rsidRPr="004D2E4C">
        <w:t xml:space="preserve"> report provides a profession-specific view of the Psychology Boa</w:t>
      </w:r>
      <w:r>
        <w:t xml:space="preserve">rd of Australia’s </w:t>
      </w:r>
      <w:r w:rsidRPr="004D2E4C">
        <w:t>work to manage risk to the public and regulate the profession in the public interest.</w:t>
      </w:r>
    </w:p>
    <w:p w:rsidR="00974489" w:rsidRPr="004D2E4C" w:rsidRDefault="00974489" w:rsidP="00974489">
      <w:pPr>
        <w:pStyle w:val="AHPRAbody"/>
      </w:pPr>
      <w:r w:rsidRPr="004D2E4C">
        <w:t>The Board has worked in close partnership with the</w:t>
      </w:r>
      <w:r>
        <w:t xml:space="preserve"> Australian Health Practitioner</w:t>
      </w:r>
      <w:r w:rsidRPr="004D2E4C">
        <w:t xml:space="preserve"> Regulation Agency (AHPRA) to bring out the best of the </w:t>
      </w:r>
      <w:r w:rsidRPr="00C87B44">
        <w:t xml:space="preserve">National Registration and Accreditation Scheme </w:t>
      </w:r>
      <w:r>
        <w:t>(</w:t>
      </w:r>
      <w:r w:rsidRPr="004D2E4C">
        <w:t>National Scheme</w:t>
      </w:r>
      <w:r>
        <w:t>)</w:t>
      </w:r>
      <w:r w:rsidRPr="004D2E4C">
        <w:t xml:space="preserve"> for all Australians.</w:t>
      </w:r>
    </w:p>
    <w:p w:rsidR="00974489" w:rsidRPr="004D2E4C" w:rsidRDefault="00974489" w:rsidP="00974489">
      <w:pPr>
        <w:pStyle w:val="AHPRAbody"/>
      </w:pPr>
      <w:r w:rsidRPr="004D2E4C">
        <w:t xml:space="preserve">The data in this report are drawn from data published in the 2014/15 </w:t>
      </w:r>
      <w:hyperlink r:id="rId10" w:history="1">
        <w:r w:rsidRPr="00C87B44">
          <w:rPr>
            <w:rStyle w:val="Hyperlink"/>
          </w:rPr>
          <w:t>annual report</w:t>
        </w:r>
      </w:hyperlink>
      <w:r w:rsidRPr="004D2E4C">
        <w:t xml:space="preserve"> of AHPRA and the National Boards, reporting on the National Registration and Accreditation Scheme.</w:t>
      </w:r>
    </w:p>
    <w:p w:rsidR="00974489" w:rsidRPr="004D2E4C" w:rsidRDefault="00974489" w:rsidP="00974489">
      <w:pPr>
        <w:pStyle w:val="AHPRAbody"/>
      </w:pPr>
      <w:r w:rsidRPr="004D2E4C">
        <w:t xml:space="preserve">This report looks at these data through a profession-specific lens. Wherever possible, historical data are provided to show trends over time, as well as comparisons between states and territories. </w:t>
      </w:r>
    </w:p>
    <w:p w:rsidR="00974489" w:rsidRPr="004D2E4C" w:rsidRDefault="00974489" w:rsidP="00974489">
      <w:pPr>
        <w:pStyle w:val="AHPRAbody"/>
      </w:pPr>
      <w:r w:rsidRPr="004D2E4C">
        <w:t xml:space="preserve">For completeness and wider context about the National Scheme, as well as analysis across professions, this report should be read in conjunction with 2014/15 </w:t>
      </w:r>
      <w:hyperlink r:id="rId11" w:history="1">
        <w:r w:rsidRPr="00C87B44">
          <w:rPr>
            <w:rStyle w:val="Hyperlink"/>
          </w:rPr>
          <w:t>annual report</w:t>
        </w:r>
      </w:hyperlink>
      <w:r w:rsidRPr="004D2E4C">
        <w:t xml:space="preserve"> of AHPRA and the National Boards. </w:t>
      </w:r>
    </w:p>
    <w:p w:rsidR="00974489" w:rsidRDefault="00974489" w:rsidP="00974489">
      <w:pPr>
        <w:spacing w:line="276" w:lineRule="auto"/>
        <w:rPr>
          <w:b/>
          <w:color w:val="007DC3"/>
          <w:sz w:val="20"/>
        </w:rPr>
      </w:pPr>
      <w:r>
        <w:br w:type="page"/>
      </w:r>
    </w:p>
    <w:sdt>
      <w:sdtPr>
        <w:rPr>
          <w:b w:val="0"/>
          <w:szCs w:val="24"/>
        </w:rPr>
        <w:id w:val="-367524401"/>
        <w:docPartObj>
          <w:docPartGallery w:val="Table of Contents"/>
          <w:docPartUnique/>
        </w:docPartObj>
      </w:sdtPr>
      <w:sdtEndPr>
        <w:rPr>
          <w:bCs/>
          <w:noProof/>
        </w:rPr>
      </w:sdtEndPr>
      <w:sdtContent>
        <w:p w:rsidR="004E14A7" w:rsidRDefault="004E14A7" w:rsidP="004E14A7">
          <w:pPr>
            <w:pStyle w:val="AHPRASubheadinglevel2"/>
          </w:pPr>
          <w:r>
            <w:t>Contents</w:t>
          </w:r>
        </w:p>
        <w:p w:rsidR="004E14A7" w:rsidRPr="004E14A7" w:rsidRDefault="004E14A7" w:rsidP="004E14A7">
          <w:pPr>
            <w:pStyle w:val="TableofFigures"/>
            <w:tabs>
              <w:tab w:val="right" w:leader="dot" w:pos="9016"/>
            </w:tabs>
            <w:rPr>
              <w:rStyle w:val="Hyperlink"/>
            </w:rPr>
          </w:pPr>
          <w:r>
            <w:rPr>
              <w:iCs/>
              <w:noProof/>
              <w:szCs w:val="20"/>
            </w:rPr>
            <w:fldChar w:fldCharType="begin"/>
          </w:r>
          <w:r>
            <w:rPr>
              <w:iCs/>
              <w:noProof/>
              <w:szCs w:val="20"/>
            </w:rPr>
            <w:instrText xml:space="preserve"> TOC \o "1-3" \n \h \z \u </w:instrText>
          </w:r>
          <w:r>
            <w:rPr>
              <w:iCs/>
              <w:noProof/>
              <w:szCs w:val="20"/>
            </w:rPr>
            <w:fldChar w:fldCharType="separate"/>
          </w:r>
          <w:hyperlink w:anchor="_Toc453007438" w:history="1">
            <w:r w:rsidRPr="00755862">
              <w:rPr>
                <w:rStyle w:val="Hyperlink"/>
                <w:noProof/>
              </w:rPr>
              <w:t>About this report</w:t>
            </w:r>
          </w:hyperlink>
        </w:p>
        <w:p w:rsidR="004E14A7" w:rsidRPr="004E14A7" w:rsidRDefault="003A7386" w:rsidP="004E14A7">
          <w:pPr>
            <w:pStyle w:val="TableofFigures"/>
            <w:tabs>
              <w:tab w:val="right" w:leader="dot" w:pos="9016"/>
            </w:tabs>
            <w:rPr>
              <w:rStyle w:val="Hyperlink"/>
            </w:rPr>
          </w:pPr>
          <w:hyperlink w:anchor="_Toc453007441" w:history="1">
            <w:r w:rsidR="004E14A7" w:rsidRPr="00755862">
              <w:rPr>
                <w:rStyle w:val="Hyperlink"/>
                <w:noProof/>
              </w:rPr>
              <w:t>Message from the Chair, Psychology Board of Australia</w:t>
            </w:r>
          </w:hyperlink>
        </w:p>
        <w:p w:rsidR="004E14A7" w:rsidRPr="004E14A7" w:rsidRDefault="003A7386" w:rsidP="004E14A7">
          <w:pPr>
            <w:pStyle w:val="TableofFigures"/>
            <w:tabs>
              <w:tab w:val="right" w:leader="dot" w:pos="9016"/>
            </w:tabs>
            <w:rPr>
              <w:rStyle w:val="Hyperlink"/>
            </w:rPr>
          </w:pPr>
          <w:hyperlink w:anchor="_Toc453007442" w:history="1">
            <w:r w:rsidR="004E14A7" w:rsidRPr="00755862">
              <w:rPr>
                <w:rStyle w:val="Hyperlink"/>
                <w:noProof/>
              </w:rPr>
              <w:t>Message from the Agency Management Committee Chair and the AHPRA CEO</w:t>
            </w:r>
          </w:hyperlink>
        </w:p>
        <w:p w:rsidR="004E14A7" w:rsidRPr="004E14A7" w:rsidRDefault="003A7386" w:rsidP="004E14A7">
          <w:pPr>
            <w:pStyle w:val="TableofFigures"/>
            <w:tabs>
              <w:tab w:val="right" w:leader="dot" w:pos="9016"/>
            </w:tabs>
            <w:rPr>
              <w:rStyle w:val="Hyperlink"/>
            </w:rPr>
          </w:pPr>
          <w:hyperlink w:anchor="_Toc453007443" w:history="1">
            <w:r w:rsidR="004E14A7" w:rsidRPr="00755862">
              <w:rPr>
                <w:rStyle w:val="Hyperlink"/>
                <w:noProof/>
              </w:rPr>
              <w:t>Major outcomes/achievements 2014/15</w:t>
            </w:r>
          </w:hyperlink>
        </w:p>
        <w:p w:rsidR="004E14A7" w:rsidRPr="004E14A7" w:rsidRDefault="003A7386" w:rsidP="004E14A7">
          <w:pPr>
            <w:pStyle w:val="TableofFigures"/>
            <w:tabs>
              <w:tab w:val="right" w:leader="dot" w:pos="9016"/>
            </w:tabs>
            <w:rPr>
              <w:rStyle w:val="Hyperlink"/>
            </w:rPr>
          </w:pPr>
          <w:hyperlink w:anchor="_Toc453007454" w:history="1">
            <w:r w:rsidR="004E14A7" w:rsidRPr="00755862">
              <w:rPr>
                <w:rStyle w:val="Hyperlink"/>
                <w:noProof/>
              </w:rPr>
              <w:t>Board-specific registration, notifications, and monitoring and compliance data 2014/15</w:t>
            </w:r>
          </w:hyperlink>
        </w:p>
        <w:p w:rsidR="004E14A7" w:rsidRPr="004E14A7" w:rsidRDefault="003A7386" w:rsidP="004E14A7">
          <w:pPr>
            <w:pStyle w:val="TableofFigures"/>
            <w:tabs>
              <w:tab w:val="right" w:leader="dot" w:pos="9016"/>
            </w:tabs>
            <w:rPr>
              <w:rStyle w:val="Hyperlink"/>
            </w:rPr>
          </w:pPr>
          <w:hyperlink w:anchor="_Toc453007461" w:history="1">
            <w:r w:rsidR="004E14A7" w:rsidRPr="00755862">
              <w:rPr>
                <w:rStyle w:val="Hyperlink"/>
                <w:noProof/>
              </w:rPr>
              <w:t>Working across the professions</w:t>
            </w:r>
          </w:hyperlink>
        </w:p>
        <w:p w:rsidR="004E14A7" w:rsidRPr="004E14A7" w:rsidRDefault="003A7386" w:rsidP="004E14A7">
          <w:pPr>
            <w:pStyle w:val="TableofFigures"/>
            <w:tabs>
              <w:tab w:val="right" w:leader="dot" w:pos="9016"/>
            </w:tabs>
            <w:rPr>
              <w:rStyle w:val="Hyperlink"/>
            </w:rPr>
          </w:pPr>
          <w:hyperlink w:anchor="_Toc453007468" w:history="1">
            <w:r w:rsidR="004E14A7" w:rsidRPr="00755862">
              <w:rPr>
                <w:rStyle w:val="Hyperlink"/>
                <w:noProof/>
              </w:rPr>
              <w:t>Members of the Psychology Board of Australia in 2014/15</w:t>
            </w:r>
          </w:hyperlink>
        </w:p>
        <w:p w:rsidR="004E14A7" w:rsidRDefault="004E14A7">
          <w:r>
            <w:rPr>
              <w:iCs/>
              <w:noProof/>
              <w:sz w:val="20"/>
              <w:szCs w:val="20"/>
            </w:rPr>
            <w:fldChar w:fldCharType="end"/>
          </w:r>
        </w:p>
      </w:sdtContent>
    </w:sdt>
    <w:p w:rsidR="00974489" w:rsidRDefault="00974489" w:rsidP="00974489">
      <w:pPr>
        <w:pStyle w:val="AHPRASubheadinglevel2"/>
      </w:pPr>
      <w:bookmarkStart w:id="4" w:name="_Toc453007440"/>
      <w:r>
        <w:t>List of tables</w:t>
      </w:r>
      <w:bookmarkEnd w:id="4"/>
    </w:p>
    <w:p w:rsidR="004E14A7" w:rsidRDefault="004E14A7">
      <w:pPr>
        <w:pStyle w:val="TableofFigures"/>
        <w:tabs>
          <w:tab w:val="right" w:leader="dot" w:pos="9016"/>
        </w:tabs>
        <w:rPr>
          <w:rFonts w:asciiTheme="minorHAnsi" w:eastAsiaTheme="minorEastAsia" w:hAnsiTheme="minorHAnsi" w:cstheme="minorBidi"/>
          <w:noProof/>
          <w:sz w:val="22"/>
          <w:szCs w:val="22"/>
          <w:lang w:eastAsia="en-AU"/>
        </w:rPr>
      </w:pPr>
      <w:r>
        <w:fldChar w:fldCharType="begin"/>
      </w:r>
      <w:r>
        <w:instrText xml:space="preserve"> TOC \n \h \z \c "Table" </w:instrText>
      </w:r>
      <w:r>
        <w:fldChar w:fldCharType="separate"/>
      </w:r>
      <w:hyperlink w:anchor="_Toc453007260" w:history="1">
        <w:r w:rsidRPr="009F742D">
          <w:rPr>
            <w:rStyle w:val="Hyperlink"/>
            <w:noProof/>
          </w:rPr>
          <w:t>Table PSY1: Registrant numbers at 30 June 2015</w:t>
        </w:r>
      </w:hyperlink>
    </w:p>
    <w:p w:rsidR="004E14A7" w:rsidRDefault="003A7386">
      <w:pPr>
        <w:pStyle w:val="TableofFigures"/>
        <w:tabs>
          <w:tab w:val="right" w:leader="dot" w:pos="9016"/>
        </w:tabs>
        <w:rPr>
          <w:rFonts w:asciiTheme="minorHAnsi" w:eastAsiaTheme="minorEastAsia" w:hAnsiTheme="minorHAnsi" w:cstheme="minorBidi"/>
          <w:noProof/>
          <w:sz w:val="22"/>
          <w:szCs w:val="22"/>
          <w:lang w:eastAsia="en-AU"/>
        </w:rPr>
      </w:pPr>
      <w:hyperlink w:anchor="_Toc453007261" w:history="1">
        <w:r w:rsidR="004E14A7" w:rsidRPr="009F742D">
          <w:rPr>
            <w:rStyle w:val="Hyperlink"/>
            <w:noProof/>
          </w:rPr>
          <w:t>Table PSY2: Registered practitioners by age</w:t>
        </w:r>
      </w:hyperlink>
    </w:p>
    <w:p w:rsidR="004E14A7" w:rsidRDefault="003A7386">
      <w:pPr>
        <w:pStyle w:val="TableofFigures"/>
        <w:tabs>
          <w:tab w:val="right" w:leader="dot" w:pos="9016"/>
        </w:tabs>
        <w:rPr>
          <w:rFonts w:asciiTheme="minorHAnsi" w:eastAsiaTheme="minorEastAsia" w:hAnsiTheme="minorHAnsi" w:cstheme="minorBidi"/>
          <w:noProof/>
          <w:sz w:val="22"/>
          <w:szCs w:val="22"/>
          <w:lang w:eastAsia="en-AU"/>
        </w:rPr>
      </w:pPr>
      <w:hyperlink w:anchor="_Toc453007262" w:history="1">
        <w:r w:rsidR="004E14A7" w:rsidRPr="009F742D">
          <w:rPr>
            <w:rStyle w:val="Hyperlink"/>
            <w:noProof/>
          </w:rPr>
          <w:t>Table PSY3: Notifications received by state or territory</w:t>
        </w:r>
      </w:hyperlink>
    </w:p>
    <w:p w:rsidR="004E14A7" w:rsidRDefault="003A7386">
      <w:pPr>
        <w:pStyle w:val="TableofFigures"/>
        <w:tabs>
          <w:tab w:val="right" w:leader="dot" w:pos="9016"/>
        </w:tabs>
        <w:rPr>
          <w:rFonts w:asciiTheme="minorHAnsi" w:eastAsiaTheme="minorEastAsia" w:hAnsiTheme="minorHAnsi" w:cstheme="minorBidi"/>
          <w:noProof/>
          <w:sz w:val="22"/>
          <w:szCs w:val="22"/>
          <w:lang w:eastAsia="en-AU"/>
        </w:rPr>
      </w:pPr>
      <w:hyperlink w:anchor="_Toc453007263" w:history="1">
        <w:r w:rsidR="004E14A7" w:rsidRPr="009F742D">
          <w:rPr>
            <w:rStyle w:val="Hyperlink"/>
            <w:noProof/>
          </w:rPr>
          <w:t>Table PSY4: Per cent of registrant base with notifications received, by state or territory</w:t>
        </w:r>
      </w:hyperlink>
    </w:p>
    <w:p w:rsidR="004E14A7" w:rsidRDefault="003A7386">
      <w:pPr>
        <w:pStyle w:val="TableofFigures"/>
        <w:tabs>
          <w:tab w:val="right" w:leader="dot" w:pos="9016"/>
        </w:tabs>
        <w:rPr>
          <w:rFonts w:asciiTheme="minorHAnsi" w:eastAsiaTheme="minorEastAsia" w:hAnsiTheme="minorHAnsi" w:cstheme="minorBidi"/>
          <w:noProof/>
          <w:sz w:val="22"/>
          <w:szCs w:val="22"/>
          <w:lang w:eastAsia="en-AU"/>
        </w:rPr>
      </w:pPr>
      <w:hyperlink w:anchor="_Toc453007264" w:history="1">
        <w:r w:rsidR="004E14A7" w:rsidRPr="009F742D">
          <w:rPr>
            <w:rStyle w:val="Hyperlink"/>
            <w:noProof/>
          </w:rPr>
          <w:t>Table PSY5: Immediate action cases by state or territory (excluding NSW)</w:t>
        </w:r>
      </w:hyperlink>
    </w:p>
    <w:p w:rsidR="004E14A7" w:rsidRDefault="003A7386">
      <w:pPr>
        <w:pStyle w:val="TableofFigures"/>
        <w:tabs>
          <w:tab w:val="right" w:leader="dot" w:pos="9016"/>
        </w:tabs>
        <w:rPr>
          <w:rFonts w:asciiTheme="minorHAnsi" w:eastAsiaTheme="minorEastAsia" w:hAnsiTheme="minorHAnsi" w:cstheme="minorBidi"/>
          <w:noProof/>
          <w:sz w:val="22"/>
          <w:szCs w:val="22"/>
          <w:lang w:eastAsia="en-AU"/>
        </w:rPr>
      </w:pPr>
      <w:hyperlink w:anchor="_Toc453007265" w:history="1">
        <w:r w:rsidR="004E14A7" w:rsidRPr="009F742D">
          <w:rPr>
            <w:rStyle w:val="Hyperlink"/>
            <w:noProof/>
          </w:rPr>
          <w:t>Table PSY6: Notifications closed by state or territory</w:t>
        </w:r>
      </w:hyperlink>
    </w:p>
    <w:p w:rsidR="004E14A7" w:rsidRDefault="003A7386">
      <w:pPr>
        <w:pStyle w:val="TableofFigures"/>
        <w:tabs>
          <w:tab w:val="right" w:leader="dot" w:pos="9016"/>
        </w:tabs>
        <w:rPr>
          <w:rFonts w:asciiTheme="minorHAnsi" w:eastAsiaTheme="minorEastAsia" w:hAnsiTheme="minorHAnsi" w:cstheme="minorBidi"/>
          <w:noProof/>
          <w:sz w:val="22"/>
          <w:szCs w:val="22"/>
          <w:lang w:eastAsia="en-AU"/>
        </w:rPr>
      </w:pPr>
      <w:hyperlink w:anchor="_Toc453007266" w:history="1">
        <w:r w:rsidR="004E14A7" w:rsidRPr="009F742D">
          <w:rPr>
            <w:rStyle w:val="Hyperlink"/>
            <w:noProof/>
          </w:rPr>
          <w:t>Table PSY7: Stage at closure for notifications closed under the National Scheme (excluding NSW)</w:t>
        </w:r>
      </w:hyperlink>
    </w:p>
    <w:p w:rsidR="004E14A7" w:rsidRDefault="003A7386">
      <w:pPr>
        <w:pStyle w:val="TableofFigures"/>
        <w:tabs>
          <w:tab w:val="right" w:leader="dot" w:pos="9016"/>
        </w:tabs>
        <w:rPr>
          <w:rFonts w:asciiTheme="minorHAnsi" w:eastAsiaTheme="minorEastAsia" w:hAnsiTheme="minorHAnsi" w:cstheme="minorBidi"/>
          <w:noProof/>
          <w:sz w:val="22"/>
          <w:szCs w:val="22"/>
          <w:lang w:eastAsia="en-AU"/>
        </w:rPr>
      </w:pPr>
      <w:hyperlink w:anchor="_Toc453007267" w:history="1">
        <w:r w:rsidR="004E14A7" w:rsidRPr="009F742D">
          <w:rPr>
            <w:rStyle w:val="Hyperlink"/>
            <w:noProof/>
          </w:rPr>
          <w:t>Table PSY8: Outcome at closure for notifications closed under the National Scheme (excluding NSW)</w:t>
        </w:r>
      </w:hyperlink>
    </w:p>
    <w:p w:rsidR="004E14A7" w:rsidRDefault="003A7386">
      <w:pPr>
        <w:pStyle w:val="TableofFigures"/>
        <w:tabs>
          <w:tab w:val="right" w:leader="dot" w:pos="9016"/>
        </w:tabs>
        <w:rPr>
          <w:rFonts w:asciiTheme="minorHAnsi" w:eastAsiaTheme="minorEastAsia" w:hAnsiTheme="minorHAnsi" w:cstheme="minorBidi"/>
          <w:noProof/>
          <w:sz w:val="22"/>
          <w:szCs w:val="22"/>
          <w:lang w:eastAsia="en-AU"/>
        </w:rPr>
      </w:pPr>
      <w:hyperlink w:anchor="_Toc453007268" w:history="1">
        <w:r w:rsidR="004E14A7" w:rsidRPr="009F742D">
          <w:rPr>
            <w:rStyle w:val="Hyperlink"/>
            <w:noProof/>
          </w:rPr>
          <w:t>Table PSY9: Nature of area of practice endorsements held by psychologists</w:t>
        </w:r>
      </w:hyperlink>
    </w:p>
    <w:p w:rsidR="004E14A7" w:rsidRDefault="003A7386">
      <w:pPr>
        <w:pStyle w:val="TableofFigures"/>
        <w:tabs>
          <w:tab w:val="right" w:leader="dot" w:pos="9016"/>
        </w:tabs>
        <w:rPr>
          <w:rFonts w:asciiTheme="minorHAnsi" w:eastAsiaTheme="minorEastAsia" w:hAnsiTheme="minorHAnsi" w:cstheme="minorBidi"/>
          <w:noProof/>
          <w:sz w:val="22"/>
          <w:szCs w:val="22"/>
          <w:lang w:eastAsia="en-AU"/>
        </w:rPr>
      </w:pPr>
      <w:hyperlink w:anchor="_Toc453007269" w:history="1">
        <w:r w:rsidR="004E14A7" w:rsidRPr="009F742D">
          <w:rPr>
            <w:rStyle w:val="Hyperlink"/>
            <w:noProof/>
          </w:rPr>
          <w:t>Table PSY10: Outcome of assessments finalised for mandatory notifications for psychology practitioners, by grounds for the notification (excluding NSW)</w:t>
        </w:r>
      </w:hyperlink>
    </w:p>
    <w:p w:rsidR="004E14A7" w:rsidRDefault="003A7386">
      <w:pPr>
        <w:pStyle w:val="TableofFigures"/>
        <w:tabs>
          <w:tab w:val="right" w:leader="dot" w:pos="9016"/>
        </w:tabs>
        <w:rPr>
          <w:rFonts w:asciiTheme="minorHAnsi" w:eastAsiaTheme="minorEastAsia" w:hAnsiTheme="minorHAnsi" w:cstheme="minorBidi"/>
          <w:noProof/>
          <w:sz w:val="22"/>
          <w:szCs w:val="22"/>
          <w:lang w:eastAsia="en-AU"/>
        </w:rPr>
      </w:pPr>
      <w:hyperlink w:anchor="_Toc453007270" w:history="1">
        <w:r w:rsidR="004E14A7" w:rsidRPr="009F742D">
          <w:rPr>
            <w:rStyle w:val="Hyperlink"/>
            <w:noProof/>
          </w:rPr>
          <w:t>Table PSY11: Active monitoring cases at 30 June 2015, by state or territory (including NSW)</w:t>
        </w:r>
      </w:hyperlink>
    </w:p>
    <w:p w:rsidR="00974489" w:rsidRDefault="004E14A7" w:rsidP="00974489">
      <w:pPr>
        <w:pStyle w:val="AHPRAbody"/>
        <w:rPr>
          <w:b/>
          <w:color w:val="007DC3"/>
        </w:rPr>
      </w:pPr>
      <w:r>
        <w:fldChar w:fldCharType="end"/>
      </w:r>
      <w:r w:rsidR="00974489">
        <w:br w:type="page"/>
      </w:r>
    </w:p>
    <w:p w:rsidR="00974489" w:rsidRPr="00AB3DB7" w:rsidRDefault="00974489" w:rsidP="00974489">
      <w:pPr>
        <w:pStyle w:val="Heading2"/>
      </w:pPr>
      <w:bookmarkStart w:id="5" w:name="_Toc453007441"/>
      <w:r w:rsidRPr="00AB3DB7">
        <w:t>Message from the Chair</w:t>
      </w:r>
      <w:r>
        <w:t xml:space="preserve">, </w:t>
      </w:r>
      <w:r w:rsidRPr="00B459A4">
        <w:t>Psychology Board of Australia</w:t>
      </w:r>
      <w:bookmarkEnd w:id="5"/>
    </w:p>
    <w:p w:rsidR="00974489" w:rsidRDefault="00974489" w:rsidP="00974489">
      <w:pPr>
        <w:spacing w:before="120" w:after="120"/>
        <w:rPr>
          <w:rFonts w:cs="Arial"/>
          <w:sz w:val="20"/>
        </w:rPr>
      </w:pPr>
      <w:r w:rsidRPr="004D2E4C">
        <w:rPr>
          <w:rFonts w:cs="Arial"/>
          <w:sz w:val="20"/>
        </w:rPr>
        <w:t>The Psychology Board of Australia</w:t>
      </w:r>
      <w:r>
        <w:rPr>
          <w:rFonts w:cs="Arial"/>
          <w:sz w:val="20"/>
        </w:rPr>
        <w:t xml:space="preserve"> (the Board)</w:t>
      </w:r>
      <w:r w:rsidRPr="004D2E4C">
        <w:rPr>
          <w:rFonts w:cs="Arial"/>
          <w:sz w:val="20"/>
        </w:rPr>
        <w:t xml:space="preserve"> has</w:t>
      </w:r>
      <w:r>
        <w:rPr>
          <w:rFonts w:cs="Arial"/>
          <w:sz w:val="20"/>
        </w:rPr>
        <w:t xml:space="preserve"> progressed a number of priorities in its role of protecting the public. </w:t>
      </w:r>
    </w:p>
    <w:p w:rsidR="00974489" w:rsidRDefault="00974489" w:rsidP="00974489">
      <w:pPr>
        <w:spacing w:before="120" w:after="120"/>
        <w:rPr>
          <w:rFonts w:cs="Arial"/>
          <w:sz w:val="20"/>
        </w:rPr>
      </w:pPr>
      <w:r>
        <w:rPr>
          <w:rFonts w:cs="Arial"/>
          <w:sz w:val="20"/>
        </w:rPr>
        <w:t xml:space="preserve">It has continued to assess risks to the public from psychologists when their practice falls below accepted standards, and instigate regulatory responses to manage those risks. It undertook an audit of all serious complaints against psychologists to understand broader systemic issues and increase the oversight of regulatory responses in progress. </w:t>
      </w:r>
    </w:p>
    <w:p w:rsidR="00974489" w:rsidRPr="004D2E4C" w:rsidRDefault="00974489" w:rsidP="00974489">
      <w:pPr>
        <w:spacing w:before="120" w:after="120"/>
        <w:rPr>
          <w:rFonts w:cs="Arial"/>
          <w:sz w:val="20"/>
        </w:rPr>
      </w:pPr>
      <w:r>
        <w:rPr>
          <w:rFonts w:cs="Arial"/>
          <w:sz w:val="20"/>
        </w:rPr>
        <w:t xml:space="preserve">The national psychology examination has been studied to understand how it contributes to increasing confidence in a minimum standard for registration. The Board’s </w:t>
      </w:r>
      <w:r w:rsidRPr="004D2E4C">
        <w:rPr>
          <w:rFonts w:cs="Arial"/>
          <w:sz w:val="20"/>
        </w:rPr>
        <w:t>approved supervisor training program has been in place since January 2014</w:t>
      </w:r>
      <w:r>
        <w:rPr>
          <w:rFonts w:cs="Arial"/>
          <w:sz w:val="20"/>
        </w:rPr>
        <w:t xml:space="preserve"> and a review was undertaken to ensure it meets quality standards.</w:t>
      </w:r>
    </w:p>
    <w:p w:rsidR="00974489" w:rsidRPr="004D2E4C" w:rsidRDefault="00974489" w:rsidP="00974489">
      <w:pPr>
        <w:spacing w:before="120" w:after="120"/>
        <w:rPr>
          <w:rFonts w:cs="Arial"/>
          <w:sz w:val="20"/>
        </w:rPr>
      </w:pPr>
      <w:r w:rsidRPr="004D2E4C">
        <w:rPr>
          <w:rFonts w:cs="Arial"/>
          <w:sz w:val="20"/>
        </w:rPr>
        <w:t>The Board also worked</w:t>
      </w:r>
      <w:r>
        <w:rPr>
          <w:rFonts w:cs="Arial"/>
          <w:sz w:val="20"/>
        </w:rPr>
        <w:t xml:space="preserve"> this year</w:t>
      </w:r>
      <w:r w:rsidRPr="004D2E4C">
        <w:rPr>
          <w:rFonts w:cs="Arial"/>
          <w:sz w:val="20"/>
        </w:rPr>
        <w:t xml:space="preserve"> to strengthen ties with international regulators. Members of the Board attended the 5th ASEAN Regional Union of Psychological Societies (ARUPS) Congress. The Board also hosted a round</w:t>
      </w:r>
      <w:r>
        <w:rPr>
          <w:rFonts w:cs="Arial"/>
          <w:sz w:val="20"/>
        </w:rPr>
        <w:t>table discussion with the ARUPS’</w:t>
      </w:r>
      <w:r w:rsidRPr="004D2E4C">
        <w:rPr>
          <w:rFonts w:cs="Arial"/>
          <w:sz w:val="20"/>
        </w:rPr>
        <w:t xml:space="preserve"> council and the New Zealand Psychologists Board. International activities such as these help </w:t>
      </w:r>
      <w:r>
        <w:rPr>
          <w:rFonts w:cs="Arial"/>
          <w:sz w:val="20"/>
        </w:rPr>
        <w:t>us</w:t>
      </w:r>
      <w:r w:rsidRPr="004D2E4C">
        <w:rPr>
          <w:rFonts w:cs="Arial"/>
          <w:sz w:val="20"/>
        </w:rPr>
        <w:t xml:space="preserve"> learn from leading practice around the world, share knowledge from </w:t>
      </w:r>
      <w:r>
        <w:rPr>
          <w:rFonts w:cs="Arial"/>
          <w:sz w:val="20"/>
        </w:rPr>
        <w:t>our</w:t>
      </w:r>
      <w:r w:rsidRPr="004D2E4C">
        <w:rPr>
          <w:rFonts w:cs="Arial"/>
          <w:sz w:val="20"/>
        </w:rPr>
        <w:t xml:space="preserve"> own experience and promote continued collaboration.</w:t>
      </w:r>
    </w:p>
    <w:p w:rsidR="00974489" w:rsidRDefault="00974489" w:rsidP="00974489">
      <w:pPr>
        <w:pStyle w:val="AHPRAbody"/>
      </w:pPr>
      <w:r w:rsidRPr="00453FE1">
        <w:t xml:space="preserve">The Board gives particular thanks to AHPRA for its strong partnership, and to stakeholders for their engagement and contribution at forums, meetings and in writing to </w:t>
      </w:r>
      <w:r>
        <w:t xml:space="preserve">help </w:t>
      </w:r>
      <w:r w:rsidRPr="00453FE1">
        <w:t>ensur</w:t>
      </w:r>
      <w:r>
        <w:t>e</w:t>
      </w:r>
      <w:r w:rsidRPr="00453FE1">
        <w:t xml:space="preserve"> the regulation of psychologists remains fair and reasonable.</w:t>
      </w:r>
    </w:p>
    <w:p w:rsidR="00974489" w:rsidRDefault="00974489" w:rsidP="00974489">
      <w:pPr>
        <w:pStyle w:val="AHPRAbody"/>
        <w:spacing w:before="600"/>
        <w:rPr>
          <w:b/>
        </w:rPr>
      </w:pPr>
      <w:r w:rsidRPr="00407823">
        <w:rPr>
          <w:b/>
        </w:rPr>
        <w:t>Professor Brin Grenyer</w:t>
      </w:r>
      <w:r w:rsidRPr="00407823">
        <w:rPr>
          <w:b/>
        </w:rPr>
        <w:br/>
        <w:t>Chair, Psychology Board of Australia</w:t>
      </w:r>
    </w:p>
    <w:p w:rsidR="00974489" w:rsidRDefault="00974489" w:rsidP="00974489">
      <w:pPr>
        <w:rPr>
          <w:sz w:val="20"/>
        </w:rPr>
      </w:pPr>
      <w:r>
        <w:br w:type="page"/>
      </w:r>
    </w:p>
    <w:p w:rsidR="00974489" w:rsidRDefault="00974489" w:rsidP="00974489">
      <w:pPr>
        <w:pStyle w:val="Heading2"/>
      </w:pPr>
      <w:bookmarkStart w:id="6" w:name="_Toc453007442"/>
      <w:r>
        <w:t xml:space="preserve">Message from the </w:t>
      </w:r>
      <w:r w:rsidRPr="00C87B44">
        <w:t>Agency Management Committee Chair and the AHPRA CEO</w:t>
      </w:r>
      <w:bookmarkEnd w:id="6"/>
    </w:p>
    <w:p w:rsidR="00974489" w:rsidRPr="004D2E4C" w:rsidRDefault="00974489" w:rsidP="00974489">
      <w:pPr>
        <w:pStyle w:val="AHPRAbody"/>
        <w:rPr>
          <w:szCs w:val="19"/>
          <w:lang w:val="en-US"/>
        </w:rPr>
      </w:pPr>
      <w:r w:rsidRPr="004D2E4C">
        <w:rPr>
          <w:lang w:val="en-US"/>
        </w:rPr>
        <w:t>T</w:t>
      </w:r>
      <w:r w:rsidRPr="004D2E4C">
        <w:rPr>
          <w:szCs w:val="19"/>
          <w:lang w:val="en-US"/>
        </w:rPr>
        <w:t xml:space="preserve">he National Boards, with the support of AHPRA, maintain professional standards for practitioners and manage risk to patients. </w:t>
      </w:r>
      <w:r w:rsidRPr="004D2E4C">
        <w:rPr>
          <w:lang w:val="en-US"/>
        </w:rPr>
        <w:t>This past year we have seen huge steps taken to ensure we are fulfilling our core purpose of protecting the public in the most effective and efficient ways possible.</w:t>
      </w:r>
    </w:p>
    <w:p w:rsidR="00974489" w:rsidRPr="004D2E4C" w:rsidRDefault="00974489" w:rsidP="00974489">
      <w:pPr>
        <w:pStyle w:val="AHPRAbody"/>
        <w:rPr>
          <w:lang w:val="en-US"/>
        </w:rPr>
      </w:pPr>
      <w:r w:rsidRPr="004D2E4C">
        <w:rPr>
          <w:lang w:val="en-US"/>
        </w:rPr>
        <w:t>We have seen the introduction of new co-regulatory arrangements in Queensland this year, and the National Boards and AHPRA have built positive working relationships with the Office of the Health Ombudsman to ensure the protection of the health and safety of the Queensland public.</w:t>
      </w:r>
    </w:p>
    <w:p w:rsidR="00974489" w:rsidRPr="004D2E4C" w:rsidRDefault="00974489" w:rsidP="00974489">
      <w:pPr>
        <w:pStyle w:val="AHPRAbody"/>
        <w:rPr>
          <w:rFonts w:eastAsiaTheme="minorHAnsi"/>
          <w:lang w:val="en-US"/>
        </w:rPr>
      </w:pPr>
      <w:r w:rsidRPr="004D2E4C">
        <w:rPr>
          <w:rFonts w:eastAsiaTheme="minorHAnsi"/>
          <w:lang w:val="en-US"/>
        </w:rPr>
        <w:t>The National Boards have worked to help improve the experience of notifiers, and to ensure timely outcomes for notifiers and practitioners. This has resulted in a significant reduction in the time it takes AHPRA and the National Boards to assess notifications.</w:t>
      </w:r>
    </w:p>
    <w:p w:rsidR="00974489" w:rsidRPr="004D2E4C" w:rsidRDefault="00974489" w:rsidP="00974489">
      <w:pPr>
        <w:pStyle w:val="AHPRAbody"/>
        <w:rPr>
          <w:rFonts w:eastAsia="Times New Roman" w:cs="Arial"/>
          <w:szCs w:val="20"/>
          <w:lang w:eastAsia="en-AU"/>
        </w:rPr>
      </w:pPr>
      <w:r w:rsidRPr="004D2E4C">
        <w:rPr>
          <w:rFonts w:eastAsia="Times New Roman" w:cs="Arial"/>
          <w:szCs w:val="20"/>
          <w:lang w:eastAsia="en-AU"/>
        </w:rPr>
        <w:t>In July 2014 the National Boards and AHPRA launched refreshed regulatory principles that underpin our work in regulating Australia’s health practitioners, in the public interest. The principles encourage a responsive, risk-based approach to regulation across all professions within the National Scheme.</w:t>
      </w:r>
    </w:p>
    <w:p w:rsidR="00974489" w:rsidRPr="004D2E4C" w:rsidRDefault="00974489" w:rsidP="00974489">
      <w:pPr>
        <w:pStyle w:val="AHPRAbody"/>
        <w:rPr>
          <w:rFonts w:eastAsia="Times New Roman" w:cs="Arial"/>
          <w:szCs w:val="20"/>
          <w:lang w:eastAsia="en-AU"/>
        </w:rPr>
      </w:pPr>
      <w:r w:rsidRPr="004D2E4C">
        <w:rPr>
          <w:rFonts w:eastAsia="Times New Roman" w:cs="Arial"/>
          <w:szCs w:val="20"/>
          <w:lang w:eastAsia="en-AU"/>
        </w:rPr>
        <w:t xml:space="preserve">A key strength of the National Scheme has been the regular interaction between all National Boards, particularly through their Chairs. This has facilitated cross-profession approaches to common regulatory issues, and cross-profession consultation and collaboration. </w:t>
      </w:r>
      <w:r w:rsidRPr="004D2E4C">
        <w:rPr>
          <w:rFonts w:eastAsia="Times New Roman" w:cs="Arial"/>
          <w:lang w:val="en-US"/>
        </w:rPr>
        <w:t xml:space="preserve">The National Boards and AHPRA have continued to work closely together this year to test and implement new ways of doing things. </w:t>
      </w:r>
    </w:p>
    <w:p w:rsidR="00974489" w:rsidRPr="004D2E4C" w:rsidRDefault="00974489" w:rsidP="00974489">
      <w:pPr>
        <w:pStyle w:val="AHPRAbody"/>
        <w:rPr>
          <w:rFonts w:eastAsia="Times New Roman" w:cs="Arial"/>
          <w:lang w:val="en-US"/>
        </w:rPr>
      </w:pPr>
      <w:r w:rsidRPr="004D2E4C">
        <w:rPr>
          <w:rFonts w:eastAsia="Times New Roman" w:cs="Arial"/>
          <w:lang w:val="en-US"/>
        </w:rPr>
        <w:t>We h</w:t>
      </w:r>
      <w:r>
        <w:rPr>
          <w:rFonts w:eastAsia="Times New Roman" w:cs="Arial"/>
          <w:lang w:val="en-US"/>
        </w:rPr>
        <w:t>ave had</w:t>
      </w:r>
      <w:r w:rsidRPr="004D2E4C">
        <w:rPr>
          <w:rFonts w:eastAsia="Times New Roman" w:cs="Arial"/>
          <w:lang w:val="en-US"/>
        </w:rPr>
        <w:t xml:space="preserve"> some significant achievements during the past year, through the hard work and dedication of board and committee members, and AHPRA staff. More information is detailed in the 2014/15 </w:t>
      </w:r>
      <w:hyperlink r:id="rId12" w:history="1">
        <w:r w:rsidRPr="00C87B44">
          <w:rPr>
            <w:rStyle w:val="Hyperlink"/>
            <w:rFonts w:eastAsia="Times New Roman" w:cs="Arial"/>
            <w:lang w:val="en-US"/>
          </w:rPr>
          <w:t>annual report</w:t>
        </w:r>
      </w:hyperlink>
      <w:r w:rsidRPr="004D2E4C">
        <w:rPr>
          <w:rFonts w:eastAsia="Times New Roman" w:cs="Arial"/>
          <w:lang w:val="en-US"/>
        </w:rPr>
        <w:t xml:space="preserve"> of AHPRA and the National Boards. </w:t>
      </w:r>
    </w:p>
    <w:p w:rsidR="00974489" w:rsidRDefault="00974489" w:rsidP="00974489">
      <w:pPr>
        <w:spacing w:before="600" w:after="0"/>
        <w:rPr>
          <w:rFonts w:eastAsiaTheme="minorHAnsi" w:cs="DINOT-Light"/>
          <w:color w:val="4D4D4F"/>
          <w:szCs w:val="19"/>
          <w:lang w:val="en-US"/>
        </w:rPr>
      </w:pPr>
      <w:r w:rsidRPr="004D2E4C">
        <w:rPr>
          <w:rFonts w:cs="Arial"/>
          <w:b/>
          <w:sz w:val="20"/>
        </w:rPr>
        <w:t>Mr Martin Fletcher, Chief Executive Officer</w:t>
      </w:r>
      <w:r>
        <w:rPr>
          <w:rFonts w:cs="Arial"/>
          <w:b/>
          <w:sz w:val="20"/>
        </w:rPr>
        <w:t>, AHPRA</w:t>
      </w:r>
      <w:r w:rsidRPr="004D2E4C">
        <w:rPr>
          <w:rFonts w:cs="Arial"/>
          <w:b/>
          <w:sz w:val="20"/>
        </w:rPr>
        <w:br/>
        <w:t>Mr Michael Gorton AM, Chair, Agency Management Committee</w:t>
      </w:r>
      <w:r w:rsidRPr="004D2E4C">
        <w:rPr>
          <w:rFonts w:cs="Arial"/>
          <w:b/>
          <w:sz w:val="20"/>
        </w:rPr>
        <w:br/>
      </w:r>
    </w:p>
    <w:p w:rsidR="00974489" w:rsidRDefault="00974489" w:rsidP="00974489">
      <w:r>
        <w:br w:type="page"/>
      </w:r>
    </w:p>
    <w:p w:rsidR="00974489" w:rsidRPr="00672ECC" w:rsidRDefault="00974489" w:rsidP="00974489">
      <w:pPr>
        <w:pStyle w:val="Heading2"/>
      </w:pPr>
      <w:bookmarkStart w:id="7" w:name="_Toc453007443"/>
      <w:r>
        <w:t>Major outcomes/achievements 2014/15</w:t>
      </w:r>
      <w:bookmarkEnd w:id="7"/>
    </w:p>
    <w:p w:rsidR="00974489" w:rsidRPr="004D2E4C" w:rsidRDefault="00974489" w:rsidP="00974489">
      <w:pPr>
        <w:pStyle w:val="Heading3"/>
      </w:pPr>
      <w:bookmarkStart w:id="8" w:name="_Toc453007444"/>
      <w:r w:rsidRPr="004D2E4C">
        <w:t>Supervisor training programs</w:t>
      </w:r>
      <w:bookmarkEnd w:id="8"/>
      <w:r w:rsidRPr="004D2E4C">
        <w:t xml:space="preserve"> </w:t>
      </w:r>
    </w:p>
    <w:p w:rsidR="00974489" w:rsidRPr="004D2E4C" w:rsidRDefault="00974489" w:rsidP="00974489">
      <w:pPr>
        <w:pStyle w:val="AHPRAbody"/>
      </w:pPr>
      <w:r>
        <w:t>The Board carried out a review of its approved supervisor training programme this year</w:t>
      </w:r>
      <w:r w:rsidRPr="004D2E4C">
        <w:t xml:space="preserve">. Overall, the review indicated that the program has been working well. In 2014 there were 72 workshops held. These included 41 full training workshops and 31 master classes, with 66 delivered in metropolitan areas and six delivered in regional areas or overseas. </w:t>
      </w:r>
    </w:p>
    <w:p w:rsidR="00974489" w:rsidRPr="004D2E4C" w:rsidRDefault="00974489" w:rsidP="00974489">
      <w:pPr>
        <w:pStyle w:val="AHPRAbody"/>
      </w:pPr>
      <w:r w:rsidRPr="004D2E4C">
        <w:t>A large number of participants completed the training. For the full training, 587 participants completed component one, 594 completed component two and 193 completed component three. A total of 376 participants passed master class training.</w:t>
      </w:r>
    </w:p>
    <w:p w:rsidR="00974489" w:rsidRPr="004D2E4C" w:rsidRDefault="00974489" w:rsidP="00974489">
      <w:pPr>
        <w:pStyle w:val="Heading3"/>
      </w:pPr>
      <w:bookmarkStart w:id="9" w:name="_Toc453007445"/>
      <w:r w:rsidRPr="004D2E4C">
        <w:t>National Psychology Examination</w:t>
      </w:r>
      <w:bookmarkEnd w:id="9"/>
      <w:r w:rsidRPr="004D2E4C">
        <w:t xml:space="preserve"> </w:t>
      </w:r>
    </w:p>
    <w:p w:rsidR="00974489" w:rsidRDefault="00974489" w:rsidP="00974489">
      <w:pPr>
        <w:pStyle w:val="AHPRAbody"/>
      </w:pPr>
      <w:r>
        <w:t xml:space="preserve">The National Psychology Exam (NPE) is used by the Board to determine readiness to move to general registration and independent practice. Between December 2013 and December 2014, 247 candidates sat the NPE, with a total of 260 sittings (including failed and repeated sittings). Three types of provisional psychologist sat the exam: </w:t>
      </w:r>
    </w:p>
    <w:p w:rsidR="00974489" w:rsidRDefault="00974489" w:rsidP="00974489">
      <w:pPr>
        <w:pStyle w:val="AHPRAbody"/>
        <w:numPr>
          <w:ilvl w:val="0"/>
          <w:numId w:val="23"/>
        </w:numPr>
        <w:spacing w:after="0"/>
      </w:pPr>
      <w:r>
        <w:t>those completing a 4+2 program</w:t>
      </w:r>
    </w:p>
    <w:p w:rsidR="00974489" w:rsidRDefault="00974489" w:rsidP="00974489">
      <w:pPr>
        <w:pStyle w:val="AHPRAbody"/>
        <w:numPr>
          <w:ilvl w:val="0"/>
          <w:numId w:val="23"/>
        </w:numPr>
        <w:spacing w:after="0"/>
      </w:pPr>
      <w:r>
        <w:t>those completing a 5+1 program, or</w:t>
      </w:r>
    </w:p>
    <w:p w:rsidR="00974489" w:rsidRDefault="00974489" w:rsidP="00974489">
      <w:pPr>
        <w:pStyle w:val="AHPRAbody"/>
        <w:numPr>
          <w:ilvl w:val="0"/>
          <w:numId w:val="23"/>
        </w:numPr>
      </w:pPr>
      <w:r>
        <w:t xml:space="preserve">international applicants completing a transitional program. </w:t>
      </w:r>
    </w:p>
    <w:p w:rsidR="00974489" w:rsidRPr="00751C96" w:rsidRDefault="00974489" w:rsidP="00974489">
      <w:pPr>
        <w:pStyle w:val="AHPRAbody"/>
      </w:pPr>
      <w:r>
        <w:t xml:space="preserve">During this period, the overall pass rate for the NPE was 88%, meaning 217 out of 247 people who sat the exam passed.  </w:t>
      </w:r>
    </w:p>
    <w:p w:rsidR="00974489" w:rsidRPr="00672ECC" w:rsidRDefault="00974489" w:rsidP="00974489">
      <w:pPr>
        <w:pStyle w:val="Heading2"/>
      </w:pPr>
      <w:bookmarkStart w:id="10" w:name="_Toc453007446"/>
      <w:r w:rsidRPr="00672ECC">
        <w:t>Registration standards, policies and guidelines published</w:t>
      </w:r>
      <w:bookmarkEnd w:id="10"/>
      <w:r w:rsidRPr="00672ECC">
        <w:t xml:space="preserve"> </w:t>
      </w:r>
    </w:p>
    <w:p w:rsidR="00974489" w:rsidRPr="00C87B44" w:rsidRDefault="00974489" w:rsidP="00974489">
      <w:pPr>
        <w:pStyle w:val="AHPRASubheadinglevel2"/>
        <w:numPr>
          <w:ilvl w:val="0"/>
          <w:numId w:val="24"/>
        </w:numPr>
        <w:spacing w:after="0"/>
        <w:rPr>
          <w:b w:val="0"/>
          <w:i/>
          <w:sz w:val="20"/>
        </w:rPr>
      </w:pPr>
      <w:bookmarkStart w:id="11" w:name="_Toc453007447"/>
      <w:r w:rsidRPr="004D2E4C">
        <w:rPr>
          <w:b w:val="0"/>
          <w:sz w:val="20"/>
        </w:rPr>
        <w:t xml:space="preserve">English language skills registration standard </w:t>
      </w:r>
      <w:r w:rsidRPr="00C87B44">
        <w:rPr>
          <w:b w:val="0"/>
          <w:i/>
          <w:sz w:val="20"/>
        </w:rPr>
        <w:t>(revised standard)</w:t>
      </w:r>
      <w:bookmarkEnd w:id="11"/>
    </w:p>
    <w:p w:rsidR="00974489" w:rsidRPr="004D2E4C" w:rsidRDefault="00974489" w:rsidP="00974489">
      <w:pPr>
        <w:pStyle w:val="AHPRASubheadinglevel2"/>
        <w:numPr>
          <w:ilvl w:val="0"/>
          <w:numId w:val="24"/>
        </w:numPr>
        <w:spacing w:before="0"/>
        <w:rPr>
          <w:b w:val="0"/>
          <w:sz w:val="20"/>
        </w:rPr>
      </w:pPr>
      <w:bookmarkStart w:id="12" w:name="_Toc453007448"/>
      <w:r w:rsidRPr="004D2E4C">
        <w:rPr>
          <w:b w:val="0"/>
          <w:sz w:val="20"/>
        </w:rPr>
        <w:t>Crimina</w:t>
      </w:r>
      <w:r>
        <w:rPr>
          <w:b w:val="0"/>
          <w:sz w:val="20"/>
        </w:rPr>
        <w:t>l history registration standard</w:t>
      </w:r>
      <w:r w:rsidRPr="004D2E4C">
        <w:rPr>
          <w:b w:val="0"/>
          <w:sz w:val="20"/>
        </w:rPr>
        <w:t xml:space="preserve"> </w:t>
      </w:r>
      <w:r w:rsidRPr="00C87B44">
        <w:rPr>
          <w:b w:val="0"/>
          <w:i/>
          <w:sz w:val="20"/>
        </w:rPr>
        <w:t>(revised standard)</w:t>
      </w:r>
      <w:bookmarkEnd w:id="12"/>
    </w:p>
    <w:p w:rsidR="00974489" w:rsidRPr="00672ECC" w:rsidRDefault="00974489" w:rsidP="00974489">
      <w:pPr>
        <w:pStyle w:val="Heading2"/>
      </w:pPr>
      <w:bookmarkStart w:id="13" w:name="_Toc453007449"/>
      <w:r w:rsidRPr="00672ECC">
        <w:t>Stakeholder engagement, professional standards</w:t>
      </w:r>
      <w:bookmarkEnd w:id="13"/>
    </w:p>
    <w:p w:rsidR="00974489" w:rsidRDefault="00974489" w:rsidP="00974489">
      <w:pPr>
        <w:pStyle w:val="AHPRABody0"/>
        <w:rPr>
          <w:rFonts w:eastAsiaTheme="minorHAnsi"/>
          <w:lang w:val="en-US"/>
        </w:rPr>
      </w:pPr>
      <w:r>
        <w:rPr>
          <w:rFonts w:eastAsiaTheme="minorHAnsi"/>
          <w:lang w:val="en-US"/>
        </w:rPr>
        <w:t>This year</w:t>
      </w:r>
      <w:r w:rsidRPr="00E07E09">
        <w:rPr>
          <w:rFonts w:eastAsiaTheme="minorHAnsi"/>
          <w:lang w:val="en-US"/>
        </w:rPr>
        <w:t xml:space="preserve"> the Board held productive dialogue with interested and engaged individuals and organisations, which has enabled the Board to adopt a position that is as fair and reasonable as possible in fulfilling its major roles: the protection of the public and guidance of the profession. </w:t>
      </w:r>
    </w:p>
    <w:p w:rsidR="00974489" w:rsidRDefault="00974489" w:rsidP="00974489">
      <w:pPr>
        <w:pStyle w:val="AHPRABody0"/>
        <w:rPr>
          <w:rFonts w:eastAsiaTheme="minorHAnsi"/>
          <w:lang w:val="en-US"/>
        </w:rPr>
      </w:pPr>
    </w:p>
    <w:p w:rsidR="00974489" w:rsidRDefault="00974489" w:rsidP="00974489">
      <w:pPr>
        <w:pStyle w:val="AHPRABody0"/>
        <w:rPr>
          <w:rFonts w:ascii="Times" w:eastAsiaTheme="minorHAnsi" w:hAnsi="Times" w:cs="Times"/>
          <w:lang w:val="en-US"/>
        </w:rPr>
      </w:pPr>
      <w:r w:rsidRPr="00E07E09">
        <w:rPr>
          <w:rFonts w:eastAsiaTheme="minorHAnsi"/>
          <w:lang w:val="en-US"/>
        </w:rPr>
        <w:t xml:space="preserve">During this period, the national and regional boards participated in public, professional and educational forums in every state and territory. In addition, the National Board presented at a national conference in </w:t>
      </w:r>
      <w:r>
        <w:rPr>
          <w:rFonts w:eastAsiaTheme="minorHAnsi"/>
          <w:lang w:val="en-US"/>
        </w:rPr>
        <w:t>Hobart (October 2014</w:t>
      </w:r>
      <w:r w:rsidRPr="00E07E09">
        <w:rPr>
          <w:rFonts w:eastAsiaTheme="minorHAnsi"/>
          <w:lang w:val="en-US"/>
        </w:rPr>
        <w:t xml:space="preserve">), </w:t>
      </w:r>
      <w:r>
        <w:rPr>
          <w:rFonts w:eastAsiaTheme="minorHAnsi"/>
          <w:lang w:val="en-US"/>
        </w:rPr>
        <w:t>and hosted its own public forum</w:t>
      </w:r>
      <w:r w:rsidRPr="00E07E09">
        <w:rPr>
          <w:rFonts w:eastAsiaTheme="minorHAnsi"/>
          <w:lang w:val="en-US"/>
        </w:rPr>
        <w:t xml:space="preserve"> in </w:t>
      </w:r>
      <w:r>
        <w:rPr>
          <w:rFonts w:eastAsiaTheme="minorHAnsi"/>
          <w:lang w:val="en-US"/>
        </w:rPr>
        <w:t xml:space="preserve">Perth with over 200 in attendance. </w:t>
      </w:r>
      <w:r w:rsidRPr="00E07E09">
        <w:rPr>
          <w:rFonts w:eastAsiaTheme="minorHAnsi"/>
          <w:lang w:val="en-US"/>
        </w:rPr>
        <w:t xml:space="preserve">The Board distributed its newsletter, </w:t>
      </w:r>
      <w:r w:rsidRPr="00E07E09">
        <w:rPr>
          <w:rFonts w:eastAsiaTheme="minorHAnsi"/>
          <w:i/>
          <w:iCs/>
          <w:lang w:val="en-US"/>
        </w:rPr>
        <w:t>Connections</w:t>
      </w:r>
      <w:r>
        <w:rPr>
          <w:rFonts w:eastAsiaTheme="minorHAnsi"/>
          <w:lang w:val="en-US"/>
        </w:rPr>
        <w:t xml:space="preserve">, to all </w:t>
      </w:r>
      <w:r w:rsidRPr="001733EF">
        <w:rPr>
          <w:rFonts w:eastAsiaTheme="minorHAnsi"/>
          <w:lang w:val="en-US"/>
        </w:rPr>
        <w:t>32,766</w:t>
      </w:r>
      <w:r>
        <w:rPr>
          <w:rFonts w:eastAsiaTheme="minorHAnsi"/>
          <w:lang w:val="en-US"/>
        </w:rPr>
        <w:t xml:space="preserve"> registrants in August and November 2014, and April 2015</w:t>
      </w:r>
      <w:r w:rsidRPr="00E07E09">
        <w:rPr>
          <w:rFonts w:eastAsiaTheme="minorHAnsi"/>
          <w:lang w:val="en-US"/>
        </w:rPr>
        <w:t>.</w:t>
      </w:r>
      <w:r>
        <w:rPr>
          <w:rFonts w:ascii="Times" w:eastAsiaTheme="minorHAnsi" w:hAnsi="Times" w:cs="Times"/>
          <w:sz w:val="26"/>
          <w:szCs w:val="26"/>
          <w:lang w:val="en-US"/>
        </w:rPr>
        <w:t xml:space="preserve"> </w:t>
      </w:r>
    </w:p>
    <w:p w:rsidR="00974489" w:rsidRDefault="00974489" w:rsidP="00974489">
      <w:pPr>
        <w:pStyle w:val="AHPRABody0"/>
        <w:rPr>
          <w:rFonts w:ascii="Times" w:eastAsiaTheme="minorHAnsi" w:hAnsi="Times" w:cs="Times"/>
          <w:lang w:val="en-US"/>
        </w:rPr>
      </w:pPr>
    </w:p>
    <w:p w:rsidR="00974489" w:rsidRPr="007E65F3" w:rsidRDefault="00974489" w:rsidP="00974489">
      <w:pPr>
        <w:pStyle w:val="AHPRABody0"/>
        <w:rPr>
          <w:rFonts w:ascii="Times" w:eastAsiaTheme="minorHAnsi" w:hAnsi="Times" w:cs="Times"/>
          <w:lang w:val="en-US"/>
        </w:rPr>
      </w:pPr>
      <w:r w:rsidRPr="004D2E4C">
        <w:t>The Board also worked</w:t>
      </w:r>
      <w:r>
        <w:t xml:space="preserve"> this year</w:t>
      </w:r>
      <w:r w:rsidRPr="004D2E4C">
        <w:t xml:space="preserve"> to strengthen ties</w:t>
      </w:r>
      <w:r>
        <w:t xml:space="preserve"> with international regulators, attending</w:t>
      </w:r>
      <w:r w:rsidRPr="004D2E4C">
        <w:t xml:space="preserve"> the 5th ASEAN Regional Union of Psychologi</w:t>
      </w:r>
      <w:r>
        <w:t xml:space="preserve">cal Societies (ARUPS) Congress in March 2015. </w:t>
      </w:r>
    </w:p>
    <w:p w:rsidR="00974489" w:rsidRPr="00672ECC" w:rsidRDefault="00974489" w:rsidP="00974489">
      <w:pPr>
        <w:pStyle w:val="Heading2"/>
      </w:pPr>
      <w:bookmarkStart w:id="14" w:name="_Toc453007450"/>
      <w:r w:rsidRPr="00672ECC">
        <w:t>Priorities for the coming year</w:t>
      </w:r>
      <w:bookmarkEnd w:id="14"/>
    </w:p>
    <w:p w:rsidR="00974489" w:rsidRPr="00E335FE" w:rsidRDefault="00974489" w:rsidP="00974489">
      <w:pPr>
        <w:pStyle w:val="Heading3"/>
      </w:pPr>
      <w:bookmarkStart w:id="15" w:name="_Toc453007451"/>
      <w:r>
        <w:t>Psychology e</w:t>
      </w:r>
      <w:r w:rsidRPr="00FE020B">
        <w:t xml:space="preserve">ducation </w:t>
      </w:r>
      <w:r>
        <w:t xml:space="preserve">and training – </w:t>
      </w:r>
      <w:bookmarkStart w:id="16" w:name="_Toc433121510"/>
      <w:r w:rsidRPr="00E335FE">
        <w:t>working collaboratively to achieve reform</w:t>
      </w:r>
      <w:bookmarkEnd w:id="15"/>
      <w:bookmarkEnd w:id="16"/>
    </w:p>
    <w:p w:rsidR="00974489" w:rsidRDefault="00974489" w:rsidP="00974489">
      <w:pPr>
        <w:pStyle w:val="AHPRAbody"/>
      </w:pPr>
      <w:r w:rsidRPr="001D5213">
        <w:t>The Board considers education and training reform an important next step in the development of the regulatory environment for the psychology profession.</w:t>
      </w:r>
    </w:p>
    <w:p w:rsidR="00974489" w:rsidRDefault="00974489" w:rsidP="00974489">
      <w:pPr>
        <w:pStyle w:val="AHPRAbody"/>
      </w:pPr>
      <w:r w:rsidRPr="001D5213">
        <w:t xml:space="preserve">The Board believes that a considered response to the structural issues that currently exist in psychology training is best placed in a </w:t>
      </w:r>
      <w:r>
        <w:t xml:space="preserve">collaborative </w:t>
      </w:r>
      <w:r w:rsidRPr="001D5213">
        <w:t>program of work with national education and training stakeholders</w:t>
      </w:r>
      <w:r>
        <w:t>,</w:t>
      </w:r>
      <w:r w:rsidRPr="001D5213">
        <w:t xml:space="preserve"> including government.</w:t>
      </w:r>
      <w:r>
        <w:t xml:space="preserve"> </w:t>
      </w:r>
    </w:p>
    <w:p w:rsidR="00974489" w:rsidRDefault="00974489" w:rsidP="00974489">
      <w:pPr>
        <w:pStyle w:val="AHPRAbody"/>
        <w:rPr>
          <w:szCs w:val="20"/>
        </w:rPr>
      </w:pPr>
      <w:r>
        <w:t xml:space="preserve">This year </w:t>
      </w:r>
      <w:r w:rsidRPr="001D5213">
        <w:rPr>
          <w:szCs w:val="20"/>
        </w:rPr>
        <w:t>the Board</w:t>
      </w:r>
      <w:r>
        <w:rPr>
          <w:szCs w:val="20"/>
        </w:rPr>
        <w:t>,</w:t>
      </w:r>
      <w:r w:rsidRPr="001D5213">
        <w:rPr>
          <w:szCs w:val="20"/>
        </w:rPr>
        <w:t xml:space="preserve"> along with the Australian Psychological Society, Australian Psychology Accreditation Council and </w:t>
      </w:r>
      <w:r>
        <w:rPr>
          <w:szCs w:val="20"/>
        </w:rPr>
        <w:t>H</w:t>
      </w:r>
      <w:r w:rsidRPr="001D5213">
        <w:rPr>
          <w:szCs w:val="20"/>
        </w:rPr>
        <w:t xml:space="preserve">eads of </w:t>
      </w:r>
      <w:r>
        <w:rPr>
          <w:szCs w:val="20"/>
        </w:rPr>
        <w:t>D</w:t>
      </w:r>
      <w:r w:rsidRPr="001D5213">
        <w:rPr>
          <w:szCs w:val="20"/>
        </w:rPr>
        <w:t xml:space="preserve">epartments and </w:t>
      </w:r>
      <w:r>
        <w:rPr>
          <w:szCs w:val="20"/>
        </w:rPr>
        <w:t>S</w:t>
      </w:r>
      <w:r w:rsidRPr="001D5213">
        <w:rPr>
          <w:szCs w:val="20"/>
        </w:rPr>
        <w:t>chools of</w:t>
      </w:r>
      <w:r>
        <w:rPr>
          <w:szCs w:val="20"/>
        </w:rPr>
        <w:t xml:space="preserve"> the</w:t>
      </w:r>
      <w:r w:rsidRPr="001D5213">
        <w:rPr>
          <w:szCs w:val="20"/>
        </w:rPr>
        <w:t xml:space="preserve"> Psychology Association</w:t>
      </w:r>
      <w:r>
        <w:rPr>
          <w:szCs w:val="20"/>
        </w:rPr>
        <w:t>,</w:t>
      </w:r>
      <w:r w:rsidRPr="001D5213">
        <w:rPr>
          <w:szCs w:val="20"/>
        </w:rPr>
        <w:t xml:space="preserve"> </w:t>
      </w:r>
      <w:r>
        <w:rPr>
          <w:szCs w:val="20"/>
        </w:rPr>
        <w:t>will host</w:t>
      </w:r>
      <w:r w:rsidRPr="001D5213">
        <w:rPr>
          <w:szCs w:val="20"/>
        </w:rPr>
        <w:t xml:space="preserve"> a </w:t>
      </w:r>
      <w:r>
        <w:rPr>
          <w:szCs w:val="20"/>
        </w:rPr>
        <w:t>n</w:t>
      </w:r>
      <w:r w:rsidRPr="001D5213">
        <w:rPr>
          <w:szCs w:val="20"/>
        </w:rPr>
        <w:t xml:space="preserve">ational </w:t>
      </w:r>
      <w:r>
        <w:rPr>
          <w:szCs w:val="20"/>
        </w:rPr>
        <w:t>p</w:t>
      </w:r>
      <w:r w:rsidRPr="001D5213">
        <w:rPr>
          <w:szCs w:val="20"/>
        </w:rPr>
        <w:t xml:space="preserve">sychology </w:t>
      </w:r>
      <w:r>
        <w:rPr>
          <w:szCs w:val="20"/>
        </w:rPr>
        <w:t>e</w:t>
      </w:r>
      <w:r w:rsidRPr="001D5213">
        <w:rPr>
          <w:szCs w:val="20"/>
        </w:rPr>
        <w:t xml:space="preserve">ducation </w:t>
      </w:r>
      <w:r>
        <w:rPr>
          <w:szCs w:val="20"/>
        </w:rPr>
        <w:t>f</w:t>
      </w:r>
      <w:r w:rsidRPr="001D5213">
        <w:rPr>
          <w:szCs w:val="20"/>
        </w:rPr>
        <w:t>orum.</w:t>
      </w:r>
    </w:p>
    <w:p w:rsidR="00974489" w:rsidRPr="001D5213" w:rsidRDefault="00974489" w:rsidP="00974489">
      <w:pPr>
        <w:pStyle w:val="AHPRAbody"/>
        <w:rPr>
          <w:szCs w:val="20"/>
        </w:rPr>
      </w:pPr>
    </w:p>
    <w:p w:rsidR="00974489" w:rsidRDefault="00974489" w:rsidP="00974489">
      <w:pPr>
        <w:pStyle w:val="AHPRAbody"/>
      </w:pPr>
      <w:r>
        <w:rPr>
          <w:szCs w:val="20"/>
        </w:rPr>
        <w:t>This National Forum will bring</w:t>
      </w:r>
      <w:r w:rsidRPr="001D5213">
        <w:rPr>
          <w:szCs w:val="20"/>
        </w:rPr>
        <w:t xml:space="preserve"> </w:t>
      </w:r>
      <w:r w:rsidRPr="001D5213">
        <w:t xml:space="preserve">together leaders across government, education, workforce, regulation and the profession to consider </w:t>
      </w:r>
      <w:r w:rsidRPr="001D5213">
        <w:rPr>
          <w:szCs w:val="20"/>
        </w:rPr>
        <w:t>the future of psychology education and training</w:t>
      </w:r>
      <w:r>
        <w:rPr>
          <w:szCs w:val="20"/>
        </w:rPr>
        <w:t>,</w:t>
      </w:r>
      <w:r w:rsidRPr="001D5213">
        <w:rPr>
          <w:szCs w:val="20"/>
        </w:rPr>
        <w:t xml:space="preserve"> and </w:t>
      </w:r>
      <w:r>
        <w:rPr>
          <w:szCs w:val="20"/>
        </w:rPr>
        <w:t xml:space="preserve">to </w:t>
      </w:r>
      <w:r w:rsidRPr="001D5213">
        <w:t xml:space="preserve">discuss the challenges with </w:t>
      </w:r>
      <w:r>
        <w:t xml:space="preserve">existing </w:t>
      </w:r>
      <w:r w:rsidRPr="001D5213">
        <w:t>arrangements.</w:t>
      </w:r>
    </w:p>
    <w:p w:rsidR="00974489" w:rsidRDefault="00974489" w:rsidP="00974489">
      <w:pPr>
        <w:pStyle w:val="AHPRAbody"/>
      </w:pPr>
      <w:r w:rsidRPr="001D5213">
        <w:t xml:space="preserve">This education and training reform initiative is a Board priority for the next three years. The program of work will also align with new accreditation standards which are likely to be developed by the Australian Psychology Accreditation Council over the coming year. </w:t>
      </w:r>
    </w:p>
    <w:p w:rsidR="00974489" w:rsidRPr="00724567" w:rsidRDefault="00974489" w:rsidP="00974489">
      <w:pPr>
        <w:pStyle w:val="Heading3"/>
      </w:pPr>
      <w:bookmarkStart w:id="17" w:name="_Toc453007452"/>
      <w:r w:rsidRPr="00724567">
        <w:t xml:space="preserve">Overseas </w:t>
      </w:r>
      <w:r>
        <w:t xml:space="preserve">qualification </w:t>
      </w:r>
      <w:r w:rsidRPr="00724567">
        <w:t>assessment function</w:t>
      </w:r>
      <w:bookmarkEnd w:id="17"/>
      <w:r w:rsidRPr="00724567">
        <w:t xml:space="preserve"> </w:t>
      </w:r>
    </w:p>
    <w:p w:rsidR="00974489" w:rsidRDefault="00974489" w:rsidP="00974489">
      <w:pPr>
        <w:autoSpaceDE w:val="0"/>
        <w:autoSpaceDN w:val="0"/>
        <w:adjustRightInd w:val="0"/>
        <w:rPr>
          <w:sz w:val="20"/>
          <w:szCs w:val="20"/>
        </w:rPr>
      </w:pPr>
      <w:r w:rsidRPr="00724567">
        <w:rPr>
          <w:sz w:val="20"/>
          <w:szCs w:val="20"/>
        </w:rPr>
        <w:t xml:space="preserve">Over the past few years the Board has been moving towards a ‘one stop shop’ approach for managing overseas applications to become a psychologist in Australia, in line with its responsibilities for regulating the psychology profession under the </w:t>
      </w:r>
      <w:r w:rsidRPr="00C87B44">
        <w:rPr>
          <w:sz w:val="20"/>
          <w:szCs w:val="20"/>
        </w:rPr>
        <w:t xml:space="preserve">Health Practitioner Regulation National Law </w:t>
      </w:r>
      <w:r>
        <w:rPr>
          <w:sz w:val="20"/>
          <w:szCs w:val="20"/>
        </w:rPr>
        <w:t xml:space="preserve">(the </w:t>
      </w:r>
      <w:r w:rsidRPr="00724567">
        <w:rPr>
          <w:sz w:val="20"/>
          <w:szCs w:val="20"/>
        </w:rPr>
        <w:t>National Law</w:t>
      </w:r>
      <w:r>
        <w:rPr>
          <w:sz w:val="20"/>
          <w:szCs w:val="20"/>
        </w:rPr>
        <w:t>). Next</w:t>
      </w:r>
      <w:r w:rsidRPr="00724567">
        <w:rPr>
          <w:sz w:val="20"/>
          <w:szCs w:val="20"/>
        </w:rPr>
        <w:t xml:space="preserve"> year will see the completion of this work with the Board overseeing the assessment of knowledge and clinical skills of overseas-qualified psychologists. </w:t>
      </w:r>
    </w:p>
    <w:p w:rsidR="00974489" w:rsidRPr="007B0ECA" w:rsidRDefault="00974489" w:rsidP="00974489">
      <w:pPr>
        <w:autoSpaceDE w:val="0"/>
        <w:autoSpaceDN w:val="0"/>
        <w:adjustRightInd w:val="0"/>
        <w:rPr>
          <w:rFonts w:cs="Arial"/>
          <w:color w:val="000000"/>
          <w:sz w:val="20"/>
          <w:szCs w:val="20"/>
        </w:rPr>
      </w:pPr>
      <w:r>
        <w:rPr>
          <w:rFonts w:cs="Arial"/>
          <w:color w:val="000000"/>
          <w:sz w:val="20"/>
          <w:szCs w:val="20"/>
        </w:rPr>
        <w:t>The Board</w:t>
      </w:r>
      <w:r w:rsidRPr="00FF158E">
        <w:rPr>
          <w:rFonts w:cs="Arial"/>
          <w:color w:val="000000"/>
          <w:sz w:val="20"/>
          <w:szCs w:val="20"/>
        </w:rPr>
        <w:t xml:space="preserve"> </w:t>
      </w:r>
      <w:r>
        <w:rPr>
          <w:rFonts w:cs="Arial"/>
          <w:color w:val="000000"/>
          <w:sz w:val="20"/>
          <w:szCs w:val="20"/>
        </w:rPr>
        <w:t>will establish an Advisory Committee</w:t>
      </w:r>
      <w:r w:rsidRPr="00FF158E">
        <w:rPr>
          <w:rFonts w:cs="Arial"/>
          <w:color w:val="000000"/>
          <w:sz w:val="20"/>
          <w:szCs w:val="20"/>
        </w:rPr>
        <w:t xml:space="preserve"> under the National Law as part of its governance framework.</w:t>
      </w:r>
      <w:r>
        <w:rPr>
          <w:rFonts w:cs="Arial"/>
          <w:color w:val="000000"/>
          <w:sz w:val="20"/>
          <w:szCs w:val="20"/>
        </w:rPr>
        <w:t xml:space="preserve"> </w:t>
      </w:r>
      <w:r w:rsidRPr="00745D70">
        <w:rPr>
          <w:rStyle w:val="AHPRAbodyChar"/>
          <w:szCs w:val="20"/>
        </w:rPr>
        <w:t>The principal</w:t>
      </w:r>
      <w:r>
        <w:rPr>
          <w:rStyle w:val="AHPRAbodyChar"/>
          <w:szCs w:val="20"/>
        </w:rPr>
        <w:t xml:space="preserve"> role of the Advisory Committee will be to </w:t>
      </w:r>
      <w:r w:rsidRPr="00745D70">
        <w:rPr>
          <w:rStyle w:val="AHPRAbodyChar"/>
          <w:szCs w:val="20"/>
        </w:rPr>
        <w:t>provide advice and recommendations on matters relate</w:t>
      </w:r>
      <w:r>
        <w:rPr>
          <w:rStyle w:val="AHPRAbodyChar"/>
          <w:szCs w:val="20"/>
        </w:rPr>
        <w:t>d to the assessment of overseas-</w:t>
      </w:r>
      <w:r w:rsidRPr="00745D70">
        <w:rPr>
          <w:rStyle w:val="AHPRAbodyChar"/>
          <w:szCs w:val="20"/>
        </w:rPr>
        <w:t>qualified psychologists within the Board’s approved model of assessment</w:t>
      </w:r>
      <w:r>
        <w:rPr>
          <w:rStyle w:val="AHPRAbodyChar"/>
          <w:szCs w:val="20"/>
        </w:rPr>
        <w:t>. The Advisory Committee is not a decision-making body. All applications from overseas-</w:t>
      </w:r>
      <w:r w:rsidRPr="00745D70">
        <w:rPr>
          <w:rStyle w:val="AHPRAbodyChar"/>
          <w:szCs w:val="20"/>
        </w:rPr>
        <w:t xml:space="preserve">trained psychologists will be assessed </w:t>
      </w:r>
      <w:r>
        <w:rPr>
          <w:rStyle w:val="AHPRAbodyChar"/>
          <w:szCs w:val="20"/>
        </w:rPr>
        <w:t xml:space="preserve">by AHPRA </w:t>
      </w:r>
      <w:r w:rsidRPr="00745D70">
        <w:rPr>
          <w:rStyle w:val="AHPRAbodyChar"/>
          <w:szCs w:val="20"/>
        </w:rPr>
        <w:t>in a centralised location to promote efficient, consistent outcomes</w:t>
      </w:r>
      <w:r>
        <w:rPr>
          <w:rStyle w:val="AHPRAbodyChar"/>
          <w:szCs w:val="20"/>
        </w:rPr>
        <w:t xml:space="preserve">. </w:t>
      </w:r>
    </w:p>
    <w:p w:rsidR="00974489" w:rsidRPr="00724567" w:rsidRDefault="00974489" w:rsidP="00974489">
      <w:pPr>
        <w:pStyle w:val="Heading3"/>
      </w:pPr>
      <w:bookmarkStart w:id="18" w:name="_Toc453007453"/>
      <w:r w:rsidRPr="00724567">
        <w:t>Consultation on ending the higher degree exemption from sitting the National Psychology Exam</w:t>
      </w:r>
      <w:r>
        <w:t>ination</w:t>
      </w:r>
      <w:bookmarkEnd w:id="18"/>
    </w:p>
    <w:p w:rsidR="00974489" w:rsidRPr="00C87B44" w:rsidRDefault="00974489" w:rsidP="00974489">
      <w:pPr>
        <w:widowControl w:val="0"/>
        <w:autoSpaceDE w:val="0"/>
        <w:autoSpaceDN w:val="0"/>
        <w:adjustRightInd w:val="0"/>
        <w:spacing w:after="0"/>
        <w:rPr>
          <w:rFonts w:eastAsiaTheme="minorEastAsia" w:cs="Arial"/>
          <w:sz w:val="20"/>
          <w:szCs w:val="20"/>
          <w:lang w:val="en-US"/>
        </w:rPr>
      </w:pPr>
      <w:r w:rsidRPr="00C87B44">
        <w:rPr>
          <w:rFonts w:eastAsiaTheme="minorEastAsia" w:cs="Arial"/>
          <w:sz w:val="20"/>
          <w:szCs w:val="20"/>
          <w:lang w:val="en-US"/>
        </w:rPr>
        <w:t xml:space="preserve">The Board will </w:t>
      </w:r>
      <w:r w:rsidRPr="00C87B44">
        <w:rPr>
          <w:rFonts w:eastAsiaTheme="minorEastAsia" w:cs="Arial"/>
          <w:iCs/>
          <w:sz w:val="20"/>
          <w:szCs w:val="20"/>
          <w:lang w:val="en-US"/>
        </w:rPr>
        <w:t>consult on ending the higher degree exemption from sitting the National Psychology Examination</w:t>
      </w:r>
      <w:r w:rsidRPr="00C87B44">
        <w:rPr>
          <w:rFonts w:eastAsiaTheme="minorEastAsia" w:cs="Arial"/>
          <w:sz w:val="20"/>
          <w:szCs w:val="20"/>
          <w:lang w:val="en-US"/>
        </w:rPr>
        <w:t>.</w:t>
      </w:r>
    </w:p>
    <w:p w:rsidR="00974489" w:rsidRPr="00C87B44" w:rsidRDefault="00974489" w:rsidP="00974489">
      <w:pPr>
        <w:widowControl w:val="0"/>
        <w:autoSpaceDE w:val="0"/>
        <w:autoSpaceDN w:val="0"/>
        <w:adjustRightInd w:val="0"/>
        <w:spacing w:after="0"/>
        <w:rPr>
          <w:rFonts w:eastAsiaTheme="minorEastAsia" w:cs="Arial"/>
          <w:sz w:val="20"/>
          <w:szCs w:val="20"/>
          <w:lang w:val="en-US"/>
        </w:rPr>
      </w:pPr>
    </w:p>
    <w:p w:rsidR="00974489" w:rsidRPr="00C87B44" w:rsidRDefault="00974489" w:rsidP="00974489">
      <w:pPr>
        <w:widowControl w:val="0"/>
        <w:autoSpaceDE w:val="0"/>
        <w:autoSpaceDN w:val="0"/>
        <w:adjustRightInd w:val="0"/>
        <w:spacing w:after="0"/>
        <w:rPr>
          <w:rFonts w:eastAsiaTheme="minorEastAsia" w:cs="Arial"/>
          <w:sz w:val="20"/>
          <w:szCs w:val="20"/>
          <w:lang w:val="en-US"/>
        </w:rPr>
      </w:pPr>
      <w:r w:rsidRPr="00C87B44">
        <w:rPr>
          <w:rFonts w:eastAsiaTheme="minorEastAsia" w:cs="Arial"/>
          <w:sz w:val="20"/>
          <w:szCs w:val="20"/>
          <w:lang w:val="en-US"/>
        </w:rPr>
        <w:t xml:space="preserve">Since 2010 the Board has applied an exemption from sitting the examination to graduates via the higher degree training pathway (those who have completed an accredited six-year or above </w:t>
      </w:r>
      <w:r>
        <w:rPr>
          <w:rFonts w:eastAsiaTheme="minorEastAsia" w:cs="Arial"/>
          <w:sz w:val="20"/>
          <w:szCs w:val="20"/>
          <w:lang w:val="en-US"/>
        </w:rPr>
        <w:t>professional Masters, Doctorate</w:t>
      </w:r>
      <w:r w:rsidRPr="00C87B44">
        <w:rPr>
          <w:rFonts w:eastAsiaTheme="minorEastAsia" w:cs="Arial"/>
          <w:sz w:val="20"/>
          <w:szCs w:val="20"/>
          <w:lang w:val="en-US"/>
        </w:rPr>
        <w:t xml:space="preserve"> or combined Masters/PhD qualification that leads to </w:t>
      </w:r>
      <w:r>
        <w:rPr>
          <w:rFonts w:eastAsiaTheme="minorEastAsia" w:cs="Arial"/>
          <w:sz w:val="20"/>
          <w:szCs w:val="20"/>
          <w:lang w:val="en-US"/>
        </w:rPr>
        <w:t xml:space="preserve">an </w:t>
      </w:r>
      <w:r w:rsidRPr="00C87B44">
        <w:rPr>
          <w:rFonts w:eastAsiaTheme="minorEastAsia" w:cs="Arial"/>
          <w:sz w:val="20"/>
          <w:szCs w:val="20"/>
          <w:lang w:val="en-US"/>
        </w:rPr>
        <w:t>area of practice endorsement). This exemption is due to end on 30 June 2016.</w:t>
      </w:r>
    </w:p>
    <w:p w:rsidR="00974489" w:rsidRPr="00C87B44" w:rsidRDefault="00974489" w:rsidP="00974489">
      <w:pPr>
        <w:widowControl w:val="0"/>
        <w:autoSpaceDE w:val="0"/>
        <w:autoSpaceDN w:val="0"/>
        <w:adjustRightInd w:val="0"/>
        <w:spacing w:after="0"/>
        <w:rPr>
          <w:rFonts w:eastAsiaTheme="minorEastAsia" w:cs="Arial"/>
          <w:sz w:val="20"/>
          <w:szCs w:val="20"/>
          <w:lang w:val="en-US"/>
        </w:rPr>
      </w:pPr>
    </w:p>
    <w:p w:rsidR="00974489" w:rsidRPr="00C87B44" w:rsidRDefault="00974489" w:rsidP="00974489">
      <w:pPr>
        <w:widowControl w:val="0"/>
        <w:autoSpaceDE w:val="0"/>
        <w:autoSpaceDN w:val="0"/>
        <w:adjustRightInd w:val="0"/>
        <w:spacing w:after="0"/>
        <w:rPr>
          <w:rFonts w:eastAsiaTheme="minorEastAsia" w:cs="Arial"/>
          <w:sz w:val="20"/>
          <w:szCs w:val="20"/>
          <w:lang w:val="en-US"/>
        </w:rPr>
      </w:pPr>
      <w:r w:rsidRPr="00C87B44">
        <w:rPr>
          <w:rFonts w:eastAsiaTheme="minorEastAsia" w:cs="Arial"/>
          <w:sz w:val="20"/>
          <w:szCs w:val="20"/>
          <w:lang w:val="en-US"/>
        </w:rPr>
        <w:t xml:space="preserve">The Board will seek feedback from all stakeholders on the proposal to not extend the exemption for higher degree students beyond 30 June 2016, and to revise the </w:t>
      </w:r>
      <w:r w:rsidRPr="00C87B44">
        <w:rPr>
          <w:rFonts w:eastAsiaTheme="minorEastAsia" w:cs="Arial"/>
          <w:i/>
          <w:iCs/>
          <w:sz w:val="20"/>
          <w:szCs w:val="20"/>
          <w:lang w:val="en-US"/>
        </w:rPr>
        <w:t>Guidelines for the National Psychology Exam</w:t>
      </w:r>
      <w:r w:rsidRPr="00C87B44">
        <w:rPr>
          <w:rFonts w:eastAsiaTheme="minorEastAsia" w:cs="Arial"/>
          <w:sz w:val="20"/>
          <w:szCs w:val="20"/>
          <w:lang w:val="en-US"/>
        </w:rPr>
        <w:t xml:space="preserve"> accordingly. The Board has recommended various options for transition for higher degree students should the proposal to end the exemption be approved.</w:t>
      </w:r>
    </w:p>
    <w:p w:rsidR="00974489" w:rsidRDefault="00974489" w:rsidP="00974489">
      <w:pPr>
        <w:spacing w:line="276" w:lineRule="auto"/>
        <w:rPr>
          <w:b/>
          <w:szCs w:val="20"/>
        </w:rPr>
      </w:pPr>
      <w:r>
        <w:br w:type="page"/>
      </w:r>
    </w:p>
    <w:p w:rsidR="00974489" w:rsidRPr="004D2E4C" w:rsidRDefault="00974489" w:rsidP="00974489">
      <w:pPr>
        <w:pStyle w:val="Heading2"/>
      </w:pPr>
      <w:bookmarkStart w:id="19" w:name="_Toc453007454"/>
      <w:r w:rsidRPr="004D2E4C">
        <w:t>Board-specific registration, notifications</w:t>
      </w:r>
      <w:r>
        <w:t>,</w:t>
      </w:r>
      <w:r w:rsidRPr="004D2E4C">
        <w:t xml:space="preserve"> and monitoring and compliance data 2014/15</w:t>
      </w:r>
      <w:bookmarkEnd w:id="19"/>
    </w:p>
    <w:p w:rsidR="00974489" w:rsidRPr="004D2E4C" w:rsidRDefault="00974489" w:rsidP="00974489">
      <w:pPr>
        <w:pStyle w:val="Heading3"/>
      </w:pPr>
      <w:bookmarkStart w:id="20" w:name="_Toc453007455"/>
      <w:r>
        <w:t>Registration</w:t>
      </w:r>
      <w:bookmarkEnd w:id="20"/>
    </w:p>
    <w:p w:rsidR="00974489" w:rsidRPr="004D2E4C" w:rsidRDefault="00974489" w:rsidP="00974489">
      <w:pPr>
        <w:rPr>
          <w:sz w:val="20"/>
        </w:rPr>
      </w:pPr>
      <w:r w:rsidRPr="004D2E4C">
        <w:rPr>
          <w:sz w:val="20"/>
        </w:rPr>
        <w:t xml:space="preserve">On 30 June 2015, there were </w:t>
      </w:r>
      <w:r w:rsidRPr="001733EF">
        <w:rPr>
          <w:sz w:val="20"/>
        </w:rPr>
        <w:t xml:space="preserve">32,766 </w:t>
      </w:r>
      <w:r w:rsidRPr="004D2E4C">
        <w:rPr>
          <w:sz w:val="20"/>
        </w:rPr>
        <w:t xml:space="preserve">registered psychologists across Australia. This is an increase of 3.31% </w:t>
      </w:r>
      <w:r>
        <w:rPr>
          <w:sz w:val="20"/>
        </w:rPr>
        <w:t>from</w:t>
      </w:r>
      <w:r w:rsidRPr="004D2E4C">
        <w:rPr>
          <w:sz w:val="20"/>
        </w:rPr>
        <w:t xml:space="preserve"> the previous year. </w:t>
      </w:r>
      <w:r>
        <w:rPr>
          <w:sz w:val="20"/>
        </w:rPr>
        <w:t>New South Wales (NSW)</w:t>
      </w:r>
      <w:r w:rsidRPr="004D2E4C">
        <w:rPr>
          <w:sz w:val="20"/>
        </w:rPr>
        <w:t xml:space="preserve"> has the largest number of registered psychologists (10,840)</w:t>
      </w:r>
      <w:r w:rsidRPr="004D2E4C">
        <w:rPr>
          <w:sz w:val="20"/>
          <w:lang w:val="en-GB"/>
        </w:rPr>
        <w:t>,</w:t>
      </w:r>
      <w:r w:rsidRPr="004D2E4C">
        <w:rPr>
          <w:sz w:val="20"/>
        </w:rPr>
        <w:t xml:space="preserve"> followed by Victoria with 8,880 registrants. More than a quarter of practitioners (29.4%) were aged under 35.</w:t>
      </w:r>
    </w:p>
    <w:p w:rsidR="00974489" w:rsidRPr="004D2E4C" w:rsidRDefault="00974489" w:rsidP="00974489">
      <w:pPr>
        <w:rPr>
          <w:rFonts w:ascii="Times New Roman" w:hAnsi="Times New Roman"/>
        </w:rPr>
      </w:pPr>
      <w:r w:rsidRPr="004D2E4C">
        <w:rPr>
          <w:sz w:val="20"/>
        </w:rPr>
        <w:t>There were 10,643 endorsements held by psy</w:t>
      </w:r>
      <w:r>
        <w:rPr>
          <w:sz w:val="20"/>
        </w:rPr>
        <w:t>chologists at 30 June 2015. Two-</w:t>
      </w:r>
      <w:r w:rsidRPr="004D2E4C">
        <w:rPr>
          <w:sz w:val="20"/>
        </w:rPr>
        <w:t>thirds</w:t>
      </w:r>
      <w:r>
        <w:rPr>
          <w:sz w:val="20"/>
        </w:rPr>
        <w:t xml:space="preserve"> of these endorsements (7,028) we</w:t>
      </w:r>
      <w:r w:rsidRPr="004D2E4C">
        <w:rPr>
          <w:sz w:val="20"/>
        </w:rPr>
        <w:t xml:space="preserve">re for clinical psychology. </w:t>
      </w:r>
    </w:p>
    <w:p w:rsidR="00974489" w:rsidRPr="004D2E4C" w:rsidRDefault="00974489" w:rsidP="00974489">
      <w:pPr>
        <w:pStyle w:val="Heading3"/>
      </w:pPr>
      <w:bookmarkStart w:id="21" w:name="_Toc453007456"/>
      <w:r w:rsidRPr="004D2E4C">
        <w:t>Notifications</w:t>
      </w:r>
      <w:bookmarkEnd w:id="21"/>
    </w:p>
    <w:p w:rsidR="00974489" w:rsidRPr="004D2E4C" w:rsidRDefault="00974489" w:rsidP="00974489">
      <w:pPr>
        <w:rPr>
          <w:rFonts w:ascii="Times New Roman" w:hAnsi="Times New Roman"/>
        </w:rPr>
      </w:pPr>
      <w:r w:rsidRPr="004D2E4C">
        <w:rPr>
          <w:sz w:val="20"/>
        </w:rPr>
        <w:t>There were 432 notifications lodged against registered psychologists in 2014/15</w:t>
      </w:r>
      <w:r w:rsidRPr="004D2E4C">
        <w:rPr>
          <w:sz w:val="20"/>
          <w:lang w:val="en-GB"/>
        </w:rPr>
        <w:t>,</w:t>
      </w:r>
      <w:r>
        <w:rPr>
          <w:sz w:val="20"/>
        </w:rPr>
        <w:t xml:space="preserve"> including 276 outside of</w:t>
      </w:r>
      <w:r w:rsidRPr="004D2E4C">
        <w:rPr>
          <w:sz w:val="20"/>
        </w:rPr>
        <w:t xml:space="preserve"> NSW. Notifications were about 1.3% of the registrant base.</w:t>
      </w:r>
    </w:p>
    <w:p w:rsidR="00974489" w:rsidRPr="004D2E4C" w:rsidRDefault="00974489" w:rsidP="00974489">
      <w:pPr>
        <w:rPr>
          <w:sz w:val="20"/>
        </w:rPr>
      </w:pPr>
      <w:r w:rsidRPr="004D2E4C">
        <w:rPr>
          <w:sz w:val="20"/>
        </w:rPr>
        <w:t>It is important to note that for matters considered jointly by health complaints entities and AHPRA, only matters within the National Boards’ jurisdiction have been included in this report. Note also that Queensland became a co-regulatory jurisdiction on 1 July in 2014, with the commencement</w:t>
      </w:r>
      <w:r>
        <w:rPr>
          <w:sz w:val="20"/>
        </w:rPr>
        <w:t xml:space="preserve"> of the Health Ombudsman Act. </w:t>
      </w:r>
      <w:r w:rsidRPr="004D2E4C">
        <w:rPr>
          <w:sz w:val="20"/>
        </w:rPr>
        <w:t>AHPRA only has access to data relating to matters referred by the O</w:t>
      </w:r>
      <w:r>
        <w:rPr>
          <w:sz w:val="20"/>
        </w:rPr>
        <w:t xml:space="preserve">ffice of the Health Ombudsman. </w:t>
      </w:r>
      <w:r w:rsidRPr="004D2E4C">
        <w:rPr>
          <w:sz w:val="20"/>
        </w:rPr>
        <w:t>We are unable to report on all complaints about registered health practitioners in Queensland.</w:t>
      </w:r>
    </w:p>
    <w:p w:rsidR="00974489" w:rsidRPr="004D2E4C" w:rsidRDefault="00974489" w:rsidP="00974489">
      <w:pPr>
        <w:rPr>
          <w:sz w:val="20"/>
        </w:rPr>
      </w:pPr>
      <w:r w:rsidRPr="004D2E4C">
        <w:rPr>
          <w:sz w:val="20"/>
        </w:rPr>
        <w:t xml:space="preserve">There were 458 notifications closed in 2014/15, including 145 complaints in NSW and 313 outside </w:t>
      </w:r>
      <w:r>
        <w:rPr>
          <w:sz w:val="20"/>
        </w:rPr>
        <w:t xml:space="preserve">of </w:t>
      </w:r>
      <w:r w:rsidRPr="004D2E4C">
        <w:rPr>
          <w:sz w:val="20"/>
        </w:rPr>
        <w:t>NSW. Of these 313 notifications: 174 were concluded after assessment; 46 were concluded following a panel (24) or tribunal (22) hearing; and the remaining cases were concluded after an investigation (77)</w:t>
      </w:r>
      <w:r>
        <w:rPr>
          <w:sz w:val="20"/>
        </w:rPr>
        <w:t>,</w:t>
      </w:r>
      <w:r w:rsidRPr="004D2E4C">
        <w:rPr>
          <w:sz w:val="20"/>
        </w:rPr>
        <w:t xml:space="preserve"> or a health or performance assessment (16). </w:t>
      </w:r>
    </w:p>
    <w:p w:rsidR="00974489" w:rsidRPr="004D2E4C" w:rsidRDefault="00974489" w:rsidP="00974489">
      <w:pPr>
        <w:rPr>
          <w:sz w:val="20"/>
        </w:rPr>
      </w:pPr>
      <w:r w:rsidRPr="004D2E4C">
        <w:rPr>
          <w:sz w:val="20"/>
        </w:rPr>
        <w:t>For 207 cases, the Board determined that no further action was required (202), that the notifications should be referred in full or part to another body (</w:t>
      </w:r>
      <w:r>
        <w:rPr>
          <w:sz w:val="20"/>
        </w:rPr>
        <w:t>one</w:t>
      </w:r>
      <w:r w:rsidRPr="004D2E4C">
        <w:rPr>
          <w:sz w:val="20"/>
        </w:rPr>
        <w:t>), or that the notification would be most appropriately handled by the health complaints entity that originally received it (</w:t>
      </w:r>
      <w:r>
        <w:rPr>
          <w:sz w:val="20"/>
        </w:rPr>
        <w:t>four</w:t>
      </w:r>
      <w:r w:rsidRPr="004D2E4C">
        <w:rPr>
          <w:sz w:val="20"/>
        </w:rPr>
        <w:t>). Forty</w:t>
      </w:r>
      <w:r w:rsidRPr="004D2E4C">
        <w:rPr>
          <w:sz w:val="20"/>
          <w:lang w:val="en-GB"/>
        </w:rPr>
        <w:t>-</w:t>
      </w:r>
      <w:r w:rsidRPr="004D2E4C">
        <w:rPr>
          <w:sz w:val="20"/>
        </w:rPr>
        <w:t>one cases resulted in a caution (40) or reprimand (</w:t>
      </w:r>
      <w:r>
        <w:rPr>
          <w:sz w:val="20"/>
        </w:rPr>
        <w:t>one</w:t>
      </w:r>
      <w:r w:rsidRPr="004D2E4C">
        <w:rPr>
          <w:sz w:val="20"/>
        </w:rPr>
        <w:t>), and in 52 cases the practitioner gave an undertaking in relation to improving their conduct (12)</w:t>
      </w:r>
      <w:r>
        <w:rPr>
          <w:sz w:val="20"/>
        </w:rPr>
        <w:t>,</w:t>
      </w:r>
      <w:r w:rsidRPr="004D2E4C">
        <w:rPr>
          <w:sz w:val="20"/>
        </w:rPr>
        <w:t xml:space="preserve"> or conditions were imposed on the practitioner’s registration (40). In four cases the practitioner’s registration was suspended, in seven cases registration was cancelled, one practitioner surrendered registration and in one case the practitioner was not permitted to reapply for registration for 12 months or more.</w:t>
      </w:r>
    </w:p>
    <w:p w:rsidR="00974489" w:rsidRPr="004D2E4C" w:rsidRDefault="00974489" w:rsidP="00974489">
      <w:pPr>
        <w:rPr>
          <w:sz w:val="20"/>
        </w:rPr>
      </w:pPr>
      <w:r w:rsidRPr="004D2E4C">
        <w:rPr>
          <w:sz w:val="20"/>
        </w:rPr>
        <w:t>A National Board has the power to take immediate action in relation to a health practitioner’s registration at any time if it believes this is necessary to protect the public. This is an interim step that Boards can take while more information is gathered or while other processes are put in place.</w:t>
      </w:r>
    </w:p>
    <w:p w:rsidR="00974489" w:rsidRPr="004D2E4C" w:rsidRDefault="00974489" w:rsidP="00974489">
      <w:pPr>
        <w:rPr>
          <w:rFonts w:ascii="Times New Roman" w:hAnsi="Times New Roman"/>
        </w:rPr>
      </w:pPr>
      <w:r w:rsidRPr="004D2E4C">
        <w:rPr>
          <w:sz w:val="20"/>
        </w:rPr>
        <w:t>Immediate action is a serious step. The threshold for the Board to take immediate action is high and is defined in section 156 of the National Law. To take immediate action, the Board must reasonably believe that:</w:t>
      </w:r>
    </w:p>
    <w:p w:rsidR="00974489" w:rsidRPr="000901D6" w:rsidRDefault="00974489" w:rsidP="00974489">
      <w:pPr>
        <w:pStyle w:val="ListParagraph"/>
        <w:numPr>
          <w:ilvl w:val="0"/>
          <w:numId w:val="25"/>
        </w:numPr>
        <w:spacing w:after="0"/>
        <w:rPr>
          <w:rFonts w:eastAsia="Times New Roman"/>
          <w:sz w:val="20"/>
          <w:szCs w:val="20"/>
          <w:lang w:val="en-US"/>
        </w:rPr>
      </w:pPr>
      <w:r w:rsidRPr="000901D6">
        <w:rPr>
          <w:rFonts w:eastAsia="Times New Roman"/>
          <w:sz w:val="20"/>
          <w:szCs w:val="20"/>
          <w:lang w:val="en-US"/>
        </w:rPr>
        <w:t xml:space="preserve">because of their conduct, performance or health, the practitioner poses a ‘serious risk to persons’ and that it is necessary to take immediate action to protect public health or safety, or </w:t>
      </w:r>
    </w:p>
    <w:p w:rsidR="00974489" w:rsidRPr="000901D6" w:rsidRDefault="00974489" w:rsidP="00974489">
      <w:pPr>
        <w:pStyle w:val="ListParagraph"/>
        <w:numPr>
          <w:ilvl w:val="0"/>
          <w:numId w:val="25"/>
        </w:numPr>
        <w:spacing w:after="0"/>
        <w:rPr>
          <w:rFonts w:eastAsia="Times New Roman"/>
          <w:sz w:val="20"/>
          <w:szCs w:val="20"/>
          <w:lang w:val="en-US"/>
        </w:rPr>
      </w:pPr>
      <w:r w:rsidRPr="000901D6">
        <w:rPr>
          <w:rFonts w:eastAsia="Times New Roman"/>
          <w:sz w:val="20"/>
          <w:szCs w:val="20"/>
          <w:lang w:val="en-US"/>
        </w:rPr>
        <w:t xml:space="preserve">the practitioner’s registration was improperly obtained, or </w:t>
      </w:r>
    </w:p>
    <w:p w:rsidR="00974489" w:rsidRPr="000901D6" w:rsidRDefault="00974489" w:rsidP="00974489">
      <w:pPr>
        <w:pStyle w:val="ListParagraph"/>
        <w:numPr>
          <w:ilvl w:val="0"/>
          <w:numId w:val="25"/>
        </w:numPr>
        <w:spacing w:after="0"/>
        <w:rPr>
          <w:rFonts w:eastAsia="Times New Roman"/>
          <w:sz w:val="20"/>
          <w:szCs w:val="20"/>
          <w:lang w:val="en-US"/>
        </w:rPr>
      </w:pPr>
      <w:r w:rsidRPr="000901D6">
        <w:rPr>
          <w:rFonts w:eastAsia="Times New Roman"/>
          <w:sz w:val="20"/>
          <w:szCs w:val="20"/>
          <w:lang w:val="en-US"/>
        </w:rPr>
        <w:t xml:space="preserve">the practitioner or student’s registration was cancelled or suspended in another jurisdiction. </w:t>
      </w:r>
    </w:p>
    <w:p w:rsidR="00974489" w:rsidRPr="004D2E4C" w:rsidRDefault="00974489" w:rsidP="00974489">
      <w:pPr>
        <w:spacing w:after="0"/>
        <w:ind w:left="369"/>
        <w:rPr>
          <w:rFonts w:eastAsia="Times New Roman"/>
          <w:sz w:val="20"/>
          <w:szCs w:val="20"/>
          <w:lang w:val="en-US"/>
        </w:rPr>
      </w:pPr>
    </w:p>
    <w:p w:rsidR="00974489" w:rsidRPr="004D2E4C" w:rsidRDefault="00974489" w:rsidP="00974489">
      <w:pPr>
        <w:pStyle w:val="AHPRAbody"/>
      </w:pPr>
      <w:r w:rsidRPr="004D2E4C">
        <w:t xml:space="preserve">Immediate action was initiated by the Board in eight cases during the year. </w:t>
      </w:r>
      <w:r w:rsidRPr="005E63E8">
        <w:t xml:space="preserve">Integrated data for all professions including outcomes of immediate actions are published from page </w:t>
      </w:r>
      <w:r>
        <w:t>36</w:t>
      </w:r>
      <w:r w:rsidRPr="005E63E8">
        <w:t xml:space="preserve"> </w:t>
      </w:r>
      <w:r w:rsidRPr="005E63E8">
        <w:rPr>
          <w:lang w:val="en-GB"/>
        </w:rPr>
        <w:t>in</w:t>
      </w:r>
      <w:r w:rsidRPr="005E63E8">
        <w:t xml:space="preserve"> the 2014/15 </w:t>
      </w:r>
      <w:hyperlink r:id="rId13" w:history="1">
        <w:r w:rsidRPr="005E63E8">
          <w:rPr>
            <w:rStyle w:val="Hyperlink"/>
          </w:rPr>
          <w:t>annual report</w:t>
        </w:r>
      </w:hyperlink>
      <w:r w:rsidRPr="005E63E8">
        <w:t xml:space="preserve"> of AHPRA and the National Boards. More information about immediate action is published on our website under </w:t>
      </w:r>
      <w:hyperlink r:id="rId14" w:history="1">
        <w:r w:rsidRPr="005E63E8">
          <w:rPr>
            <w:rStyle w:val="Hyperlink"/>
            <w:i/>
          </w:rPr>
          <w:t>Notifications</w:t>
        </w:r>
      </w:hyperlink>
      <w:r w:rsidRPr="005E63E8">
        <w:t>.</w:t>
      </w:r>
      <w:bookmarkStart w:id="22" w:name="page99"/>
      <w:bookmarkEnd w:id="22"/>
    </w:p>
    <w:p w:rsidR="00974489" w:rsidRDefault="00974489">
      <w:pPr>
        <w:spacing w:line="276" w:lineRule="auto"/>
        <w:rPr>
          <w:b/>
          <w:color w:val="007DC3"/>
          <w:sz w:val="20"/>
          <w:szCs w:val="20"/>
        </w:rPr>
      </w:pPr>
      <w:r>
        <w:rPr>
          <w:b/>
        </w:rPr>
        <w:br w:type="page"/>
      </w:r>
    </w:p>
    <w:p w:rsidR="00974489" w:rsidRPr="004D2E4C" w:rsidRDefault="00974489" w:rsidP="00974489">
      <w:pPr>
        <w:pStyle w:val="Heading3"/>
      </w:pPr>
      <w:bookmarkStart w:id="23" w:name="_Toc453007457"/>
      <w:r w:rsidRPr="004D2E4C">
        <w:t>Monitoring and compliance</w:t>
      </w:r>
      <w:bookmarkEnd w:id="23"/>
    </w:p>
    <w:p w:rsidR="00974489" w:rsidRPr="004D2E4C" w:rsidRDefault="00974489" w:rsidP="00974489">
      <w:pPr>
        <w:rPr>
          <w:sz w:val="20"/>
          <w:szCs w:val="20"/>
        </w:rPr>
      </w:pPr>
      <w:r w:rsidRPr="004D2E4C">
        <w:rPr>
          <w:sz w:val="20"/>
          <w:szCs w:val="20"/>
        </w:rPr>
        <w:t>AHPRA, on behalf of the National Boards, monitors health practitioners and students with restrictions placed on their registration, or with suspended or cancelled registration. By identifying any non-compliance with restrictions and acting swiftly and appropriately, AHPRA supports Boards to manage risk to public safety.</w:t>
      </w:r>
    </w:p>
    <w:p w:rsidR="00974489" w:rsidRPr="004D2E4C" w:rsidRDefault="00974489" w:rsidP="00974489">
      <w:pPr>
        <w:rPr>
          <w:sz w:val="20"/>
        </w:rPr>
      </w:pPr>
      <w:r w:rsidRPr="004D2E4C">
        <w:rPr>
          <w:sz w:val="20"/>
        </w:rPr>
        <w:t xml:space="preserve">At 30 June 2015, there were 177 </w:t>
      </w:r>
      <w:r>
        <w:rPr>
          <w:sz w:val="20"/>
        </w:rPr>
        <w:t xml:space="preserve">psychology </w:t>
      </w:r>
      <w:r w:rsidRPr="004D2E4C">
        <w:rPr>
          <w:sz w:val="20"/>
        </w:rPr>
        <w:t xml:space="preserve">registrants under active monitoring. </w:t>
      </w:r>
    </w:p>
    <w:p w:rsidR="008A31D2" w:rsidRDefault="008A31D2" w:rsidP="008A31D2">
      <w:pPr>
        <w:pStyle w:val="Caption"/>
      </w:pPr>
      <w:bookmarkStart w:id="24" w:name="_Toc453007260"/>
      <w:r>
        <w:t>Table PSY</w:t>
      </w:r>
      <w:r w:rsidR="003A7386">
        <w:fldChar w:fldCharType="begin"/>
      </w:r>
      <w:r w:rsidR="003A7386">
        <w:instrText xml:space="preserve"> SEQ Table \* ARABIC </w:instrText>
      </w:r>
      <w:r w:rsidR="003A7386">
        <w:fldChar w:fldCharType="separate"/>
      </w:r>
      <w:r w:rsidR="00A57A1D">
        <w:rPr>
          <w:noProof/>
        </w:rPr>
        <w:t>1</w:t>
      </w:r>
      <w:r w:rsidR="003A7386">
        <w:rPr>
          <w:noProof/>
        </w:rPr>
        <w:fldChar w:fldCharType="end"/>
      </w:r>
      <w:r>
        <w:t xml:space="preserve">: </w:t>
      </w:r>
      <w:r w:rsidRPr="00033B8A">
        <w:t>Registrant numbers at 30 June 2015</w:t>
      </w:r>
      <w:bookmarkEnd w:id="24"/>
    </w:p>
    <w:p w:rsidR="008A31D2" w:rsidRPr="008A31D2" w:rsidRDefault="008A31D2" w:rsidP="008A31D2">
      <w:pPr>
        <w:pStyle w:val="AHPRABody0"/>
      </w:pPr>
      <w:r>
        <w:t>Legend: PPP = Principal place of practice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685"/>
        <w:gridCol w:w="768"/>
        <w:gridCol w:w="741"/>
        <w:gridCol w:w="686"/>
        <w:gridCol w:w="686"/>
        <w:gridCol w:w="686"/>
        <w:gridCol w:w="686"/>
        <w:gridCol w:w="686"/>
        <w:gridCol w:w="778"/>
        <w:gridCol w:w="768"/>
      </w:tblGrid>
      <w:tr w:rsidR="00974489" w:rsidRPr="008A31D2" w:rsidTr="008A31D2">
        <w:trPr>
          <w:trHeight w:val="300"/>
          <w:tblHeader/>
        </w:trPr>
        <w:tc>
          <w:tcPr>
            <w:tcW w:w="1145" w:type="pct"/>
            <w:shd w:val="clear" w:color="000000" w:fill="DBE5F1"/>
            <w:noWrap/>
            <w:vAlign w:val="bottom"/>
            <w:hideMark/>
          </w:tcPr>
          <w:p w:rsidR="00974489" w:rsidRPr="008A31D2" w:rsidRDefault="00974489" w:rsidP="00DE2F86">
            <w:pPr>
              <w:spacing w:after="0"/>
              <w:rPr>
                <w:rFonts w:eastAsia="Times New Roman"/>
                <w:b/>
                <w:bCs/>
                <w:color w:val="000000"/>
                <w:sz w:val="18"/>
                <w:szCs w:val="16"/>
                <w:lang w:val="en-US"/>
              </w:rPr>
            </w:pPr>
            <w:r w:rsidRPr="008A31D2">
              <w:rPr>
                <w:rFonts w:eastAsia="Times New Roman"/>
                <w:b/>
                <w:bCs/>
                <w:color w:val="000000"/>
                <w:sz w:val="18"/>
                <w:szCs w:val="16"/>
                <w:lang w:val="en-US"/>
              </w:rPr>
              <w:t>Psychologist</w:t>
            </w:r>
          </w:p>
        </w:tc>
        <w:tc>
          <w:tcPr>
            <w:tcW w:w="367" w:type="pct"/>
            <w:shd w:val="clear" w:color="000000" w:fill="DBE5F1"/>
            <w:vAlign w:val="bottom"/>
            <w:hideMark/>
          </w:tcPr>
          <w:p w:rsidR="00974489" w:rsidRPr="008A31D2" w:rsidRDefault="00974489" w:rsidP="00DE2F86">
            <w:pPr>
              <w:spacing w:after="0"/>
              <w:jc w:val="center"/>
              <w:rPr>
                <w:rFonts w:eastAsia="Times New Roman"/>
                <w:b/>
                <w:bCs/>
                <w:color w:val="000000"/>
                <w:sz w:val="18"/>
                <w:szCs w:val="16"/>
                <w:lang w:val="en-US"/>
              </w:rPr>
            </w:pPr>
            <w:r w:rsidRPr="008A31D2">
              <w:rPr>
                <w:rFonts w:eastAsia="Times New Roman"/>
                <w:b/>
                <w:bCs/>
                <w:color w:val="000000"/>
                <w:sz w:val="18"/>
                <w:szCs w:val="16"/>
                <w:lang w:val="en-US"/>
              </w:rPr>
              <w:t xml:space="preserve"> ACT</w:t>
            </w:r>
          </w:p>
        </w:tc>
        <w:tc>
          <w:tcPr>
            <w:tcW w:w="418" w:type="pct"/>
            <w:shd w:val="clear" w:color="000000" w:fill="DBE5F1"/>
            <w:vAlign w:val="bottom"/>
            <w:hideMark/>
          </w:tcPr>
          <w:p w:rsidR="00974489" w:rsidRPr="008A31D2" w:rsidRDefault="00974489" w:rsidP="00DE2F86">
            <w:pPr>
              <w:spacing w:after="0"/>
              <w:jc w:val="center"/>
              <w:rPr>
                <w:rFonts w:eastAsia="Times New Roman"/>
                <w:b/>
                <w:bCs/>
                <w:color w:val="000000"/>
                <w:sz w:val="18"/>
                <w:szCs w:val="16"/>
                <w:lang w:val="en-US"/>
              </w:rPr>
            </w:pPr>
            <w:r w:rsidRPr="008A31D2">
              <w:rPr>
                <w:rFonts w:eastAsia="Times New Roman"/>
                <w:b/>
                <w:bCs/>
                <w:color w:val="000000"/>
                <w:sz w:val="18"/>
                <w:szCs w:val="16"/>
                <w:lang w:val="en-US"/>
              </w:rPr>
              <w:t xml:space="preserve"> NSW</w:t>
            </w:r>
          </w:p>
        </w:tc>
        <w:tc>
          <w:tcPr>
            <w:tcW w:w="397" w:type="pct"/>
            <w:shd w:val="clear" w:color="000000" w:fill="DBE5F1"/>
            <w:vAlign w:val="bottom"/>
            <w:hideMark/>
          </w:tcPr>
          <w:p w:rsidR="00974489" w:rsidRPr="008A31D2" w:rsidRDefault="00974489" w:rsidP="00DE2F86">
            <w:pPr>
              <w:spacing w:after="0"/>
              <w:jc w:val="center"/>
              <w:rPr>
                <w:rFonts w:eastAsia="Times New Roman"/>
                <w:b/>
                <w:bCs/>
                <w:color w:val="000000"/>
                <w:sz w:val="18"/>
                <w:szCs w:val="16"/>
                <w:lang w:val="en-US"/>
              </w:rPr>
            </w:pPr>
            <w:r w:rsidRPr="008A31D2">
              <w:rPr>
                <w:rFonts w:eastAsia="Times New Roman"/>
                <w:b/>
                <w:bCs/>
                <w:color w:val="000000"/>
                <w:sz w:val="18"/>
                <w:szCs w:val="16"/>
                <w:lang w:val="en-US"/>
              </w:rPr>
              <w:t xml:space="preserve"> NT</w:t>
            </w:r>
          </w:p>
        </w:tc>
        <w:tc>
          <w:tcPr>
            <w:tcW w:w="368" w:type="pct"/>
            <w:shd w:val="clear" w:color="000000" w:fill="DBE5F1"/>
            <w:vAlign w:val="bottom"/>
            <w:hideMark/>
          </w:tcPr>
          <w:p w:rsidR="00974489" w:rsidRPr="008A31D2" w:rsidRDefault="00974489" w:rsidP="00DE2F86">
            <w:pPr>
              <w:spacing w:after="0"/>
              <w:jc w:val="center"/>
              <w:rPr>
                <w:rFonts w:eastAsia="Times New Roman"/>
                <w:b/>
                <w:bCs/>
                <w:color w:val="000000"/>
                <w:sz w:val="18"/>
                <w:szCs w:val="16"/>
                <w:lang w:val="en-US"/>
              </w:rPr>
            </w:pPr>
            <w:r w:rsidRPr="008A31D2">
              <w:rPr>
                <w:rFonts w:eastAsia="Times New Roman"/>
                <w:b/>
                <w:bCs/>
                <w:color w:val="000000"/>
                <w:sz w:val="18"/>
                <w:szCs w:val="16"/>
                <w:lang w:val="en-US"/>
              </w:rPr>
              <w:t xml:space="preserve"> QLD</w:t>
            </w:r>
          </w:p>
        </w:tc>
        <w:tc>
          <w:tcPr>
            <w:tcW w:w="368" w:type="pct"/>
            <w:shd w:val="clear" w:color="000000" w:fill="DBE5F1"/>
            <w:vAlign w:val="bottom"/>
            <w:hideMark/>
          </w:tcPr>
          <w:p w:rsidR="00974489" w:rsidRPr="008A31D2" w:rsidRDefault="00974489" w:rsidP="00DE2F86">
            <w:pPr>
              <w:spacing w:after="0"/>
              <w:jc w:val="center"/>
              <w:rPr>
                <w:rFonts w:eastAsia="Times New Roman"/>
                <w:b/>
                <w:bCs/>
                <w:color w:val="000000"/>
                <w:sz w:val="18"/>
                <w:szCs w:val="16"/>
                <w:lang w:val="en-US"/>
              </w:rPr>
            </w:pPr>
            <w:r w:rsidRPr="008A31D2">
              <w:rPr>
                <w:rFonts w:eastAsia="Times New Roman"/>
                <w:b/>
                <w:bCs/>
                <w:color w:val="000000"/>
                <w:sz w:val="18"/>
                <w:szCs w:val="16"/>
                <w:lang w:val="en-US"/>
              </w:rPr>
              <w:t xml:space="preserve"> SA</w:t>
            </w:r>
          </w:p>
        </w:tc>
        <w:tc>
          <w:tcPr>
            <w:tcW w:w="366" w:type="pct"/>
            <w:shd w:val="clear" w:color="000000" w:fill="DBE5F1"/>
            <w:vAlign w:val="bottom"/>
            <w:hideMark/>
          </w:tcPr>
          <w:p w:rsidR="00974489" w:rsidRPr="008A31D2" w:rsidRDefault="00974489" w:rsidP="00DE2F86">
            <w:pPr>
              <w:spacing w:after="0"/>
              <w:jc w:val="center"/>
              <w:rPr>
                <w:rFonts w:eastAsia="Times New Roman"/>
                <w:b/>
                <w:bCs/>
                <w:color w:val="000000"/>
                <w:sz w:val="18"/>
                <w:szCs w:val="16"/>
                <w:lang w:val="en-US"/>
              </w:rPr>
            </w:pPr>
            <w:r w:rsidRPr="008A31D2">
              <w:rPr>
                <w:rFonts w:eastAsia="Times New Roman"/>
                <w:b/>
                <w:bCs/>
                <w:color w:val="000000"/>
                <w:sz w:val="18"/>
                <w:szCs w:val="16"/>
                <w:lang w:val="en-US"/>
              </w:rPr>
              <w:t xml:space="preserve"> TAS</w:t>
            </w:r>
          </w:p>
        </w:tc>
        <w:tc>
          <w:tcPr>
            <w:tcW w:w="368" w:type="pct"/>
            <w:shd w:val="clear" w:color="000000" w:fill="DBE5F1"/>
            <w:vAlign w:val="bottom"/>
            <w:hideMark/>
          </w:tcPr>
          <w:p w:rsidR="00974489" w:rsidRPr="008A31D2" w:rsidRDefault="00974489" w:rsidP="00DE2F86">
            <w:pPr>
              <w:spacing w:after="0"/>
              <w:jc w:val="center"/>
              <w:rPr>
                <w:rFonts w:eastAsia="Times New Roman"/>
                <w:b/>
                <w:bCs/>
                <w:color w:val="000000"/>
                <w:sz w:val="18"/>
                <w:szCs w:val="16"/>
                <w:lang w:val="en-US"/>
              </w:rPr>
            </w:pPr>
            <w:r w:rsidRPr="008A31D2">
              <w:rPr>
                <w:rFonts w:eastAsia="Times New Roman"/>
                <w:b/>
                <w:bCs/>
                <w:color w:val="000000"/>
                <w:sz w:val="18"/>
                <w:szCs w:val="16"/>
                <w:lang w:val="en-US"/>
              </w:rPr>
              <w:t xml:space="preserve"> VIC</w:t>
            </w:r>
          </w:p>
        </w:tc>
        <w:tc>
          <w:tcPr>
            <w:tcW w:w="368" w:type="pct"/>
            <w:shd w:val="clear" w:color="000000" w:fill="DBE5F1"/>
            <w:vAlign w:val="bottom"/>
            <w:hideMark/>
          </w:tcPr>
          <w:p w:rsidR="00974489" w:rsidRPr="008A31D2" w:rsidRDefault="00974489" w:rsidP="00DE2F86">
            <w:pPr>
              <w:spacing w:after="0"/>
              <w:jc w:val="center"/>
              <w:rPr>
                <w:rFonts w:eastAsia="Times New Roman"/>
                <w:b/>
                <w:bCs/>
                <w:color w:val="000000"/>
                <w:sz w:val="18"/>
                <w:szCs w:val="16"/>
                <w:lang w:val="en-US"/>
              </w:rPr>
            </w:pPr>
            <w:r w:rsidRPr="008A31D2">
              <w:rPr>
                <w:rFonts w:eastAsia="Times New Roman"/>
                <w:b/>
                <w:bCs/>
                <w:color w:val="000000"/>
                <w:sz w:val="18"/>
                <w:szCs w:val="16"/>
                <w:lang w:val="en-US"/>
              </w:rPr>
              <w:t xml:space="preserve"> WA</w:t>
            </w:r>
          </w:p>
        </w:tc>
        <w:tc>
          <w:tcPr>
            <w:tcW w:w="417" w:type="pct"/>
            <w:shd w:val="clear" w:color="000000" w:fill="DBE5F1"/>
            <w:vAlign w:val="bottom"/>
            <w:hideMark/>
          </w:tcPr>
          <w:p w:rsidR="00974489" w:rsidRPr="008A31D2" w:rsidRDefault="008A31D2" w:rsidP="00DE2F86">
            <w:pPr>
              <w:spacing w:after="0"/>
              <w:jc w:val="center"/>
              <w:rPr>
                <w:rFonts w:eastAsia="Times New Roman"/>
                <w:b/>
                <w:bCs/>
                <w:color w:val="000000"/>
                <w:sz w:val="18"/>
                <w:szCs w:val="16"/>
                <w:lang w:val="en-US"/>
              </w:rPr>
            </w:pPr>
            <w:r w:rsidRPr="008A31D2">
              <w:rPr>
                <w:rFonts w:eastAsia="Times New Roman"/>
                <w:b/>
                <w:bCs/>
                <w:color w:val="000000"/>
                <w:sz w:val="18"/>
                <w:szCs w:val="16"/>
                <w:lang w:val="en-US"/>
              </w:rPr>
              <w:t>No PPP</w:t>
            </w:r>
            <w:r w:rsidR="00974489" w:rsidRPr="008A31D2">
              <w:rPr>
                <w:rFonts w:eastAsia="Times New Roman"/>
                <w:b/>
                <w:bCs/>
                <w:color w:val="000000"/>
                <w:sz w:val="18"/>
                <w:szCs w:val="16"/>
                <w:vertAlign w:val="superscript"/>
                <w:lang w:val="en-US"/>
              </w:rPr>
              <w:t xml:space="preserve"> </w:t>
            </w:r>
          </w:p>
        </w:tc>
        <w:tc>
          <w:tcPr>
            <w:tcW w:w="418" w:type="pct"/>
            <w:shd w:val="clear" w:color="000000" w:fill="DDEBF7"/>
            <w:vAlign w:val="bottom"/>
            <w:hideMark/>
          </w:tcPr>
          <w:p w:rsidR="00974489" w:rsidRPr="008A31D2" w:rsidRDefault="00974489" w:rsidP="00DE2F86">
            <w:pPr>
              <w:spacing w:after="0"/>
              <w:jc w:val="center"/>
              <w:rPr>
                <w:rFonts w:eastAsia="Times New Roman"/>
                <w:b/>
                <w:bCs/>
                <w:color w:val="000000"/>
                <w:sz w:val="18"/>
                <w:szCs w:val="16"/>
                <w:lang w:val="en-US"/>
              </w:rPr>
            </w:pPr>
            <w:r w:rsidRPr="008A31D2">
              <w:rPr>
                <w:rFonts w:eastAsia="Times New Roman"/>
                <w:b/>
                <w:bCs/>
                <w:color w:val="000000"/>
                <w:sz w:val="18"/>
                <w:szCs w:val="16"/>
                <w:lang w:val="en-US"/>
              </w:rPr>
              <w:t xml:space="preserve">Total  </w:t>
            </w:r>
          </w:p>
        </w:tc>
      </w:tr>
      <w:tr w:rsidR="00974489" w:rsidRPr="008A31D2" w:rsidTr="008A31D2">
        <w:trPr>
          <w:trHeight w:val="300"/>
        </w:trPr>
        <w:tc>
          <w:tcPr>
            <w:tcW w:w="1145" w:type="pct"/>
            <w:shd w:val="clear" w:color="auto" w:fill="auto"/>
            <w:noWrap/>
            <w:vAlign w:val="bottom"/>
            <w:hideMark/>
          </w:tcPr>
          <w:p w:rsidR="00974489" w:rsidRPr="008A31D2" w:rsidRDefault="00974489" w:rsidP="00DE2F86">
            <w:pPr>
              <w:spacing w:after="0"/>
              <w:rPr>
                <w:rFonts w:eastAsia="Times New Roman"/>
                <w:color w:val="000000"/>
                <w:sz w:val="18"/>
                <w:szCs w:val="16"/>
                <w:lang w:val="en-US"/>
              </w:rPr>
            </w:pPr>
            <w:r w:rsidRPr="008A31D2">
              <w:rPr>
                <w:rFonts w:eastAsia="Times New Roman"/>
                <w:color w:val="000000"/>
                <w:sz w:val="18"/>
                <w:szCs w:val="16"/>
                <w:lang w:val="en-US"/>
              </w:rPr>
              <w:t>2014/15</w:t>
            </w:r>
          </w:p>
        </w:tc>
        <w:tc>
          <w:tcPr>
            <w:tcW w:w="367" w:type="pct"/>
            <w:shd w:val="clear" w:color="auto" w:fill="auto"/>
            <w:noWrap/>
            <w:vAlign w:val="bottom"/>
            <w:hideMark/>
          </w:tcPr>
          <w:p w:rsidR="00974489" w:rsidRPr="008A31D2" w:rsidRDefault="00974489" w:rsidP="00DE2F86">
            <w:pPr>
              <w:spacing w:after="0"/>
              <w:jc w:val="right"/>
              <w:rPr>
                <w:rFonts w:eastAsia="Times New Roman"/>
                <w:color w:val="000000"/>
                <w:sz w:val="18"/>
                <w:szCs w:val="16"/>
                <w:lang w:val="en-US"/>
              </w:rPr>
            </w:pPr>
            <w:r w:rsidRPr="008A31D2">
              <w:rPr>
                <w:rFonts w:eastAsia="Times New Roman"/>
                <w:color w:val="000000"/>
                <w:sz w:val="18"/>
                <w:szCs w:val="16"/>
                <w:lang w:val="en-US"/>
              </w:rPr>
              <w:t xml:space="preserve"> 874 </w:t>
            </w:r>
          </w:p>
        </w:tc>
        <w:tc>
          <w:tcPr>
            <w:tcW w:w="418" w:type="pct"/>
            <w:shd w:val="clear" w:color="auto" w:fill="auto"/>
            <w:noWrap/>
            <w:vAlign w:val="bottom"/>
            <w:hideMark/>
          </w:tcPr>
          <w:p w:rsidR="00974489" w:rsidRPr="008A31D2" w:rsidRDefault="00974489" w:rsidP="00DE2F86">
            <w:pPr>
              <w:spacing w:after="0"/>
              <w:jc w:val="right"/>
              <w:rPr>
                <w:rFonts w:eastAsia="Times New Roman"/>
                <w:color w:val="000000"/>
                <w:sz w:val="18"/>
                <w:szCs w:val="16"/>
                <w:lang w:val="en-US"/>
              </w:rPr>
            </w:pPr>
            <w:r w:rsidRPr="008A31D2">
              <w:rPr>
                <w:rFonts w:eastAsia="Times New Roman"/>
                <w:color w:val="000000"/>
                <w:sz w:val="18"/>
                <w:szCs w:val="16"/>
                <w:lang w:val="en-US"/>
              </w:rPr>
              <w:t xml:space="preserve"> 10,840 </w:t>
            </w:r>
          </w:p>
        </w:tc>
        <w:tc>
          <w:tcPr>
            <w:tcW w:w="397" w:type="pct"/>
            <w:shd w:val="clear" w:color="auto" w:fill="auto"/>
            <w:noWrap/>
            <w:vAlign w:val="bottom"/>
            <w:hideMark/>
          </w:tcPr>
          <w:p w:rsidR="00974489" w:rsidRPr="008A31D2" w:rsidRDefault="00974489" w:rsidP="00DE2F86">
            <w:pPr>
              <w:spacing w:after="0"/>
              <w:jc w:val="right"/>
              <w:rPr>
                <w:rFonts w:eastAsia="Times New Roman"/>
                <w:color w:val="000000"/>
                <w:sz w:val="18"/>
                <w:szCs w:val="16"/>
                <w:lang w:val="en-US"/>
              </w:rPr>
            </w:pPr>
            <w:r w:rsidRPr="008A31D2">
              <w:rPr>
                <w:rFonts w:eastAsia="Times New Roman"/>
                <w:color w:val="000000"/>
                <w:sz w:val="18"/>
                <w:szCs w:val="16"/>
                <w:lang w:val="en-US"/>
              </w:rPr>
              <w:t xml:space="preserve"> 226 </w:t>
            </w:r>
          </w:p>
        </w:tc>
        <w:tc>
          <w:tcPr>
            <w:tcW w:w="368" w:type="pct"/>
            <w:shd w:val="clear" w:color="auto" w:fill="auto"/>
            <w:noWrap/>
            <w:vAlign w:val="bottom"/>
            <w:hideMark/>
          </w:tcPr>
          <w:p w:rsidR="00974489" w:rsidRPr="008A31D2" w:rsidRDefault="00974489" w:rsidP="00DE2F86">
            <w:pPr>
              <w:spacing w:after="0"/>
              <w:jc w:val="right"/>
              <w:rPr>
                <w:rFonts w:eastAsia="Times New Roman"/>
                <w:color w:val="000000"/>
                <w:sz w:val="18"/>
                <w:szCs w:val="16"/>
                <w:lang w:val="en-US"/>
              </w:rPr>
            </w:pPr>
            <w:r w:rsidRPr="008A31D2">
              <w:rPr>
                <w:rFonts w:eastAsia="Times New Roman"/>
                <w:color w:val="000000"/>
                <w:sz w:val="18"/>
                <w:szCs w:val="16"/>
                <w:lang w:val="en-US"/>
              </w:rPr>
              <w:t xml:space="preserve"> 5,794 </w:t>
            </w:r>
          </w:p>
        </w:tc>
        <w:tc>
          <w:tcPr>
            <w:tcW w:w="368" w:type="pct"/>
            <w:shd w:val="clear" w:color="auto" w:fill="auto"/>
            <w:noWrap/>
            <w:vAlign w:val="bottom"/>
            <w:hideMark/>
          </w:tcPr>
          <w:p w:rsidR="00974489" w:rsidRPr="008A31D2" w:rsidRDefault="00974489" w:rsidP="00DE2F86">
            <w:pPr>
              <w:spacing w:after="0"/>
              <w:jc w:val="right"/>
              <w:rPr>
                <w:rFonts w:eastAsia="Times New Roman"/>
                <w:color w:val="000000"/>
                <w:sz w:val="18"/>
                <w:szCs w:val="16"/>
                <w:lang w:val="en-US"/>
              </w:rPr>
            </w:pPr>
            <w:r w:rsidRPr="008A31D2">
              <w:rPr>
                <w:rFonts w:eastAsia="Times New Roman"/>
                <w:color w:val="000000"/>
                <w:sz w:val="18"/>
                <w:szCs w:val="16"/>
                <w:lang w:val="en-US"/>
              </w:rPr>
              <w:t xml:space="preserve"> 1,620 </w:t>
            </w:r>
          </w:p>
        </w:tc>
        <w:tc>
          <w:tcPr>
            <w:tcW w:w="366" w:type="pct"/>
            <w:shd w:val="clear" w:color="auto" w:fill="auto"/>
            <w:noWrap/>
            <w:vAlign w:val="bottom"/>
            <w:hideMark/>
          </w:tcPr>
          <w:p w:rsidR="00974489" w:rsidRPr="008A31D2" w:rsidRDefault="00974489" w:rsidP="00DE2F86">
            <w:pPr>
              <w:spacing w:after="0"/>
              <w:jc w:val="right"/>
              <w:rPr>
                <w:rFonts w:eastAsia="Times New Roman"/>
                <w:color w:val="000000"/>
                <w:sz w:val="18"/>
                <w:szCs w:val="16"/>
                <w:lang w:val="en-US"/>
              </w:rPr>
            </w:pPr>
            <w:r w:rsidRPr="008A31D2">
              <w:rPr>
                <w:rFonts w:eastAsia="Times New Roman"/>
                <w:color w:val="000000"/>
                <w:sz w:val="18"/>
                <w:szCs w:val="16"/>
                <w:lang w:val="en-US"/>
              </w:rPr>
              <w:t xml:space="preserve"> 563 </w:t>
            </w:r>
          </w:p>
        </w:tc>
        <w:tc>
          <w:tcPr>
            <w:tcW w:w="368" w:type="pct"/>
            <w:shd w:val="clear" w:color="auto" w:fill="auto"/>
            <w:noWrap/>
            <w:vAlign w:val="bottom"/>
            <w:hideMark/>
          </w:tcPr>
          <w:p w:rsidR="00974489" w:rsidRPr="008A31D2" w:rsidRDefault="00974489" w:rsidP="00DE2F86">
            <w:pPr>
              <w:spacing w:after="0"/>
              <w:jc w:val="right"/>
              <w:rPr>
                <w:rFonts w:eastAsia="Times New Roman"/>
                <w:color w:val="000000"/>
                <w:sz w:val="18"/>
                <w:szCs w:val="16"/>
                <w:lang w:val="en-US"/>
              </w:rPr>
            </w:pPr>
            <w:r w:rsidRPr="008A31D2">
              <w:rPr>
                <w:rFonts w:eastAsia="Times New Roman"/>
                <w:color w:val="000000"/>
                <w:sz w:val="18"/>
                <w:szCs w:val="16"/>
                <w:lang w:val="en-US"/>
              </w:rPr>
              <w:t xml:space="preserve"> 8,880 </w:t>
            </w:r>
          </w:p>
        </w:tc>
        <w:tc>
          <w:tcPr>
            <w:tcW w:w="368" w:type="pct"/>
            <w:shd w:val="clear" w:color="auto" w:fill="auto"/>
            <w:noWrap/>
            <w:vAlign w:val="bottom"/>
            <w:hideMark/>
          </w:tcPr>
          <w:p w:rsidR="00974489" w:rsidRPr="008A31D2" w:rsidRDefault="00974489" w:rsidP="00DE2F86">
            <w:pPr>
              <w:spacing w:after="0"/>
              <w:jc w:val="right"/>
              <w:rPr>
                <w:rFonts w:eastAsia="Times New Roman"/>
                <w:color w:val="000000"/>
                <w:sz w:val="18"/>
                <w:szCs w:val="16"/>
                <w:lang w:val="en-US"/>
              </w:rPr>
            </w:pPr>
            <w:r w:rsidRPr="008A31D2">
              <w:rPr>
                <w:rFonts w:eastAsia="Times New Roman"/>
                <w:color w:val="000000"/>
                <w:sz w:val="18"/>
                <w:szCs w:val="16"/>
                <w:lang w:val="en-US"/>
              </w:rPr>
              <w:t xml:space="preserve"> 3,469 </w:t>
            </w:r>
          </w:p>
        </w:tc>
        <w:tc>
          <w:tcPr>
            <w:tcW w:w="417" w:type="pct"/>
            <w:shd w:val="clear" w:color="auto" w:fill="auto"/>
            <w:noWrap/>
            <w:vAlign w:val="bottom"/>
            <w:hideMark/>
          </w:tcPr>
          <w:p w:rsidR="00974489" w:rsidRPr="008A31D2" w:rsidRDefault="00974489" w:rsidP="00DE2F86">
            <w:pPr>
              <w:spacing w:after="0"/>
              <w:jc w:val="right"/>
              <w:rPr>
                <w:rFonts w:eastAsia="Times New Roman"/>
                <w:color w:val="000000"/>
                <w:sz w:val="18"/>
                <w:szCs w:val="16"/>
                <w:lang w:val="en-US"/>
              </w:rPr>
            </w:pPr>
            <w:r w:rsidRPr="008A31D2">
              <w:rPr>
                <w:rFonts w:eastAsia="Times New Roman"/>
                <w:color w:val="000000"/>
                <w:sz w:val="18"/>
                <w:szCs w:val="16"/>
                <w:lang w:val="en-US"/>
              </w:rPr>
              <w:t xml:space="preserve"> 500 </w:t>
            </w:r>
          </w:p>
        </w:tc>
        <w:tc>
          <w:tcPr>
            <w:tcW w:w="418" w:type="pct"/>
            <w:shd w:val="clear" w:color="auto" w:fill="auto"/>
            <w:noWrap/>
            <w:vAlign w:val="bottom"/>
            <w:hideMark/>
          </w:tcPr>
          <w:p w:rsidR="00974489" w:rsidRPr="008A31D2" w:rsidRDefault="00974489" w:rsidP="00DE2F86">
            <w:pPr>
              <w:spacing w:after="0"/>
              <w:jc w:val="right"/>
              <w:rPr>
                <w:rFonts w:eastAsia="Times New Roman"/>
                <w:b/>
                <w:bCs/>
                <w:color w:val="000000"/>
                <w:sz w:val="18"/>
                <w:szCs w:val="16"/>
                <w:lang w:val="en-US"/>
              </w:rPr>
            </w:pPr>
            <w:r w:rsidRPr="008A31D2">
              <w:rPr>
                <w:rFonts w:eastAsia="Times New Roman"/>
                <w:b/>
                <w:bCs/>
                <w:color w:val="000000"/>
                <w:sz w:val="18"/>
                <w:szCs w:val="16"/>
                <w:lang w:val="en-US"/>
              </w:rPr>
              <w:t xml:space="preserve"> 32,766 </w:t>
            </w:r>
          </w:p>
        </w:tc>
      </w:tr>
      <w:tr w:rsidR="00974489" w:rsidRPr="008A31D2" w:rsidTr="008A31D2">
        <w:trPr>
          <w:trHeight w:val="300"/>
        </w:trPr>
        <w:tc>
          <w:tcPr>
            <w:tcW w:w="1145" w:type="pct"/>
            <w:shd w:val="clear" w:color="auto" w:fill="auto"/>
            <w:noWrap/>
            <w:vAlign w:val="bottom"/>
            <w:hideMark/>
          </w:tcPr>
          <w:p w:rsidR="00974489" w:rsidRPr="008A31D2" w:rsidRDefault="00974489" w:rsidP="00DE2F86">
            <w:pPr>
              <w:spacing w:after="0"/>
              <w:rPr>
                <w:rFonts w:eastAsia="Times New Roman"/>
                <w:color w:val="000000"/>
                <w:sz w:val="18"/>
                <w:szCs w:val="16"/>
                <w:lang w:val="en-US"/>
              </w:rPr>
            </w:pPr>
            <w:r w:rsidRPr="008A31D2">
              <w:rPr>
                <w:rFonts w:eastAsia="Times New Roman"/>
                <w:color w:val="000000"/>
                <w:sz w:val="18"/>
                <w:szCs w:val="16"/>
                <w:lang w:val="en-US"/>
              </w:rPr>
              <w:t>2013/14</w:t>
            </w:r>
          </w:p>
        </w:tc>
        <w:tc>
          <w:tcPr>
            <w:tcW w:w="367" w:type="pct"/>
            <w:shd w:val="clear" w:color="auto" w:fill="auto"/>
            <w:noWrap/>
            <w:vAlign w:val="bottom"/>
            <w:hideMark/>
          </w:tcPr>
          <w:p w:rsidR="00974489" w:rsidRPr="008A31D2" w:rsidRDefault="00974489" w:rsidP="00DE2F86">
            <w:pPr>
              <w:spacing w:after="0"/>
              <w:jc w:val="right"/>
              <w:rPr>
                <w:rFonts w:eastAsia="Times New Roman"/>
                <w:color w:val="000000"/>
                <w:sz w:val="18"/>
                <w:szCs w:val="16"/>
                <w:lang w:val="en-US"/>
              </w:rPr>
            </w:pPr>
            <w:r w:rsidRPr="008A31D2">
              <w:rPr>
                <w:rFonts w:eastAsia="Times New Roman"/>
                <w:color w:val="000000"/>
                <w:sz w:val="18"/>
                <w:szCs w:val="16"/>
                <w:lang w:val="en-US"/>
              </w:rPr>
              <w:t xml:space="preserve"> 832 </w:t>
            </w:r>
          </w:p>
        </w:tc>
        <w:tc>
          <w:tcPr>
            <w:tcW w:w="418" w:type="pct"/>
            <w:shd w:val="clear" w:color="auto" w:fill="auto"/>
            <w:noWrap/>
            <w:vAlign w:val="bottom"/>
            <w:hideMark/>
          </w:tcPr>
          <w:p w:rsidR="00974489" w:rsidRPr="008A31D2" w:rsidRDefault="00974489" w:rsidP="00DE2F86">
            <w:pPr>
              <w:spacing w:after="0"/>
              <w:jc w:val="right"/>
              <w:rPr>
                <w:rFonts w:eastAsia="Times New Roman"/>
                <w:color w:val="000000"/>
                <w:sz w:val="18"/>
                <w:szCs w:val="16"/>
                <w:lang w:val="en-US"/>
              </w:rPr>
            </w:pPr>
            <w:r w:rsidRPr="008A31D2">
              <w:rPr>
                <w:rFonts w:eastAsia="Times New Roman"/>
                <w:color w:val="000000"/>
                <w:sz w:val="18"/>
                <w:szCs w:val="16"/>
                <w:lang w:val="en-US"/>
              </w:rPr>
              <w:t xml:space="preserve"> 10,575 </w:t>
            </w:r>
          </w:p>
        </w:tc>
        <w:tc>
          <w:tcPr>
            <w:tcW w:w="397" w:type="pct"/>
            <w:shd w:val="clear" w:color="auto" w:fill="auto"/>
            <w:noWrap/>
            <w:vAlign w:val="bottom"/>
            <w:hideMark/>
          </w:tcPr>
          <w:p w:rsidR="00974489" w:rsidRPr="008A31D2" w:rsidRDefault="00974489" w:rsidP="00DE2F86">
            <w:pPr>
              <w:spacing w:after="0"/>
              <w:jc w:val="right"/>
              <w:rPr>
                <w:rFonts w:eastAsia="Times New Roman"/>
                <w:color w:val="000000"/>
                <w:sz w:val="18"/>
                <w:szCs w:val="16"/>
                <w:lang w:val="en-US"/>
              </w:rPr>
            </w:pPr>
            <w:r w:rsidRPr="008A31D2">
              <w:rPr>
                <w:rFonts w:eastAsia="Times New Roman"/>
                <w:color w:val="000000"/>
                <w:sz w:val="18"/>
                <w:szCs w:val="16"/>
                <w:lang w:val="en-US"/>
              </w:rPr>
              <w:t xml:space="preserve"> 230 </w:t>
            </w:r>
          </w:p>
        </w:tc>
        <w:tc>
          <w:tcPr>
            <w:tcW w:w="368" w:type="pct"/>
            <w:shd w:val="clear" w:color="auto" w:fill="auto"/>
            <w:noWrap/>
            <w:vAlign w:val="bottom"/>
            <w:hideMark/>
          </w:tcPr>
          <w:p w:rsidR="00974489" w:rsidRPr="008A31D2" w:rsidRDefault="00974489" w:rsidP="00DE2F86">
            <w:pPr>
              <w:spacing w:after="0"/>
              <w:jc w:val="right"/>
              <w:rPr>
                <w:rFonts w:eastAsia="Times New Roman"/>
                <w:color w:val="000000"/>
                <w:sz w:val="18"/>
                <w:szCs w:val="16"/>
                <w:lang w:val="en-US"/>
              </w:rPr>
            </w:pPr>
            <w:r w:rsidRPr="008A31D2">
              <w:rPr>
                <w:rFonts w:eastAsia="Times New Roman"/>
                <w:color w:val="000000"/>
                <w:sz w:val="18"/>
                <w:szCs w:val="16"/>
                <w:lang w:val="en-US"/>
              </w:rPr>
              <w:t xml:space="preserve"> 5,626 </w:t>
            </w:r>
          </w:p>
        </w:tc>
        <w:tc>
          <w:tcPr>
            <w:tcW w:w="368" w:type="pct"/>
            <w:shd w:val="clear" w:color="auto" w:fill="auto"/>
            <w:noWrap/>
            <w:vAlign w:val="bottom"/>
            <w:hideMark/>
          </w:tcPr>
          <w:p w:rsidR="00974489" w:rsidRPr="008A31D2" w:rsidRDefault="00974489" w:rsidP="00DE2F86">
            <w:pPr>
              <w:spacing w:after="0"/>
              <w:jc w:val="right"/>
              <w:rPr>
                <w:rFonts w:eastAsia="Times New Roman"/>
                <w:color w:val="000000"/>
                <w:sz w:val="18"/>
                <w:szCs w:val="16"/>
                <w:lang w:val="en-US"/>
              </w:rPr>
            </w:pPr>
            <w:r w:rsidRPr="008A31D2">
              <w:rPr>
                <w:rFonts w:eastAsia="Times New Roman"/>
                <w:color w:val="000000"/>
                <w:sz w:val="18"/>
                <w:szCs w:val="16"/>
                <w:lang w:val="en-US"/>
              </w:rPr>
              <w:t xml:space="preserve"> 1,573 </w:t>
            </w:r>
          </w:p>
        </w:tc>
        <w:tc>
          <w:tcPr>
            <w:tcW w:w="366" w:type="pct"/>
            <w:shd w:val="clear" w:color="auto" w:fill="auto"/>
            <w:noWrap/>
            <w:vAlign w:val="bottom"/>
            <w:hideMark/>
          </w:tcPr>
          <w:p w:rsidR="00974489" w:rsidRPr="008A31D2" w:rsidRDefault="00974489" w:rsidP="00DE2F86">
            <w:pPr>
              <w:spacing w:after="0"/>
              <w:jc w:val="right"/>
              <w:rPr>
                <w:rFonts w:eastAsia="Times New Roman"/>
                <w:color w:val="000000"/>
                <w:sz w:val="18"/>
                <w:szCs w:val="16"/>
                <w:lang w:val="en-US"/>
              </w:rPr>
            </w:pPr>
            <w:r w:rsidRPr="008A31D2">
              <w:rPr>
                <w:rFonts w:eastAsia="Times New Roman"/>
                <w:color w:val="000000"/>
                <w:sz w:val="18"/>
                <w:szCs w:val="16"/>
                <w:lang w:val="en-US"/>
              </w:rPr>
              <w:t xml:space="preserve"> 527 </w:t>
            </w:r>
          </w:p>
        </w:tc>
        <w:tc>
          <w:tcPr>
            <w:tcW w:w="368" w:type="pct"/>
            <w:shd w:val="clear" w:color="auto" w:fill="auto"/>
            <w:noWrap/>
            <w:vAlign w:val="bottom"/>
            <w:hideMark/>
          </w:tcPr>
          <w:p w:rsidR="00974489" w:rsidRPr="008A31D2" w:rsidRDefault="00974489" w:rsidP="00DE2F86">
            <w:pPr>
              <w:spacing w:after="0"/>
              <w:jc w:val="right"/>
              <w:rPr>
                <w:rFonts w:eastAsia="Times New Roman"/>
                <w:color w:val="000000"/>
                <w:sz w:val="18"/>
                <w:szCs w:val="16"/>
                <w:lang w:val="en-US"/>
              </w:rPr>
            </w:pPr>
            <w:r w:rsidRPr="008A31D2">
              <w:rPr>
                <w:rFonts w:eastAsia="Times New Roman"/>
                <w:color w:val="000000"/>
                <w:sz w:val="18"/>
                <w:szCs w:val="16"/>
                <w:lang w:val="en-US"/>
              </w:rPr>
              <w:t xml:space="preserve"> 8,603 </w:t>
            </w:r>
          </w:p>
        </w:tc>
        <w:tc>
          <w:tcPr>
            <w:tcW w:w="368" w:type="pct"/>
            <w:shd w:val="clear" w:color="auto" w:fill="auto"/>
            <w:noWrap/>
            <w:vAlign w:val="bottom"/>
            <w:hideMark/>
          </w:tcPr>
          <w:p w:rsidR="00974489" w:rsidRPr="008A31D2" w:rsidRDefault="00974489" w:rsidP="00DE2F86">
            <w:pPr>
              <w:spacing w:after="0"/>
              <w:jc w:val="right"/>
              <w:rPr>
                <w:rFonts w:eastAsia="Times New Roman"/>
                <w:color w:val="000000"/>
                <w:sz w:val="18"/>
                <w:szCs w:val="16"/>
                <w:lang w:val="en-US"/>
              </w:rPr>
            </w:pPr>
            <w:r w:rsidRPr="008A31D2">
              <w:rPr>
                <w:rFonts w:eastAsia="Times New Roman"/>
                <w:color w:val="000000"/>
                <w:sz w:val="18"/>
                <w:szCs w:val="16"/>
                <w:lang w:val="en-US"/>
              </w:rPr>
              <w:t xml:space="preserve"> 3,340 </w:t>
            </w:r>
          </w:p>
        </w:tc>
        <w:tc>
          <w:tcPr>
            <w:tcW w:w="417" w:type="pct"/>
            <w:shd w:val="clear" w:color="auto" w:fill="auto"/>
            <w:noWrap/>
            <w:vAlign w:val="bottom"/>
            <w:hideMark/>
          </w:tcPr>
          <w:p w:rsidR="00974489" w:rsidRPr="008A31D2" w:rsidRDefault="00974489" w:rsidP="00DE2F86">
            <w:pPr>
              <w:spacing w:after="0"/>
              <w:jc w:val="right"/>
              <w:rPr>
                <w:rFonts w:eastAsia="Times New Roman"/>
                <w:color w:val="000000"/>
                <w:sz w:val="18"/>
                <w:szCs w:val="16"/>
                <w:lang w:val="en-US"/>
              </w:rPr>
            </w:pPr>
            <w:r w:rsidRPr="008A31D2">
              <w:rPr>
                <w:rFonts w:eastAsia="Times New Roman"/>
                <w:color w:val="000000"/>
                <w:sz w:val="18"/>
                <w:szCs w:val="16"/>
                <w:lang w:val="en-US"/>
              </w:rPr>
              <w:t xml:space="preserve"> 411 </w:t>
            </w:r>
          </w:p>
        </w:tc>
        <w:tc>
          <w:tcPr>
            <w:tcW w:w="418" w:type="pct"/>
            <w:shd w:val="clear" w:color="auto" w:fill="auto"/>
            <w:noWrap/>
            <w:vAlign w:val="bottom"/>
            <w:hideMark/>
          </w:tcPr>
          <w:p w:rsidR="00974489" w:rsidRPr="008A31D2" w:rsidRDefault="00974489" w:rsidP="00DE2F86">
            <w:pPr>
              <w:spacing w:after="0"/>
              <w:jc w:val="right"/>
              <w:rPr>
                <w:rFonts w:eastAsia="Times New Roman"/>
                <w:b/>
                <w:bCs/>
                <w:color w:val="000000"/>
                <w:sz w:val="18"/>
                <w:szCs w:val="16"/>
                <w:lang w:val="en-US"/>
              </w:rPr>
            </w:pPr>
            <w:r w:rsidRPr="008A31D2">
              <w:rPr>
                <w:rFonts w:eastAsia="Times New Roman"/>
                <w:b/>
                <w:bCs/>
                <w:color w:val="000000"/>
                <w:sz w:val="18"/>
                <w:szCs w:val="16"/>
                <w:lang w:val="en-US"/>
              </w:rPr>
              <w:t xml:space="preserve"> 31,717 </w:t>
            </w:r>
          </w:p>
        </w:tc>
      </w:tr>
      <w:tr w:rsidR="00974489" w:rsidRPr="008A31D2" w:rsidTr="008A31D2">
        <w:trPr>
          <w:trHeight w:val="300"/>
        </w:trPr>
        <w:tc>
          <w:tcPr>
            <w:tcW w:w="1145" w:type="pct"/>
            <w:shd w:val="clear" w:color="auto" w:fill="auto"/>
            <w:noWrap/>
            <w:vAlign w:val="bottom"/>
            <w:hideMark/>
          </w:tcPr>
          <w:p w:rsidR="00974489" w:rsidRPr="008A31D2" w:rsidRDefault="00974489" w:rsidP="00DE2F86">
            <w:pPr>
              <w:spacing w:after="0"/>
              <w:rPr>
                <w:rFonts w:eastAsia="Times New Roman"/>
                <w:color w:val="000000"/>
                <w:sz w:val="18"/>
                <w:szCs w:val="16"/>
                <w:lang w:val="en-US"/>
              </w:rPr>
            </w:pPr>
            <w:r w:rsidRPr="008A31D2">
              <w:rPr>
                <w:rFonts w:eastAsia="Times New Roman"/>
                <w:color w:val="000000"/>
                <w:sz w:val="18"/>
                <w:szCs w:val="16"/>
                <w:lang w:val="en-US"/>
              </w:rPr>
              <w:t>% change from prior year</w:t>
            </w:r>
          </w:p>
        </w:tc>
        <w:tc>
          <w:tcPr>
            <w:tcW w:w="367" w:type="pct"/>
            <w:shd w:val="clear" w:color="auto" w:fill="auto"/>
            <w:noWrap/>
            <w:vAlign w:val="bottom"/>
            <w:hideMark/>
          </w:tcPr>
          <w:p w:rsidR="00974489" w:rsidRPr="008A31D2" w:rsidRDefault="00974489" w:rsidP="00DE2F86">
            <w:pPr>
              <w:spacing w:after="0"/>
              <w:jc w:val="right"/>
              <w:rPr>
                <w:rFonts w:eastAsia="Times New Roman"/>
                <w:color w:val="000000"/>
                <w:sz w:val="18"/>
                <w:szCs w:val="16"/>
                <w:lang w:val="en-US"/>
              </w:rPr>
            </w:pPr>
            <w:r w:rsidRPr="008A31D2">
              <w:rPr>
                <w:rFonts w:eastAsia="Times New Roman"/>
                <w:color w:val="000000"/>
                <w:sz w:val="18"/>
                <w:szCs w:val="16"/>
                <w:lang w:val="en-US"/>
              </w:rPr>
              <w:t>5.05%</w:t>
            </w:r>
          </w:p>
        </w:tc>
        <w:tc>
          <w:tcPr>
            <w:tcW w:w="418" w:type="pct"/>
            <w:shd w:val="clear" w:color="auto" w:fill="auto"/>
            <w:noWrap/>
            <w:vAlign w:val="bottom"/>
            <w:hideMark/>
          </w:tcPr>
          <w:p w:rsidR="00974489" w:rsidRPr="008A31D2" w:rsidRDefault="00974489" w:rsidP="00DE2F86">
            <w:pPr>
              <w:spacing w:after="0"/>
              <w:jc w:val="right"/>
              <w:rPr>
                <w:rFonts w:eastAsia="Times New Roman"/>
                <w:color w:val="000000"/>
                <w:sz w:val="18"/>
                <w:szCs w:val="16"/>
                <w:lang w:val="en-US"/>
              </w:rPr>
            </w:pPr>
            <w:r w:rsidRPr="008A31D2">
              <w:rPr>
                <w:rFonts w:eastAsia="Times New Roman"/>
                <w:color w:val="000000"/>
                <w:sz w:val="18"/>
                <w:szCs w:val="16"/>
                <w:lang w:val="en-US"/>
              </w:rPr>
              <w:t>2.51%</w:t>
            </w:r>
          </w:p>
        </w:tc>
        <w:tc>
          <w:tcPr>
            <w:tcW w:w="397" w:type="pct"/>
            <w:shd w:val="clear" w:color="auto" w:fill="auto"/>
            <w:noWrap/>
            <w:vAlign w:val="bottom"/>
            <w:hideMark/>
          </w:tcPr>
          <w:p w:rsidR="00974489" w:rsidRPr="008A31D2" w:rsidRDefault="00974489" w:rsidP="00DE2F86">
            <w:pPr>
              <w:spacing w:after="0"/>
              <w:jc w:val="right"/>
              <w:rPr>
                <w:rFonts w:eastAsia="Times New Roman"/>
                <w:color w:val="000000"/>
                <w:sz w:val="18"/>
                <w:szCs w:val="16"/>
                <w:lang w:val="en-US"/>
              </w:rPr>
            </w:pPr>
            <w:r w:rsidRPr="008A31D2">
              <w:rPr>
                <w:rFonts w:eastAsia="Times New Roman"/>
                <w:color w:val="000000"/>
                <w:sz w:val="18"/>
                <w:szCs w:val="16"/>
                <w:lang w:val="en-US"/>
              </w:rPr>
              <w:t>-1.74%</w:t>
            </w:r>
          </w:p>
        </w:tc>
        <w:tc>
          <w:tcPr>
            <w:tcW w:w="368" w:type="pct"/>
            <w:shd w:val="clear" w:color="auto" w:fill="auto"/>
            <w:noWrap/>
            <w:vAlign w:val="bottom"/>
            <w:hideMark/>
          </w:tcPr>
          <w:p w:rsidR="00974489" w:rsidRPr="008A31D2" w:rsidRDefault="00974489" w:rsidP="00DE2F86">
            <w:pPr>
              <w:spacing w:after="0"/>
              <w:jc w:val="right"/>
              <w:rPr>
                <w:rFonts w:eastAsia="Times New Roman"/>
                <w:color w:val="000000"/>
                <w:sz w:val="18"/>
                <w:szCs w:val="16"/>
                <w:lang w:val="en-US"/>
              </w:rPr>
            </w:pPr>
            <w:r w:rsidRPr="008A31D2">
              <w:rPr>
                <w:rFonts w:eastAsia="Times New Roman"/>
                <w:color w:val="000000"/>
                <w:sz w:val="18"/>
                <w:szCs w:val="16"/>
                <w:lang w:val="en-US"/>
              </w:rPr>
              <w:t>2.99%</w:t>
            </w:r>
          </w:p>
        </w:tc>
        <w:tc>
          <w:tcPr>
            <w:tcW w:w="368" w:type="pct"/>
            <w:shd w:val="clear" w:color="auto" w:fill="auto"/>
            <w:noWrap/>
            <w:vAlign w:val="bottom"/>
            <w:hideMark/>
          </w:tcPr>
          <w:p w:rsidR="00974489" w:rsidRPr="008A31D2" w:rsidRDefault="00974489" w:rsidP="00DE2F86">
            <w:pPr>
              <w:spacing w:after="0"/>
              <w:jc w:val="right"/>
              <w:rPr>
                <w:rFonts w:eastAsia="Times New Roman"/>
                <w:color w:val="000000"/>
                <w:sz w:val="18"/>
                <w:szCs w:val="16"/>
                <w:lang w:val="en-US"/>
              </w:rPr>
            </w:pPr>
            <w:r w:rsidRPr="008A31D2">
              <w:rPr>
                <w:rFonts w:eastAsia="Times New Roman"/>
                <w:color w:val="000000"/>
                <w:sz w:val="18"/>
                <w:szCs w:val="16"/>
                <w:lang w:val="en-US"/>
              </w:rPr>
              <w:t>2.99%</w:t>
            </w:r>
          </w:p>
        </w:tc>
        <w:tc>
          <w:tcPr>
            <w:tcW w:w="366" w:type="pct"/>
            <w:shd w:val="clear" w:color="auto" w:fill="auto"/>
            <w:noWrap/>
            <w:vAlign w:val="bottom"/>
            <w:hideMark/>
          </w:tcPr>
          <w:p w:rsidR="00974489" w:rsidRPr="008A31D2" w:rsidRDefault="00974489" w:rsidP="00DE2F86">
            <w:pPr>
              <w:spacing w:after="0"/>
              <w:jc w:val="right"/>
              <w:rPr>
                <w:rFonts w:eastAsia="Times New Roman"/>
                <w:color w:val="000000"/>
                <w:sz w:val="18"/>
                <w:szCs w:val="16"/>
                <w:lang w:val="en-US"/>
              </w:rPr>
            </w:pPr>
            <w:r w:rsidRPr="008A31D2">
              <w:rPr>
                <w:rFonts w:eastAsia="Times New Roman"/>
                <w:color w:val="000000"/>
                <w:sz w:val="18"/>
                <w:szCs w:val="16"/>
                <w:lang w:val="en-US"/>
              </w:rPr>
              <w:t>6.83%</w:t>
            </w:r>
          </w:p>
        </w:tc>
        <w:tc>
          <w:tcPr>
            <w:tcW w:w="368" w:type="pct"/>
            <w:shd w:val="clear" w:color="auto" w:fill="auto"/>
            <w:noWrap/>
            <w:vAlign w:val="bottom"/>
            <w:hideMark/>
          </w:tcPr>
          <w:p w:rsidR="00974489" w:rsidRPr="008A31D2" w:rsidRDefault="00974489" w:rsidP="00DE2F86">
            <w:pPr>
              <w:spacing w:after="0"/>
              <w:jc w:val="right"/>
              <w:rPr>
                <w:rFonts w:eastAsia="Times New Roman"/>
                <w:color w:val="000000"/>
                <w:sz w:val="18"/>
                <w:szCs w:val="16"/>
                <w:lang w:val="en-US"/>
              </w:rPr>
            </w:pPr>
            <w:r w:rsidRPr="008A31D2">
              <w:rPr>
                <w:rFonts w:eastAsia="Times New Roman"/>
                <w:color w:val="000000"/>
                <w:sz w:val="18"/>
                <w:szCs w:val="16"/>
                <w:lang w:val="en-US"/>
              </w:rPr>
              <w:t>3.22%</w:t>
            </w:r>
          </w:p>
        </w:tc>
        <w:tc>
          <w:tcPr>
            <w:tcW w:w="368" w:type="pct"/>
            <w:shd w:val="clear" w:color="auto" w:fill="auto"/>
            <w:noWrap/>
            <w:vAlign w:val="bottom"/>
            <w:hideMark/>
          </w:tcPr>
          <w:p w:rsidR="00974489" w:rsidRPr="008A31D2" w:rsidRDefault="00974489" w:rsidP="00DE2F86">
            <w:pPr>
              <w:spacing w:after="0"/>
              <w:jc w:val="right"/>
              <w:rPr>
                <w:rFonts w:eastAsia="Times New Roman"/>
                <w:color w:val="000000"/>
                <w:sz w:val="18"/>
                <w:szCs w:val="16"/>
                <w:lang w:val="en-US"/>
              </w:rPr>
            </w:pPr>
            <w:r w:rsidRPr="008A31D2">
              <w:rPr>
                <w:rFonts w:eastAsia="Times New Roman"/>
                <w:color w:val="000000"/>
                <w:sz w:val="18"/>
                <w:szCs w:val="16"/>
                <w:lang w:val="en-US"/>
              </w:rPr>
              <w:t>3.86%</w:t>
            </w:r>
          </w:p>
        </w:tc>
        <w:tc>
          <w:tcPr>
            <w:tcW w:w="417" w:type="pct"/>
            <w:shd w:val="clear" w:color="auto" w:fill="auto"/>
            <w:noWrap/>
            <w:vAlign w:val="bottom"/>
            <w:hideMark/>
          </w:tcPr>
          <w:p w:rsidR="00974489" w:rsidRPr="008A31D2" w:rsidRDefault="00974489" w:rsidP="00DE2F86">
            <w:pPr>
              <w:spacing w:after="0"/>
              <w:jc w:val="right"/>
              <w:rPr>
                <w:rFonts w:eastAsia="Times New Roman"/>
                <w:color w:val="000000"/>
                <w:sz w:val="18"/>
                <w:szCs w:val="16"/>
                <w:lang w:val="en-US"/>
              </w:rPr>
            </w:pPr>
            <w:r w:rsidRPr="008A31D2">
              <w:rPr>
                <w:rFonts w:eastAsia="Times New Roman"/>
                <w:color w:val="000000"/>
                <w:sz w:val="18"/>
                <w:szCs w:val="16"/>
                <w:lang w:val="en-US"/>
              </w:rPr>
              <w:t>21.65%</w:t>
            </w:r>
          </w:p>
        </w:tc>
        <w:tc>
          <w:tcPr>
            <w:tcW w:w="418" w:type="pct"/>
            <w:shd w:val="clear" w:color="auto" w:fill="auto"/>
            <w:noWrap/>
            <w:vAlign w:val="bottom"/>
            <w:hideMark/>
          </w:tcPr>
          <w:p w:rsidR="00974489" w:rsidRPr="008A31D2" w:rsidRDefault="00974489" w:rsidP="00DE2F86">
            <w:pPr>
              <w:spacing w:after="0"/>
              <w:jc w:val="right"/>
              <w:rPr>
                <w:rFonts w:eastAsia="Times New Roman"/>
                <w:b/>
                <w:bCs/>
                <w:color w:val="000000"/>
                <w:sz w:val="18"/>
                <w:szCs w:val="16"/>
                <w:lang w:val="en-US"/>
              </w:rPr>
            </w:pPr>
            <w:r w:rsidRPr="008A31D2">
              <w:rPr>
                <w:rFonts w:eastAsia="Times New Roman"/>
                <w:b/>
                <w:bCs/>
                <w:color w:val="000000"/>
                <w:sz w:val="18"/>
                <w:szCs w:val="16"/>
                <w:lang w:val="en-US"/>
              </w:rPr>
              <w:t>3.31%</w:t>
            </w:r>
          </w:p>
        </w:tc>
      </w:tr>
    </w:tbl>
    <w:p w:rsidR="00974489" w:rsidRPr="003871AF" w:rsidRDefault="00974489" w:rsidP="00974489">
      <w:pPr>
        <w:pStyle w:val="AHPRAbodybold"/>
        <w:rPr>
          <w:b w:val="0"/>
          <w:sz w:val="16"/>
          <w:szCs w:val="16"/>
        </w:rPr>
      </w:pPr>
    </w:p>
    <w:p w:rsidR="008A31D2" w:rsidRDefault="008A31D2" w:rsidP="008A31D2">
      <w:pPr>
        <w:pStyle w:val="Caption"/>
      </w:pPr>
      <w:bookmarkStart w:id="25" w:name="_Toc453007261"/>
      <w:r>
        <w:t>Table PSY</w:t>
      </w:r>
      <w:r w:rsidR="003A7386">
        <w:fldChar w:fldCharType="begin"/>
      </w:r>
      <w:r w:rsidR="003A7386">
        <w:instrText xml:space="preserve"> SEQ Table \* ARABIC </w:instrText>
      </w:r>
      <w:r w:rsidR="003A7386">
        <w:fldChar w:fldCharType="separate"/>
      </w:r>
      <w:r w:rsidR="00A57A1D">
        <w:rPr>
          <w:noProof/>
        </w:rPr>
        <w:t>2</w:t>
      </w:r>
      <w:r w:rsidR="003A7386">
        <w:rPr>
          <w:noProof/>
        </w:rPr>
        <w:fldChar w:fldCharType="end"/>
      </w:r>
      <w:r>
        <w:t xml:space="preserve">: </w:t>
      </w:r>
      <w:r w:rsidRPr="001E2B2B">
        <w:t>Registered practitioners by age</w:t>
      </w:r>
      <w:bookmarkEnd w:id="25"/>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36"/>
        <w:gridCol w:w="678"/>
        <w:gridCol w:w="679"/>
        <w:gridCol w:w="678"/>
        <w:gridCol w:w="678"/>
        <w:gridCol w:w="679"/>
        <w:gridCol w:w="678"/>
        <w:gridCol w:w="678"/>
        <w:gridCol w:w="679"/>
        <w:gridCol w:w="678"/>
        <w:gridCol w:w="678"/>
        <w:gridCol w:w="679"/>
        <w:gridCol w:w="507"/>
        <w:gridCol w:w="850"/>
      </w:tblGrid>
      <w:tr w:rsidR="008A31D2" w:rsidRPr="008A31D2" w:rsidTr="00DE2F86">
        <w:trPr>
          <w:trHeight w:val="300"/>
        </w:trPr>
        <w:tc>
          <w:tcPr>
            <w:tcW w:w="993" w:type="dxa"/>
            <w:shd w:val="clear" w:color="000000" w:fill="DBE5F1"/>
            <w:noWrap/>
            <w:vAlign w:val="bottom"/>
            <w:hideMark/>
          </w:tcPr>
          <w:p w:rsidR="00974489" w:rsidRPr="008A31D2" w:rsidRDefault="00DE2F86" w:rsidP="00DE2F86">
            <w:pPr>
              <w:spacing w:after="0"/>
              <w:rPr>
                <w:rFonts w:eastAsia="Times New Roman"/>
                <w:b/>
                <w:bCs/>
                <w:color w:val="000000"/>
                <w:sz w:val="18"/>
                <w:szCs w:val="16"/>
                <w:lang w:val="en-US"/>
              </w:rPr>
            </w:pPr>
            <w:r>
              <w:rPr>
                <w:rFonts w:eastAsia="Times New Roman"/>
                <w:b/>
                <w:bCs/>
                <w:color w:val="000000"/>
                <w:sz w:val="18"/>
                <w:szCs w:val="16"/>
                <w:lang w:val="en-US"/>
              </w:rPr>
              <w:t>Psych</w:t>
            </w:r>
            <w:r w:rsidR="008A31D2">
              <w:rPr>
                <w:rFonts w:eastAsia="Times New Roman"/>
                <w:b/>
                <w:bCs/>
                <w:color w:val="000000"/>
                <w:sz w:val="18"/>
                <w:szCs w:val="16"/>
                <w:lang w:val="en-US"/>
              </w:rPr>
              <w:t>ologist</w:t>
            </w:r>
          </w:p>
        </w:tc>
        <w:tc>
          <w:tcPr>
            <w:tcW w:w="536" w:type="dxa"/>
            <w:shd w:val="clear" w:color="000000" w:fill="DBE5F1"/>
            <w:noWrap/>
            <w:vAlign w:val="bottom"/>
            <w:hideMark/>
          </w:tcPr>
          <w:p w:rsidR="00974489" w:rsidRPr="008A31D2" w:rsidRDefault="00974489" w:rsidP="00DE2F86">
            <w:pPr>
              <w:spacing w:after="0"/>
              <w:jc w:val="center"/>
              <w:rPr>
                <w:rFonts w:eastAsia="Times New Roman"/>
                <w:b/>
                <w:bCs/>
                <w:color w:val="000000"/>
                <w:sz w:val="18"/>
                <w:szCs w:val="16"/>
                <w:lang w:val="en-US"/>
              </w:rPr>
            </w:pPr>
            <w:r w:rsidRPr="008A31D2">
              <w:rPr>
                <w:rFonts w:eastAsia="Times New Roman"/>
                <w:b/>
                <w:bCs/>
                <w:color w:val="000000"/>
                <w:sz w:val="18"/>
                <w:szCs w:val="16"/>
                <w:lang w:val="en-US"/>
              </w:rPr>
              <w:t>U - 25</w:t>
            </w:r>
          </w:p>
        </w:tc>
        <w:tc>
          <w:tcPr>
            <w:tcW w:w="678" w:type="dxa"/>
            <w:shd w:val="clear" w:color="000000" w:fill="DBE5F1"/>
            <w:noWrap/>
            <w:vAlign w:val="bottom"/>
            <w:hideMark/>
          </w:tcPr>
          <w:p w:rsidR="00974489" w:rsidRPr="008A31D2" w:rsidRDefault="00974489" w:rsidP="00DE2F86">
            <w:pPr>
              <w:spacing w:after="0"/>
              <w:jc w:val="center"/>
              <w:rPr>
                <w:rFonts w:eastAsia="Times New Roman"/>
                <w:b/>
                <w:bCs/>
                <w:color w:val="000000"/>
                <w:sz w:val="18"/>
                <w:szCs w:val="16"/>
                <w:lang w:val="en-US"/>
              </w:rPr>
            </w:pPr>
            <w:r w:rsidRPr="008A31D2">
              <w:rPr>
                <w:rFonts w:eastAsia="Times New Roman"/>
                <w:b/>
                <w:bCs/>
                <w:color w:val="000000"/>
                <w:sz w:val="18"/>
                <w:szCs w:val="16"/>
                <w:lang w:val="en-US"/>
              </w:rPr>
              <w:t>25 - 29</w:t>
            </w:r>
          </w:p>
        </w:tc>
        <w:tc>
          <w:tcPr>
            <w:tcW w:w="679" w:type="dxa"/>
            <w:shd w:val="clear" w:color="000000" w:fill="DBE5F1"/>
            <w:noWrap/>
            <w:vAlign w:val="bottom"/>
            <w:hideMark/>
          </w:tcPr>
          <w:p w:rsidR="00974489" w:rsidRPr="008A31D2" w:rsidRDefault="00974489" w:rsidP="00DE2F86">
            <w:pPr>
              <w:spacing w:after="0"/>
              <w:jc w:val="center"/>
              <w:rPr>
                <w:rFonts w:eastAsia="Times New Roman"/>
                <w:b/>
                <w:bCs/>
                <w:color w:val="000000"/>
                <w:sz w:val="18"/>
                <w:szCs w:val="16"/>
                <w:lang w:val="en-US"/>
              </w:rPr>
            </w:pPr>
            <w:r w:rsidRPr="008A31D2">
              <w:rPr>
                <w:rFonts w:eastAsia="Times New Roman"/>
                <w:b/>
                <w:bCs/>
                <w:color w:val="000000"/>
                <w:sz w:val="18"/>
                <w:szCs w:val="16"/>
                <w:lang w:val="en-US"/>
              </w:rPr>
              <w:t>30 - 34</w:t>
            </w:r>
          </w:p>
        </w:tc>
        <w:tc>
          <w:tcPr>
            <w:tcW w:w="678" w:type="dxa"/>
            <w:shd w:val="clear" w:color="000000" w:fill="DBE5F1"/>
            <w:noWrap/>
            <w:vAlign w:val="bottom"/>
            <w:hideMark/>
          </w:tcPr>
          <w:p w:rsidR="00974489" w:rsidRPr="008A31D2" w:rsidRDefault="00974489" w:rsidP="00DE2F86">
            <w:pPr>
              <w:spacing w:after="0"/>
              <w:jc w:val="center"/>
              <w:rPr>
                <w:rFonts w:eastAsia="Times New Roman"/>
                <w:b/>
                <w:bCs/>
                <w:color w:val="000000"/>
                <w:sz w:val="18"/>
                <w:szCs w:val="16"/>
                <w:lang w:val="en-US"/>
              </w:rPr>
            </w:pPr>
            <w:r w:rsidRPr="008A31D2">
              <w:rPr>
                <w:rFonts w:eastAsia="Times New Roman"/>
                <w:b/>
                <w:bCs/>
                <w:color w:val="000000"/>
                <w:sz w:val="18"/>
                <w:szCs w:val="16"/>
                <w:lang w:val="en-US"/>
              </w:rPr>
              <w:t>35 - 39</w:t>
            </w:r>
          </w:p>
        </w:tc>
        <w:tc>
          <w:tcPr>
            <w:tcW w:w="678" w:type="dxa"/>
            <w:shd w:val="clear" w:color="000000" w:fill="DBE5F1"/>
            <w:noWrap/>
            <w:vAlign w:val="bottom"/>
            <w:hideMark/>
          </w:tcPr>
          <w:p w:rsidR="00974489" w:rsidRPr="008A31D2" w:rsidRDefault="00974489" w:rsidP="00DE2F86">
            <w:pPr>
              <w:spacing w:after="0"/>
              <w:jc w:val="center"/>
              <w:rPr>
                <w:rFonts w:eastAsia="Times New Roman"/>
                <w:b/>
                <w:bCs/>
                <w:color w:val="000000"/>
                <w:sz w:val="18"/>
                <w:szCs w:val="16"/>
                <w:lang w:val="en-US"/>
              </w:rPr>
            </w:pPr>
            <w:r w:rsidRPr="008A31D2">
              <w:rPr>
                <w:rFonts w:eastAsia="Times New Roman"/>
                <w:b/>
                <w:bCs/>
                <w:color w:val="000000"/>
                <w:sz w:val="18"/>
                <w:szCs w:val="16"/>
                <w:lang w:val="en-US"/>
              </w:rPr>
              <w:t>40 - 44</w:t>
            </w:r>
          </w:p>
        </w:tc>
        <w:tc>
          <w:tcPr>
            <w:tcW w:w="679" w:type="dxa"/>
            <w:shd w:val="clear" w:color="000000" w:fill="DBE5F1"/>
            <w:noWrap/>
            <w:vAlign w:val="bottom"/>
            <w:hideMark/>
          </w:tcPr>
          <w:p w:rsidR="00974489" w:rsidRPr="008A31D2" w:rsidRDefault="00974489" w:rsidP="00DE2F86">
            <w:pPr>
              <w:spacing w:after="0"/>
              <w:jc w:val="center"/>
              <w:rPr>
                <w:rFonts w:eastAsia="Times New Roman"/>
                <w:b/>
                <w:bCs/>
                <w:color w:val="000000"/>
                <w:sz w:val="18"/>
                <w:szCs w:val="16"/>
                <w:lang w:val="en-US"/>
              </w:rPr>
            </w:pPr>
            <w:r w:rsidRPr="008A31D2">
              <w:rPr>
                <w:rFonts w:eastAsia="Times New Roman"/>
                <w:b/>
                <w:bCs/>
                <w:color w:val="000000"/>
                <w:sz w:val="18"/>
                <w:szCs w:val="16"/>
                <w:lang w:val="en-US"/>
              </w:rPr>
              <w:t>45 - 49</w:t>
            </w:r>
          </w:p>
        </w:tc>
        <w:tc>
          <w:tcPr>
            <w:tcW w:w="678" w:type="dxa"/>
            <w:shd w:val="clear" w:color="000000" w:fill="DBE5F1"/>
            <w:noWrap/>
            <w:vAlign w:val="bottom"/>
            <w:hideMark/>
          </w:tcPr>
          <w:p w:rsidR="00974489" w:rsidRPr="008A31D2" w:rsidRDefault="00974489" w:rsidP="00DE2F86">
            <w:pPr>
              <w:spacing w:after="0"/>
              <w:jc w:val="center"/>
              <w:rPr>
                <w:rFonts w:eastAsia="Times New Roman"/>
                <w:b/>
                <w:bCs/>
                <w:color w:val="000000"/>
                <w:sz w:val="18"/>
                <w:szCs w:val="16"/>
                <w:lang w:val="en-US"/>
              </w:rPr>
            </w:pPr>
            <w:r w:rsidRPr="008A31D2">
              <w:rPr>
                <w:rFonts w:eastAsia="Times New Roman"/>
                <w:b/>
                <w:bCs/>
                <w:color w:val="000000"/>
                <w:sz w:val="18"/>
                <w:szCs w:val="16"/>
                <w:lang w:val="en-US"/>
              </w:rPr>
              <w:t>50 - 54</w:t>
            </w:r>
          </w:p>
        </w:tc>
        <w:tc>
          <w:tcPr>
            <w:tcW w:w="678" w:type="dxa"/>
            <w:shd w:val="clear" w:color="000000" w:fill="DBE5F1"/>
            <w:noWrap/>
            <w:vAlign w:val="bottom"/>
            <w:hideMark/>
          </w:tcPr>
          <w:p w:rsidR="00974489" w:rsidRPr="008A31D2" w:rsidRDefault="00974489" w:rsidP="00DE2F86">
            <w:pPr>
              <w:spacing w:after="0"/>
              <w:jc w:val="center"/>
              <w:rPr>
                <w:rFonts w:eastAsia="Times New Roman"/>
                <w:b/>
                <w:bCs/>
                <w:color w:val="000000"/>
                <w:sz w:val="18"/>
                <w:szCs w:val="16"/>
                <w:lang w:val="en-US"/>
              </w:rPr>
            </w:pPr>
            <w:r w:rsidRPr="008A31D2">
              <w:rPr>
                <w:rFonts w:eastAsia="Times New Roman"/>
                <w:b/>
                <w:bCs/>
                <w:color w:val="000000"/>
                <w:sz w:val="18"/>
                <w:szCs w:val="16"/>
                <w:lang w:val="en-US"/>
              </w:rPr>
              <w:t>55 - 59</w:t>
            </w:r>
          </w:p>
        </w:tc>
        <w:tc>
          <w:tcPr>
            <w:tcW w:w="679" w:type="dxa"/>
            <w:shd w:val="clear" w:color="000000" w:fill="DBE5F1"/>
            <w:noWrap/>
            <w:vAlign w:val="bottom"/>
            <w:hideMark/>
          </w:tcPr>
          <w:p w:rsidR="00974489" w:rsidRPr="008A31D2" w:rsidRDefault="00974489" w:rsidP="00DE2F86">
            <w:pPr>
              <w:spacing w:after="0"/>
              <w:jc w:val="center"/>
              <w:rPr>
                <w:rFonts w:eastAsia="Times New Roman"/>
                <w:b/>
                <w:bCs/>
                <w:color w:val="000000"/>
                <w:sz w:val="18"/>
                <w:szCs w:val="16"/>
                <w:lang w:val="en-US"/>
              </w:rPr>
            </w:pPr>
            <w:r w:rsidRPr="008A31D2">
              <w:rPr>
                <w:rFonts w:eastAsia="Times New Roman"/>
                <w:b/>
                <w:bCs/>
                <w:color w:val="000000"/>
                <w:sz w:val="18"/>
                <w:szCs w:val="16"/>
                <w:lang w:val="en-US"/>
              </w:rPr>
              <w:t>60 - 64</w:t>
            </w:r>
          </w:p>
        </w:tc>
        <w:tc>
          <w:tcPr>
            <w:tcW w:w="678" w:type="dxa"/>
            <w:shd w:val="clear" w:color="000000" w:fill="DBE5F1"/>
            <w:noWrap/>
            <w:vAlign w:val="bottom"/>
            <w:hideMark/>
          </w:tcPr>
          <w:p w:rsidR="00974489" w:rsidRPr="008A31D2" w:rsidRDefault="00974489" w:rsidP="00DE2F86">
            <w:pPr>
              <w:spacing w:after="0"/>
              <w:jc w:val="center"/>
              <w:rPr>
                <w:rFonts w:eastAsia="Times New Roman"/>
                <w:b/>
                <w:bCs/>
                <w:color w:val="000000"/>
                <w:sz w:val="18"/>
                <w:szCs w:val="16"/>
                <w:lang w:val="en-US"/>
              </w:rPr>
            </w:pPr>
            <w:r w:rsidRPr="008A31D2">
              <w:rPr>
                <w:rFonts w:eastAsia="Times New Roman"/>
                <w:b/>
                <w:bCs/>
                <w:color w:val="000000"/>
                <w:sz w:val="18"/>
                <w:szCs w:val="16"/>
                <w:lang w:val="en-US"/>
              </w:rPr>
              <w:t>65 - 69</w:t>
            </w:r>
          </w:p>
        </w:tc>
        <w:tc>
          <w:tcPr>
            <w:tcW w:w="678" w:type="dxa"/>
            <w:shd w:val="clear" w:color="000000" w:fill="DBE5F1"/>
            <w:noWrap/>
            <w:vAlign w:val="bottom"/>
            <w:hideMark/>
          </w:tcPr>
          <w:p w:rsidR="00974489" w:rsidRPr="008A31D2" w:rsidRDefault="00974489" w:rsidP="00DE2F86">
            <w:pPr>
              <w:spacing w:after="0"/>
              <w:jc w:val="center"/>
              <w:rPr>
                <w:rFonts w:eastAsia="Times New Roman"/>
                <w:b/>
                <w:bCs/>
                <w:color w:val="000000"/>
                <w:sz w:val="18"/>
                <w:szCs w:val="16"/>
                <w:lang w:val="en-US"/>
              </w:rPr>
            </w:pPr>
            <w:r w:rsidRPr="008A31D2">
              <w:rPr>
                <w:rFonts w:eastAsia="Times New Roman"/>
                <w:b/>
                <w:bCs/>
                <w:color w:val="000000"/>
                <w:sz w:val="18"/>
                <w:szCs w:val="16"/>
                <w:lang w:val="en-US"/>
              </w:rPr>
              <w:t>70 - 74</w:t>
            </w:r>
          </w:p>
        </w:tc>
        <w:tc>
          <w:tcPr>
            <w:tcW w:w="679" w:type="dxa"/>
            <w:shd w:val="clear" w:color="000000" w:fill="DBE5F1"/>
            <w:noWrap/>
            <w:vAlign w:val="bottom"/>
            <w:hideMark/>
          </w:tcPr>
          <w:p w:rsidR="00974489" w:rsidRPr="008A31D2" w:rsidRDefault="00974489" w:rsidP="00DE2F86">
            <w:pPr>
              <w:spacing w:after="0"/>
              <w:jc w:val="center"/>
              <w:rPr>
                <w:rFonts w:eastAsia="Times New Roman"/>
                <w:b/>
                <w:bCs/>
                <w:color w:val="000000"/>
                <w:sz w:val="18"/>
                <w:szCs w:val="16"/>
                <w:lang w:val="en-US"/>
              </w:rPr>
            </w:pPr>
            <w:r w:rsidRPr="008A31D2">
              <w:rPr>
                <w:rFonts w:eastAsia="Times New Roman"/>
                <w:b/>
                <w:bCs/>
                <w:color w:val="000000"/>
                <w:sz w:val="18"/>
                <w:szCs w:val="16"/>
                <w:lang w:val="en-US"/>
              </w:rPr>
              <w:t>75 - 79</w:t>
            </w:r>
          </w:p>
        </w:tc>
        <w:tc>
          <w:tcPr>
            <w:tcW w:w="507" w:type="dxa"/>
            <w:shd w:val="clear" w:color="000000" w:fill="DBE5F1"/>
            <w:noWrap/>
            <w:vAlign w:val="bottom"/>
            <w:hideMark/>
          </w:tcPr>
          <w:p w:rsidR="00974489" w:rsidRPr="008A31D2" w:rsidRDefault="00974489" w:rsidP="00DE2F86">
            <w:pPr>
              <w:spacing w:after="0"/>
              <w:jc w:val="center"/>
              <w:rPr>
                <w:rFonts w:eastAsia="Times New Roman"/>
                <w:b/>
                <w:bCs/>
                <w:color w:val="000000"/>
                <w:sz w:val="18"/>
                <w:szCs w:val="16"/>
                <w:lang w:val="en-US"/>
              </w:rPr>
            </w:pPr>
            <w:r w:rsidRPr="008A31D2">
              <w:rPr>
                <w:rFonts w:eastAsia="Times New Roman"/>
                <w:b/>
                <w:bCs/>
                <w:color w:val="000000"/>
                <w:sz w:val="18"/>
                <w:szCs w:val="16"/>
                <w:lang w:val="en-US"/>
              </w:rPr>
              <w:t>80 +</w:t>
            </w:r>
          </w:p>
        </w:tc>
        <w:tc>
          <w:tcPr>
            <w:tcW w:w="850" w:type="dxa"/>
            <w:shd w:val="clear" w:color="000000" w:fill="DDEBF7"/>
            <w:vAlign w:val="bottom"/>
            <w:hideMark/>
          </w:tcPr>
          <w:p w:rsidR="00974489" w:rsidRPr="008A31D2" w:rsidRDefault="00974489" w:rsidP="00DE2F86">
            <w:pPr>
              <w:spacing w:after="0"/>
              <w:jc w:val="center"/>
              <w:rPr>
                <w:rFonts w:eastAsia="Times New Roman"/>
                <w:b/>
                <w:bCs/>
                <w:color w:val="000000"/>
                <w:sz w:val="18"/>
                <w:szCs w:val="16"/>
                <w:lang w:val="en-US"/>
              </w:rPr>
            </w:pPr>
            <w:r w:rsidRPr="008A31D2">
              <w:rPr>
                <w:rFonts w:eastAsia="Times New Roman"/>
                <w:b/>
                <w:bCs/>
                <w:color w:val="000000"/>
                <w:sz w:val="18"/>
                <w:szCs w:val="16"/>
                <w:lang w:val="en-US"/>
              </w:rPr>
              <w:t xml:space="preserve">Total </w:t>
            </w:r>
          </w:p>
        </w:tc>
      </w:tr>
      <w:tr w:rsidR="008A31D2" w:rsidRPr="008A31D2" w:rsidTr="00DE2F86">
        <w:trPr>
          <w:trHeight w:val="300"/>
        </w:trPr>
        <w:tc>
          <w:tcPr>
            <w:tcW w:w="993" w:type="dxa"/>
            <w:shd w:val="clear" w:color="auto" w:fill="auto"/>
            <w:noWrap/>
            <w:vAlign w:val="bottom"/>
            <w:hideMark/>
          </w:tcPr>
          <w:p w:rsidR="00974489" w:rsidRPr="008A31D2" w:rsidRDefault="00974489" w:rsidP="00DE2F86">
            <w:pPr>
              <w:spacing w:after="0"/>
              <w:rPr>
                <w:rFonts w:eastAsia="Times New Roman"/>
                <w:color w:val="000000"/>
                <w:sz w:val="18"/>
                <w:szCs w:val="16"/>
                <w:lang w:val="en-US"/>
              </w:rPr>
            </w:pPr>
            <w:r w:rsidRPr="008A31D2">
              <w:rPr>
                <w:rFonts w:eastAsia="Times New Roman"/>
                <w:color w:val="000000"/>
                <w:sz w:val="18"/>
                <w:szCs w:val="16"/>
                <w:lang w:val="en-US"/>
              </w:rPr>
              <w:t>2014/</w:t>
            </w:r>
            <w:r w:rsidR="008A31D2">
              <w:rPr>
                <w:rFonts w:eastAsia="Times New Roman"/>
                <w:color w:val="000000"/>
                <w:sz w:val="18"/>
                <w:szCs w:val="16"/>
                <w:lang w:val="en-US"/>
              </w:rPr>
              <w:br/>
            </w:r>
            <w:r w:rsidRPr="008A31D2">
              <w:rPr>
                <w:rFonts w:eastAsia="Times New Roman"/>
                <w:color w:val="000000"/>
                <w:sz w:val="18"/>
                <w:szCs w:val="16"/>
                <w:lang w:val="en-US"/>
              </w:rPr>
              <w:t>15</w:t>
            </w:r>
          </w:p>
        </w:tc>
        <w:tc>
          <w:tcPr>
            <w:tcW w:w="536" w:type="dxa"/>
            <w:shd w:val="clear" w:color="auto" w:fill="auto"/>
            <w:noWrap/>
            <w:vAlign w:val="bottom"/>
            <w:hideMark/>
          </w:tcPr>
          <w:p w:rsidR="00974489" w:rsidRPr="008A31D2" w:rsidRDefault="00974489" w:rsidP="00DE2F86">
            <w:pPr>
              <w:spacing w:after="0"/>
              <w:jc w:val="right"/>
              <w:rPr>
                <w:rFonts w:eastAsia="Times New Roman"/>
                <w:color w:val="000000"/>
                <w:sz w:val="18"/>
                <w:szCs w:val="16"/>
                <w:lang w:val="en-US"/>
              </w:rPr>
            </w:pPr>
            <w:r w:rsidRPr="008A31D2">
              <w:rPr>
                <w:rFonts w:eastAsia="Times New Roman"/>
                <w:color w:val="000000"/>
                <w:sz w:val="18"/>
                <w:szCs w:val="16"/>
                <w:lang w:val="en-US"/>
              </w:rPr>
              <w:t xml:space="preserve"> 916 </w:t>
            </w:r>
          </w:p>
        </w:tc>
        <w:tc>
          <w:tcPr>
            <w:tcW w:w="678" w:type="dxa"/>
            <w:shd w:val="clear" w:color="auto" w:fill="auto"/>
            <w:noWrap/>
            <w:vAlign w:val="bottom"/>
            <w:hideMark/>
          </w:tcPr>
          <w:p w:rsidR="00974489" w:rsidRPr="008A31D2" w:rsidRDefault="00974489" w:rsidP="00DE2F86">
            <w:pPr>
              <w:spacing w:after="0"/>
              <w:jc w:val="right"/>
              <w:rPr>
                <w:rFonts w:eastAsia="Times New Roman"/>
                <w:color w:val="000000"/>
                <w:sz w:val="18"/>
                <w:szCs w:val="16"/>
                <w:lang w:val="en-US"/>
              </w:rPr>
            </w:pPr>
            <w:r w:rsidRPr="008A31D2">
              <w:rPr>
                <w:rFonts w:eastAsia="Times New Roman"/>
                <w:color w:val="000000"/>
                <w:sz w:val="18"/>
                <w:szCs w:val="16"/>
                <w:lang w:val="en-US"/>
              </w:rPr>
              <w:t xml:space="preserve"> 3,805 </w:t>
            </w:r>
          </w:p>
        </w:tc>
        <w:tc>
          <w:tcPr>
            <w:tcW w:w="679" w:type="dxa"/>
            <w:shd w:val="clear" w:color="auto" w:fill="auto"/>
            <w:noWrap/>
            <w:vAlign w:val="bottom"/>
            <w:hideMark/>
          </w:tcPr>
          <w:p w:rsidR="00974489" w:rsidRPr="008A31D2" w:rsidRDefault="00974489" w:rsidP="00DE2F86">
            <w:pPr>
              <w:spacing w:after="0"/>
              <w:jc w:val="right"/>
              <w:rPr>
                <w:rFonts w:eastAsia="Times New Roman"/>
                <w:color w:val="000000"/>
                <w:sz w:val="18"/>
                <w:szCs w:val="16"/>
                <w:lang w:val="en-US"/>
              </w:rPr>
            </w:pPr>
            <w:r w:rsidRPr="008A31D2">
              <w:rPr>
                <w:rFonts w:eastAsia="Times New Roman"/>
                <w:color w:val="000000"/>
                <w:sz w:val="18"/>
                <w:szCs w:val="16"/>
                <w:lang w:val="en-US"/>
              </w:rPr>
              <w:t xml:space="preserve"> 4,923 </w:t>
            </w:r>
          </w:p>
        </w:tc>
        <w:tc>
          <w:tcPr>
            <w:tcW w:w="678" w:type="dxa"/>
            <w:shd w:val="clear" w:color="auto" w:fill="auto"/>
            <w:noWrap/>
            <w:vAlign w:val="bottom"/>
            <w:hideMark/>
          </w:tcPr>
          <w:p w:rsidR="00974489" w:rsidRPr="008A31D2" w:rsidRDefault="00974489" w:rsidP="00DE2F86">
            <w:pPr>
              <w:spacing w:after="0"/>
              <w:jc w:val="right"/>
              <w:rPr>
                <w:rFonts w:eastAsia="Times New Roman"/>
                <w:color w:val="000000"/>
                <w:sz w:val="18"/>
                <w:szCs w:val="16"/>
                <w:lang w:val="en-US"/>
              </w:rPr>
            </w:pPr>
            <w:r w:rsidRPr="008A31D2">
              <w:rPr>
                <w:rFonts w:eastAsia="Times New Roman"/>
                <w:color w:val="000000"/>
                <w:sz w:val="18"/>
                <w:szCs w:val="16"/>
                <w:lang w:val="en-US"/>
              </w:rPr>
              <w:t xml:space="preserve"> 4,452 </w:t>
            </w:r>
          </w:p>
        </w:tc>
        <w:tc>
          <w:tcPr>
            <w:tcW w:w="678" w:type="dxa"/>
            <w:shd w:val="clear" w:color="auto" w:fill="auto"/>
            <w:noWrap/>
            <w:vAlign w:val="bottom"/>
            <w:hideMark/>
          </w:tcPr>
          <w:p w:rsidR="00974489" w:rsidRPr="008A31D2" w:rsidRDefault="00974489" w:rsidP="00DE2F86">
            <w:pPr>
              <w:spacing w:after="0"/>
              <w:jc w:val="right"/>
              <w:rPr>
                <w:rFonts w:eastAsia="Times New Roman"/>
                <w:color w:val="000000"/>
                <w:sz w:val="18"/>
                <w:szCs w:val="16"/>
                <w:lang w:val="en-US"/>
              </w:rPr>
            </w:pPr>
            <w:r w:rsidRPr="008A31D2">
              <w:rPr>
                <w:rFonts w:eastAsia="Times New Roman"/>
                <w:color w:val="000000"/>
                <w:sz w:val="18"/>
                <w:szCs w:val="16"/>
                <w:lang w:val="en-US"/>
              </w:rPr>
              <w:t xml:space="preserve"> 4,349 </w:t>
            </w:r>
          </w:p>
        </w:tc>
        <w:tc>
          <w:tcPr>
            <w:tcW w:w="679" w:type="dxa"/>
            <w:shd w:val="clear" w:color="auto" w:fill="auto"/>
            <w:noWrap/>
            <w:vAlign w:val="bottom"/>
            <w:hideMark/>
          </w:tcPr>
          <w:p w:rsidR="00974489" w:rsidRPr="008A31D2" w:rsidRDefault="00974489" w:rsidP="00DE2F86">
            <w:pPr>
              <w:spacing w:after="0"/>
              <w:jc w:val="right"/>
              <w:rPr>
                <w:rFonts w:eastAsia="Times New Roman"/>
                <w:color w:val="000000"/>
                <w:sz w:val="18"/>
                <w:szCs w:val="16"/>
                <w:lang w:val="en-US"/>
              </w:rPr>
            </w:pPr>
            <w:r w:rsidRPr="008A31D2">
              <w:rPr>
                <w:rFonts w:eastAsia="Times New Roman"/>
                <w:color w:val="000000"/>
                <w:sz w:val="18"/>
                <w:szCs w:val="16"/>
                <w:lang w:val="en-US"/>
              </w:rPr>
              <w:t xml:space="preserve"> 3,309 </w:t>
            </w:r>
          </w:p>
        </w:tc>
        <w:tc>
          <w:tcPr>
            <w:tcW w:w="678" w:type="dxa"/>
            <w:shd w:val="clear" w:color="auto" w:fill="auto"/>
            <w:noWrap/>
            <w:vAlign w:val="bottom"/>
            <w:hideMark/>
          </w:tcPr>
          <w:p w:rsidR="00974489" w:rsidRPr="008A31D2" w:rsidRDefault="00974489" w:rsidP="00DE2F86">
            <w:pPr>
              <w:spacing w:after="0"/>
              <w:jc w:val="right"/>
              <w:rPr>
                <w:rFonts w:eastAsia="Times New Roman"/>
                <w:color w:val="000000"/>
                <w:sz w:val="18"/>
                <w:szCs w:val="16"/>
                <w:lang w:val="en-US"/>
              </w:rPr>
            </w:pPr>
            <w:r w:rsidRPr="008A31D2">
              <w:rPr>
                <w:rFonts w:eastAsia="Times New Roman"/>
                <w:color w:val="000000"/>
                <w:sz w:val="18"/>
                <w:szCs w:val="16"/>
                <w:lang w:val="en-US"/>
              </w:rPr>
              <w:t xml:space="preserve"> 2,977 </w:t>
            </w:r>
          </w:p>
        </w:tc>
        <w:tc>
          <w:tcPr>
            <w:tcW w:w="678" w:type="dxa"/>
            <w:shd w:val="clear" w:color="auto" w:fill="auto"/>
            <w:noWrap/>
            <w:vAlign w:val="bottom"/>
            <w:hideMark/>
          </w:tcPr>
          <w:p w:rsidR="00974489" w:rsidRPr="008A31D2" w:rsidRDefault="00974489" w:rsidP="00DE2F86">
            <w:pPr>
              <w:spacing w:after="0"/>
              <w:jc w:val="right"/>
              <w:rPr>
                <w:rFonts w:eastAsia="Times New Roman"/>
                <w:color w:val="000000"/>
                <w:sz w:val="18"/>
                <w:szCs w:val="16"/>
                <w:lang w:val="en-US"/>
              </w:rPr>
            </w:pPr>
            <w:r w:rsidRPr="008A31D2">
              <w:rPr>
                <w:rFonts w:eastAsia="Times New Roman"/>
                <w:color w:val="000000"/>
                <w:sz w:val="18"/>
                <w:szCs w:val="16"/>
                <w:lang w:val="en-US"/>
              </w:rPr>
              <w:t xml:space="preserve"> 2,911 </w:t>
            </w:r>
          </w:p>
        </w:tc>
        <w:tc>
          <w:tcPr>
            <w:tcW w:w="679" w:type="dxa"/>
            <w:shd w:val="clear" w:color="auto" w:fill="auto"/>
            <w:noWrap/>
            <w:vAlign w:val="bottom"/>
            <w:hideMark/>
          </w:tcPr>
          <w:p w:rsidR="00974489" w:rsidRPr="008A31D2" w:rsidRDefault="00974489" w:rsidP="00DE2F86">
            <w:pPr>
              <w:spacing w:after="0"/>
              <w:jc w:val="right"/>
              <w:rPr>
                <w:rFonts w:eastAsia="Times New Roman"/>
                <w:color w:val="000000"/>
                <w:sz w:val="18"/>
                <w:szCs w:val="16"/>
                <w:lang w:val="en-US"/>
              </w:rPr>
            </w:pPr>
            <w:r w:rsidRPr="008A31D2">
              <w:rPr>
                <w:rFonts w:eastAsia="Times New Roman"/>
                <w:color w:val="000000"/>
                <w:sz w:val="18"/>
                <w:szCs w:val="16"/>
                <w:lang w:val="en-US"/>
              </w:rPr>
              <w:t xml:space="preserve"> 2,553 </w:t>
            </w:r>
          </w:p>
        </w:tc>
        <w:tc>
          <w:tcPr>
            <w:tcW w:w="678" w:type="dxa"/>
            <w:shd w:val="clear" w:color="auto" w:fill="auto"/>
            <w:noWrap/>
            <w:vAlign w:val="bottom"/>
            <w:hideMark/>
          </w:tcPr>
          <w:p w:rsidR="00974489" w:rsidRPr="008A31D2" w:rsidRDefault="00974489" w:rsidP="00DE2F86">
            <w:pPr>
              <w:spacing w:after="0"/>
              <w:jc w:val="right"/>
              <w:rPr>
                <w:rFonts w:eastAsia="Times New Roman"/>
                <w:color w:val="000000"/>
                <w:sz w:val="18"/>
                <w:szCs w:val="16"/>
                <w:lang w:val="en-US"/>
              </w:rPr>
            </w:pPr>
            <w:r w:rsidRPr="008A31D2">
              <w:rPr>
                <w:rFonts w:eastAsia="Times New Roman"/>
                <w:color w:val="000000"/>
                <w:sz w:val="18"/>
                <w:szCs w:val="16"/>
                <w:lang w:val="en-US"/>
              </w:rPr>
              <w:t xml:space="preserve"> 1,736 </w:t>
            </w:r>
          </w:p>
        </w:tc>
        <w:tc>
          <w:tcPr>
            <w:tcW w:w="678" w:type="dxa"/>
            <w:shd w:val="clear" w:color="auto" w:fill="auto"/>
            <w:noWrap/>
            <w:vAlign w:val="bottom"/>
            <w:hideMark/>
          </w:tcPr>
          <w:p w:rsidR="00974489" w:rsidRPr="008A31D2" w:rsidRDefault="00974489" w:rsidP="00DE2F86">
            <w:pPr>
              <w:spacing w:after="0"/>
              <w:jc w:val="right"/>
              <w:rPr>
                <w:rFonts w:eastAsia="Times New Roman"/>
                <w:color w:val="000000"/>
                <w:sz w:val="18"/>
                <w:szCs w:val="16"/>
                <w:lang w:val="en-US"/>
              </w:rPr>
            </w:pPr>
            <w:r w:rsidRPr="008A31D2">
              <w:rPr>
                <w:rFonts w:eastAsia="Times New Roman"/>
                <w:color w:val="000000"/>
                <w:sz w:val="18"/>
                <w:szCs w:val="16"/>
                <w:lang w:val="en-US"/>
              </w:rPr>
              <w:t xml:space="preserve"> 618 </w:t>
            </w:r>
          </w:p>
        </w:tc>
        <w:tc>
          <w:tcPr>
            <w:tcW w:w="679" w:type="dxa"/>
            <w:shd w:val="clear" w:color="auto" w:fill="auto"/>
            <w:noWrap/>
            <w:vAlign w:val="bottom"/>
            <w:hideMark/>
          </w:tcPr>
          <w:p w:rsidR="00974489" w:rsidRPr="008A31D2" w:rsidRDefault="00974489" w:rsidP="00DE2F86">
            <w:pPr>
              <w:spacing w:after="0"/>
              <w:jc w:val="right"/>
              <w:rPr>
                <w:rFonts w:eastAsia="Times New Roman"/>
                <w:color w:val="000000"/>
                <w:sz w:val="18"/>
                <w:szCs w:val="16"/>
                <w:lang w:val="en-US"/>
              </w:rPr>
            </w:pPr>
            <w:r w:rsidRPr="008A31D2">
              <w:rPr>
                <w:rFonts w:eastAsia="Times New Roman"/>
                <w:color w:val="000000"/>
                <w:sz w:val="18"/>
                <w:szCs w:val="16"/>
                <w:lang w:val="en-US"/>
              </w:rPr>
              <w:t xml:space="preserve"> 152 </w:t>
            </w:r>
          </w:p>
        </w:tc>
        <w:tc>
          <w:tcPr>
            <w:tcW w:w="507" w:type="dxa"/>
            <w:shd w:val="clear" w:color="auto" w:fill="auto"/>
            <w:noWrap/>
            <w:vAlign w:val="bottom"/>
            <w:hideMark/>
          </w:tcPr>
          <w:p w:rsidR="00974489" w:rsidRPr="008A31D2" w:rsidRDefault="00974489" w:rsidP="00DE2F86">
            <w:pPr>
              <w:spacing w:after="0"/>
              <w:jc w:val="right"/>
              <w:rPr>
                <w:rFonts w:eastAsia="Times New Roman"/>
                <w:color w:val="000000"/>
                <w:sz w:val="18"/>
                <w:szCs w:val="16"/>
                <w:lang w:val="en-US"/>
              </w:rPr>
            </w:pPr>
            <w:r w:rsidRPr="008A31D2">
              <w:rPr>
                <w:rFonts w:eastAsia="Times New Roman"/>
                <w:color w:val="000000"/>
                <w:sz w:val="18"/>
                <w:szCs w:val="16"/>
                <w:lang w:val="en-US"/>
              </w:rPr>
              <w:t xml:space="preserve"> 65 </w:t>
            </w:r>
          </w:p>
        </w:tc>
        <w:tc>
          <w:tcPr>
            <w:tcW w:w="850" w:type="dxa"/>
            <w:shd w:val="clear" w:color="auto" w:fill="auto"/>
            <w:noWrap/>
            <w:vAlign w:val="bottom"/>
            <w:hideMark/>
          </w:tcPr>
          <w:p w:rsidR="00974489" w:rsidRPr="008A31D2" w:rsidRDefault="00974489" w:rsidP="00DE2F86">
            <w:pPr>
              <w:spacing w:after="0"/>
              <w:jc w:val="right"/>
              <w:rPr>
                <w:rFonts w:eastAsia="Times New Roman"/>
                <w:b/>
                <w:bCs/>
                <w:color w:val="000000"/>
                <w:sz w:val="18"/>
                <w:szCs w:val="16"/>
                <w:lang w:val="en-US"/>
              </w:rPr>
            </w:pPr>
            <w:r w:rsidRPr="008A31D2">
              <w:rPr>
                <w:rFonts w:eastAsia="Times New Roman"/>
                <w:b/>
                <w:bCs/>
                <w:color w:val="000000"/>
                <w:sz w:val="18"/>
                <w:szCs w:val="16"/>
                <w:lang w:val="en-US"/>
              </w:rPr>
              <w:t xml:space="preserve"> 32,766 </w:t>
            </w:r>
          </w:p>
        </w:tc>
      </w:tr>
      <w:tr w:rsidR="008A31D2" w:rsidRPr="008A31D2" w:rsidTr="00DE2F86">
        <w:trPr>
          <w:trHeight w:val="300"/>
        </w:trPr>
        <w:tc>
          <w:tcPr>
            <w:tcW w:w="993" w:type="dxa"/>
            <w:shd w:val="clear" w:color="auto" w:fill="auto"/>
            <w:noWrap/>
            <w:vAlign w:val="bottom"/>
            <w:hideMark/>
          </w:tcPr>
          <w:p w:rsidR="00974489" w:rsidRPr="008A31D2" w:rsidRDefault="00974489" w:rsidP="00DE2F86">
            <w:pPr>
              <w:spacing w:after="0"/>
              <w:rPr>
                <w:rFonts w:eastAsia="Times New Roman"/>
                <w:color w:val="000000"/>
                <w:sz w:val="18"/>
                <w:szCs w:val="16"/>
                <w:lang w:val="en-US"/>
              </w:rPr>
            </w:pPr>
            <w:r w:rsidRPr="008A31D2">
              <w:rPr>
                <w:rFonts w:eastAsia="Times New Roman"/>
                <w:color w:val="000000"/>
                <w:sz w:val="18"/>
                <w:szCs w:val="16"/>
                <w:lang w:val="en-US"/>
              </w:rPr>
              <w:t>2013/</w:t>
            </w:r>
            <w:r w:rsidR="008A31D2">
              <w:rPr>
                <w:rFonts w:eastAsia="Times New Roman"/>
                <w:color w:val="000000"/>
                <w:sz w:val="18"/>
                <w:szCs w:val="16"/>
                <w:lang w:val="en-US"/>
              </w:rPr>
              <w:br/>
            </w:r>
            <w:r w:rsidRPr="008A31D2">
              <w:rPr>
                <w:rFonts w:eastAsia="Times New Roman"/>
                <w:color w:val="000000"/>
                <w:sz w:val="18"/>
                <w:szCs w:val="16"/>
                <w:lang w:val="en-US"/>
              </w:rPr>
              <w:t>14</w:t>
            </w:r>
          </w:p>
        </w:tc>
        <w:tc>
          <w:tcPr>
            <w:tcW w:w="536" w:type="dxa"/>
            <w:shd w:val="clear" w:color="auto" w:fill="auto"/>
            <w:noWrap/>
            <w:vAlign w:val="bottom"/>
            <w:hideMark/>
          </w:tcPr>
          <w:p w:rsidR="00974489" w:rsidRPr="008A31D2" w:rsidRDefault="00974489" w:rsidP="00DE2F86">
            <w:pPr>
              <w:spacing w:after="0"/>
              <w:jc w:val="right"/>
              <w:rPr>
                <w:rFonts w:eastAsia="Times New Roman"/>
                <w:color w:val="000000"/>
                <w:sz w:val="18"/>
                <w:szCs w:val="16"/>
                <w:lang w:val="en-US"/>
              </w:rPr>
            </w:pPr>
            <w:r w:rsidRPr="008A31D2">
              <w:rPr>
                <w:rFonts w:eastAsia="Times New Roman"/>
                <w:color w:val="000000"/>
                <w:sz w:val="18"/>
                <w:szCs w:val="16"/>
                <w:lang w:val="en-US"/>
              </w:rPr>
              <w:t xml:space="preserve"> 672 </w:t>
            </w:r>
          </w:p>
        </w:tc>
        <w:tc>
          <w:tcPr>
            <w:tcW w:w="678" w:type="dxa"/>
            <w:shd w:val="clear" w:color="auto" w:fill="auto"/>
            <w:noWrap/>
            <w:vAlign w:val="bottom"/>
            <w:hideMark/>
          </w:tcPr>
          <w:p w:rsidR="00974489" w:rsidRPr="008A31D2" w:rsidRDefault="00974489" w:rsidP="00DE2F86">
            <w:pPr>
              <w:spacing w:after="0"/>
              <w:jc w:val="right"/>
              <w:rPr>
                <w:rFonts w:eastAsia="Times New Roman"/>
                <w:color w:val="000000"/>
                <w:sz w:val="18"/>
                <w:szCs w:val="16"/>
                <w:lang w:val="en-US"/>
              </w:rPr>
            </w:pPr>
            <w:r w:rsidRPr="008A31D2">
              <w:rPr>
                <w:rFonts w:eastAsia="Times New Roman"/>
                <w:color w:val="000000"/>
                <w:sz w:val="18"/>
                <w:szCs w:val="16"/>
                <w:lang w:val="en-US"/>
              </w:rPr>
              <w:t xml:space="preserve"> 3,668 </w:t>
            </w:r>
          </w:p>
        </w:tc>
        <w:tc>
          <w:tcPr>
            <w:tcW w:w="679" w:type="dxa"/>
            <w:shd w:val="clear" w:color="auto" w:fill="auto"/>
            <w:noWrap/>
            <w:vAlign w:val="bottom"/>
            <w:hideMark/>
          </w:tcPr>
          <w:p w:rsidR="00974489" w:rsidRPr="008A31D2" w:rsidRDefault="00974489" w:rsidP="00DE2F86">
            <w:pPr>
              <w:spacing w:after="0"/>
              <w:jc w:val="right"/>
              <w:rPr>
                <w:rFonts w:eastAsia="Times New Roman"/>
                <w:color w:val="000000"/>
                <w:sz w:val="18"/>
                <w:szCs w:val="16"/>
                <w:lang w:val="en-US"/>
              </w:rPr>
            </w:pPr>
            <w:r w:rsidRPr="008A31D2">
              <w:rPr>
                <w:rFonts w:eastAsia="Times New Roman"/>
                <w:color w:val="000000"/>
                <w:sz w:val="18"/>
                <w:szCs w:val="16"/>
                <w:lang w:val="en-US"/>
              </w:rPr>
              <w:t xml:space="preserve"> 4,744 </w:t>
            </w:r>
          </w:p>
        </w:tc>
        <w:tc>
          <w:tcPr>
            <w:tcW w:w="678" w:type="dxa"/>
            <w:shd w:val="clear" w:color="auto" w:fill="auto"/>
            <w:noWrap/>
            <w:vAlign w:val="bottom"/>
            <w:hideMark/>
          </w:tcPr>
          <w:p w:rsidR="00974489" w:rsidRPr="008A31D2" w:rsidRDefault="00974489" w:rsidP="00DE2F86">
            <w:pPr>
              <w:spacing w:after="0"/>
              <w:jc w:val="right"/>
              <w:rPr>
                <w:rFonts w:eastAsia="Times New Roman"/>
                <w:color w:val="000000"/>
                <w:sz w:val="18"/>
                <w:szCs w:val="16"/>
                <w:lang w:val="en-US"/>
              </w:rPr>
            </w:pPr>
            <w:r w:rsidRPr="008A31D2">
              <w:rPr>
                <w:rFonts w:eastAsia="Times New Roman"/>
                <w:color w:val="000000"/>
                <w:sz w:val="18"/>
                <w:szCs w:val="16"/>
                <w:lang w:val="en-US"/>
              </w:rPr>
              <w:t xml:space="preserve"> 4,344 </w:t>
            </w:r>
          </w:p>
        </w:tc>
        <w:tc>
          <w:tcPr>
            <w:tcW w:w="678" w:type="dxa"/>
            <w:shd w:val="clear" w:color="auto" w:fill="auto"/>
            <w:noWrap/>
            <w:vAlign w:val="bottom"/>
            <w:hideMark/>
          </w:tcPr>
          <w:p w:rsidR="00974489" w:rsidRPr="008A31D2" w:rsidRDefault="00974489" w:rsidP="00DE2F86">
            <w:pPr>
              <w:spacing w:after="0"/>
              <w:jc w:val="right"/>
              <w:rPr>
                <w:rFonts w:eastAsia="Times New Roman"/>
                <w:color w:val="000000"/>
                <w:sz w:val="18"/>
                <w:szCs w:val="16"/>
                <w:lang w:val="en-US"/>
              </w:rPr>
            </w:pPr>
            <w:r w:rsidRPr="008A31D2">
              <w:rPr>
                <w:rFonts w:eastAsia="Times New Roman"/>
                <w:color w:val="000000"/>
                <w:sz w:val="18"/>
                <w:szCs w:val="16"/>
                <w:lang w:val="en-US"/>
              </w:rPr>
              <w:t xml:space="preserve"> 4,221 </w:t>
            </w:r>
          </w:p>
        </w:tc>
        <w:tc>
          <w:tcPr>
            <w:tcW w:w="679" w:type="dxa"/>
            <w:shd w:val="clear" w:color="auto" w:fill="auto"/>
            <w:noWrap/>
            <w:vAlign w:val="bottom"/>
            <w:hideMark/>
          </w:tcPr>
          <w:p w:rsidR="00974489" w:rsidRPr="008A31D2" w:rsidRDefault="00974489" w:rsidP="00DE2F86">
            <w:pPr>
              <w:spacing w:after="0"/>
              <w:jc w:val="right"/>
              <w:rPr>
                <w:rFonts w:eastAsia="Times New Roman"/>
                <w:color w:val="000000"/>
                <w:sz w:val="18"/>
                <w:szCs w:val="16"/>
                <w:lang w:val="en-US"/>
              </w:rPr>
            </w:pPr>
            <w:r w:rsidRPr="008A31D2">
              <w:rPr>
                <w:rFonts w:eastAsia="Times New Roman"/>
                <w:color w:val="000000"/>
                <w:sz w:val="18"/>
                <w:szCs w:val="16"/>
                <w:lang w:val="en-US"/>
              </w:rPr>
              <w:t xml:space="preserve"> 3,154 </w:t>
            </w:r>
          </w:p>
        </w:tc>
        <w:tc>
          <w:tcPr>
            <w:tcW w:w="678" w:type="dxa"/>
            <w:shd w:val="clear" w:color="auto" w:fill="auto"/>
            <w:noWrap/>
            <w:vAlign w:val="bottom"/>
            <w:hideMark/>
          </w:tcPr>
          <w:p w:rsidR="00974489" w:rsidRPr="008A31D2" w:rsidRDefault="00974489" w:rsidP="00DE2F86">
            <w:pPr>
              <w:spacing w:after="0"/>
              <w:jc w:val="right"/>
              <w:rPr>
                <w:rFonts w:eastAsia="Times New Roman"/>
                <w:color w:val="000000"/>
                <w:sz w:val="18"/>
                <w:szCs w:val="16"/>
                <w:lang w:val="en-US"/>
              </w:rPr>
            </w:pPr>
            <w:r w:rsidRPr="008A31D2">
              <w:rPr>
                <w:rFonts w:eastAsia="Times New Roman"/>
                <w:color w:val="000000"/>
                <w:sz w:val="18"/>
                <w:szCs w:val="16"/>
                <w:lang w:val="en-US"/>
              </w:rPr>
              <w:t xml:space="preserve"> 3,010 </w:t>
            </w:r>
          </w:p>
        </w:tc>
        <w:tc>
          <w:tcPr>
            <w:tcW w:w="678" w:type="dxa"/>
            <w:shd w:val="clear" w:color="auto" w:fill="auto"/>
            <w:noWrap/>
            <w:vAlign w:val="bottom"/>
            <w:hideMark/>
          </w:tcPr>
          <w:p w:rsidR="00974489" w:rsidRPr="008A31D2" w:rsidRDefault="00974489" w:rsidP="00DE2F86">
            <w:pPr>
              <w:spacing w:after="0"/>
              <w:jc w:val="right"/>
              <w:rPr>
                <w:rFonts w:eastAsia="Times New Roman"/>
                <w:color w:val="000000"/>
                <w:sz w:val="18"/>
                <w:szCs w:val="16"/>
                <w:lang w:val="en-US"/>
              </w:rPr>
            </w:pPr>
            <w:r w:rsidRPr="008A31D2">
              <w:rPr>
                <w:rFonts w:eastAsia="Times New Roman"/>
                <w:color w:val="000000"/>
                <w:sz w:val="18"/>
                <w:szCs w:val="16"/>
                <w:lang w:val="en-US"/>
              </w:rPr>
              <w:t xml:space="preserve"> 2,864 </w:t>
            </w:r>
          </w:p>
        </w:tc>
        <w:tc>
          <w:tcPr>
            <w:tcW w:w="679" w:type="dxa"/>
            <w:shd w:val="clear" w:color="auto" w:fill="auto"/>
            <w:noWrap/>
            <w:vAlign w:val="bottom"/>
            <w:hideMark/>
          </w:tcPr>
          <w:p w:rsidR="00974489" w:rsidRPr="008A31D2" w:rsidRDefault="00974489" w:rsidP="00DE2F86">
            <w:pPr>
              <w:spacing w:after="0"/>
              <w:jc w:val="right"/>
              <w:rPr>
                <w:rFonts w:eastAsia="Times New Roman"/>
                <w:color w:val="000000"/>
                <w:sz w:val="18"/>
                <w:szCs w:val="16"/>
                <w:lang w:val="en-US"/>
              </w:rPr>
            </w:pPr>
            <w:r w:rsidRPr="008A31D2">
              <w:rPr>
                <w:rFonts w:eastAsia="Times New Roman"/>
                <w:color w:val="000000"/>
                <w:sz w:val="18"/>
                <w:szCs w:val="16"/>
                <w:lang w:val="en-US"/>
              </w:rPr>
              <w:t xml:space="preserve"> 2,572 </w:t>
            </w:r>
          </w:p>
        </w:tc>
        <w:tc>
          <w:tcPr>
            <w:tcW w:w="678" w:type="dxa"/>
            <w:shd w:val="clear" w:color="auto" w:fill="auto"/>
            <w:noWrap/>
            <w:vAlign w:val="bottom"/>
            <w:hideMark/>
          </w:tcPr>
          <w:p w:rsidR="00974489" w:rsidRPr="008A31D2" w:rsidRDefault="00974489" w:rsidP="00DE2F86">
            <w:pPr>
              <w:spacing w:after="0"/>
              <w:jc w:val="right"/>
              <w:rPr>
                <w:rFonts w:eastAsia="Times New Roman"/>
                <w:color w:val="000000"/>
                <w:sz w:val="18"/>
                <w:szCs w:val="16"/>
                <w:lang w:val="en-US"/>
              </w:rPr>
            </w:pPr>
            <w:r w:rsidRPr="008A31D2">
              <w:rPr>
                <w:rFonts w:eastAsia="Times New Roman"/>
                <w:color w:val="000000"/>
                <w:sz w:val="18"/>
                <w:szCs w:val="16"/>
                <w:lang w:val="en-US"/>
              </w:rPr>
              <w:t xml:space="preserve"> 1,671 </w:t>
            </w:r>
          </w:p>
        </w:tc>
        <w:tc>
          <w:tcPr>
            <w:tcW w:w="678" w:type="dxa"/>
            <w:shd w:val="clear" w:color="auto" w:fill="auto"/>
            <w:noWrap/>
            <w:vAlign w:val="bottom"/>
            <w:hideMark/>
          </w:tcPr>
          <w:p w:rsidR="00974489" w:rsidRPr="008A31D2" w:rsidRDefault="00974489" w:rsidP="00DE2F86">
            <w:pPr>
              <w:spacing w:after="0"/>
              <w:jc w:val="right"/>
              <w:rPr>
                <w:rFonts w:eastAsia="Times New Roman"/>
                <w:color w:val="000000"/>
                <w:sz w:val="18"/>
                <w:szCs w:val="16"/>
                <w:lang w:val="en-US"/>
              </w:rPr>
            </w:pPr>
            <w:r w:rsidRPr="008A31D2">
              <w:rPr>
                <w:rFonts w:eastAsia="Times New Roman"/>
                <w:color w:val="000000"/>
                <w:sz w:val="18"/>
                <w:szCs w:val="16"/>
                <w:lang w:val="en-US"/>
              </w:rPr>
              <w:t xml:space="preserve"> 576 </w:t>
            </w:r>
          </w:p>
        </w:tc>
        <w:tc>
          <w:tcPr>
            <w:tcW w:w="679" w:type="dxa"/>
            <w:shd w:val="clear" w:color="auto" w:fill="auto"/>
            <w:noWrap/>
            <w:vAlign w:val="bottom"/>
            <w:hideMark/>
          </w:tcPr>
          <w:p w:rsidR="00974489" w:rsidRPr="008A31D2" w:rsidRDefault="00974489" w:rsidP="00DE2F86">
            <w:pPr>
              <w:spacing w:after="0"/>
              <w:jc w:val="right"/>
              <w:rPr>
                <w:rFonts w:eastAsia="Times New Roman"/>
                <w:color w:val="000000"/>
                <w:sz w:val="18"/>
                <w:szCs w:val="16"/>
                <w:lang w:val="en-US"/>
              </w:rPr>
            </w:pPr>
            <w:r w:rsidRPr="008A31D2">
              <w:rPr>
                <w:rFonts w:eastAsia="Times New Roman"/>
                <w:color w:val="000000"/>
                <w:sz w:val="18"/>
                <w:szCs w:val="16"/>
                <w:lang w:val="en-US"/>
              </w:rPr>
              <w:t xml:space="preserve"> 158 </w:t>
            </w:r>
          </w:p>
        </w:tc>
        <w:tc>
          <w:tcPr>
            <w:tcW w:w="507" w:type="dxa"/>
            <w:shd w:val="clear" w:color="auto" w:fill="auto"/>
            <w:noWrap/>
            <w:vAlign w:val="bottom"/>
            <w:hideMark/>
          </w:tcPr>
          <w:p w:rsidR="00974489" w:rsidRPr="008A31D2" w:rsidRDefault="00974489" w:rsidP="00DE2F86">
            <w:pPr>
              <w:spacing w:after="0"/>
              <w:jc w:val="right"/>
              <w:rPr>
                <w:rFonts w:eastAsia="Times New Roman"/>
                <w:color w:val="000000"/>
                <w:sz w:val="18"/>
                <w:szCs w:val="16"/>
                <w:lang w:val="en-US"/>
              </w:rPr>
            </w:pPr>
            <w:r w:rsidRPr="008A31D2">
              <w:rPr>
                <w:rFonts w:eastAsia="Times New Roman"/>
                <w:color w:val="000000"/>
                <w:sz w:val="18"/>
                <w:szCs w:val="16"/>
                <w:lang w:val="en-US"/>
              </w:rPr>
              <w:t xml:space="preserve"> 63 </w:t>
            </w:r>
          </w:p>
        </w:tc>
        <w:tc>
          <w:tcPr>
            <w:tcW w:w="850" w:type="dxa"/>
            <w:shd w:val="clear" w:color="auto" w:fill="auto"/>
            <w:noWrap/>
            <w:vAlign w:val="bottom"/>
            <w:hideMark/>
          </w:tcPr>
          <w:p w:rsidR="00974489" w:rsidRPr="008A31D2" w:rsidRDefault="00974489" w:rsidP="00DE2F86">
            <w:pPr>
              <w:spacing w:after="0"/>
              <w:jc w:val="right"/>
              <w:rPr>
                <w:rFonts w:eastAsia="Times New Roman"/>
                <w:b/>
                <w:bCs/>
                <w:color w:val="000000"/>
                <w:sz w:val="18"/>
                <w:szCs w:val="16"/>
                <w:lang w:val="en-US"/>
              </w:rPr>
            </w:pPr>
            <w:r w:rsidRPr="008A31D2">
              <w:rPr>
                <w:rFonts w:eastAsia="Times New Roman"/>
                <w:b/>
                <w:bCs/>
                <w:color w:val="000000"/>
                <w:sz w:val="18"/>
                <w:szCs w:val="16"/>
                <w:lang w:val="en-US"/>
              </w:rPr>
              <w:t xml:space="preserve"> 31,717 </w:t>
            </w:r>
          </w:p>
        </w:tc>
      </w:tr>
    </w:tbl>
    <w:p w:rsidR="00974489" w:rsidRPr="003871AF" w:rsidRDefault="00974489" w:rsidP="00974489">
      <w:pPr>
        <w:pStyle w:val="AHPRAbodybold"/>
        <w:rPr>
          <w:b w:val="0"/>
          <w:sz w:val="16"/>
          <w:szCs w:val="16"/>
        </w:rPr>
      </w:pPr>
    </w:p>
    <w:p w:rsidR="00DE2F86" w:rsidRDefault="00DE2F86" w:rsidP="00DE2F86">
      <w:pPr>
        <w:pStyle w:val="Caption"/>
      </w:pPr>
      <w:bookmarkStart w:id="26" w:name="_Toc453007262"/>
      <w:r>
        <w:t>Table PSY</w:t>
      </w:r>
      <w:r w:rsidR="003A7386">
        <w:fldChar w:fldCharType="begin"/>
      </w:r>
      <w:r w:rsidR="003A7386">
        <w:instrText xml:space="preserve"> SEQ Table \* ARABIC </w:instrText>
      </w:r>
      <w:r w:rsidR="003A7386">
        <w:fldChar w:fldCharType="separate"/>
      </w:r>
      <w:r w:rsidR="00A57A1D">
        <w:rPr>
          <w:noProof/>
        </w:rPr>
        <w:t>3</w:t>
      </w:r>
      <w:r w:rsidR="003A7386">
        <w:rPr>
          <w:noProof/>
        </w:rPr>
        <w:fldChar w:fldCharType="end"/>
      </w:r>
      <w:r>
        <w:t xml:space="preserve">: </w:t>
      </w:r>
      <w:r w:rsidRPr="009F797B">
        <w:t>Notifications received by state or territory</w:t>
      </w:r>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624"/>
        <w:gridCol w:w="625"/>
        <w:gridCol w:w="625"/>
        <w:gridCol w:w="625"/>
        <w:gridCol w:w="625"/>
        <w:gridCol w:w="625"/>
        <w:gridCol w:w="625"/>
        <w:gridCol w:w="945"/>
        <w:gridCol w:w="793"/>
        <w:gridCol w:w="837"/>
      </w:tblGrid>
      <w:tr w:rsidR="00974489" w:rsidRPr="00DE2F86" w:rsidTr="00DE2F86">
        <w:trPr>
          <w:trHeight w:val="300"/>
          <w:tblHeader/>
        </w:trPr>
        <w:tc>
          <w:tcPr>
            <w:tcW w:w="1241" w:type="pct"/>
            <w:shd w:val="clear" w:color="000000" w:fill="DDEBF7"/>
            <w:vAlign w:val="bottom"/>
            <w:hideMark/>
          </w:tcPr>
          <w:p w:rsidR="00974489" w:rsidRPr="00DE2F86" w:rsidRDefault="00974489" w:rsidP="00DE2F86">
            <w:pPr>
              <w:spacing w:after="0"/>
              <w:rPr>
                <w:rFonts w:eastAsia="Times New Roman"/>
                <w:b/>
                <w:bCs/>
                <w:color w:val="000000"/>
                <w:sz w:val="18"/>
                <w:szCs w:val="16"/>
                <w:lang w:val="en-US"/>
              </w:rPr>
            </w:pPr>
            <w:r w:rsidRPr="00DE2F86">
              <w:rPr>
                <w:rFonts w:eastAsia="Times New Roman"/>
                <w:b/>
                <w:bCs/>
                <w:color w:val="000000"/>
                <w:sz w:val="18"/>
                <w:szCs w:val="16"/>
                <w:lang w:val="en-US"/>
              </w:rPr>
              <w:t>Psychologist</w:t>
            </w:r>
          </w:p>
        </w:tc>
        <w:tc>
          <w:tcPr>
            <w:tcW w:w="338" w:type="pct"/>
            <w:shd w:val="clear" w:color="000000" w:fill="DDEBF7"/>
            <w:vAlign w:val="bottom"/>
            <w:hideMark/>
          </w:tcPr>
          <w:p w:rsidR="00974489" w:rsidRPr="00DE2F86" w:rsidRDefault="00974489" w:rsidP="00DE2F86">
            <w:pPr>
              <w:spacing w:after="0"/>
              <w:jc w:val="right"/>
              <w:rPr>
                <w:rFonts w:eastAsia="Times New Roman"/>
                <w:b/>
                <w:bCs/>
                <w:color w:val="000000"/>
                <w:sz w:val="18"/>
                <w:szCs w:val="16"/>
                <w:lang w:val="en-US"/>
              </w:rPr>
            </w:pPr>
            <w:r w:rsidRPr="00DE2F86">
              <w:rPr>
                <w:rFonts w:eastAsia="Times New Roman"/>
                <w:b/>
                <w:bCs/>
                <w:color w:val="000000"/>
                <w:sz w:val="18"/>
                <w:szCs w:val="16"/>
                <w:lang w:val="en-US"/>
              </w:rPr>
              <w:t>ACT</w:t>
            </w:r>
          </w:p>
        </w:tc>
        <w:tc>
          <w:tcPr>
            <w:tcW w:w="338" w:type="pct"/>
            <w:shd w:val="clear" w:color="000000" w:fill="DDEBF7"/>
            <w:vAlign w:val="bottom"/>
            <w:hideMark/>
          </w:tcPr>
          <w:p w:rsidR="00974489" w:rsidRPr="00DE2F86" w:rsidRDefault="00974489" w:rsidP="00DE2F86">
            <w:pPr>
              <w:spacing w:after="0"/>
              <w:jc w:val="right"/>
              <w:rPr>
                <w:rFonts w:eastAsia="Times New Roman"/>
                <w:b/>
                <w:bCs/>
                <w:color w:val="000000"/>
                <w:sz w:val="18"/>
                <w:szCs w:val="16"/>
                <w:lang w:val="en-US"/>
              </w:rPr>
            </w:pPr>
            <w:r w:rsidRPr="00DE2F86">
              <w:rPr>
                <w:rFonts w:eastAsia="Times New Roman"/>
                <w:b/>
                <w:bCs/>
                <w:color w:val="000000"/>
                <w:sz w:val="18"/>
                <w:szCs w:val="16"/>
                <w:lang w:val="en-US"/>
              </w:rPr>
              <w:t>NT</w:t>
            </w:r>
          </w:p>
        </w:tc>
        <w:tc>
          <w:tcPr>
            <w:tcW w:w="338" w:type="pct"/>
            <w:shd w:val="clear" w:color="000000" w:fill="DDEBF7"/>
            <w:vAlign w:val="bottom"/>
            <w:hideMark/>
          </w:tcPr>
          <w:p w:rsidR="00974489" w:rsidRPr="00DE2F86" w:rsidRDefault="00974489" w:rsidP="00DE2F86">
            <w:pPr>
              <w:spacing w:after="0"/>
              <w:jc w:val="right"/>
              <w:rPr>
                <w:rFonts w:eastAsia="Times New Roman"/>
                <w:b/>
                <w:bCs/>
                <w:color w:val="000000"/>
                <w:sz w:val="18"/>
                <w:szCs w:val="16"/>
                <w:lang w:val="en-US"/>
              </w:rPr>
            </w:pPr>
            <w:r w:rsidRPr="00DE2F86">
              <w:rPr>
                <w:rFonts w:eastAsia="Times New Roman"/>
                <w:b/>
                <w:bCs/>
                <w:color w:val="000000"/>
                <w:sz w:val="18"/>
                <w:szCs w:val="16"/>
                <w:lang w:val="en-US"/>
              </w:rPr>
              <w:t>QLD</w:t>
            </w:r>
          </w:p>
        </w:tc>
        <w:tc>
          <w:tcPr>
            <w:tcW w:w="338" w:type="pct"/>
            <w:shd w:val="clear" w:color="000000" w:fill="DDEBF7"/>
            <w:vAlign w:val="bottom"/>
            <w:hideMark/>
          </w:tcPr>
          <w:p w:rsidR="00974489" w:rsidRPr="00DE2F86" w:rsidRDefault="00974489" w:rsidP="00DE2F86">
            <w:pPr>
              <w:spacing w:after="0"/>
              <w:jc w:val="right"/>
              <w:rPr>
                <w:rFonts w:eastAsia="Times New Roman"/>
                <w:b/>
                <w:bCs/>
                <w:color w:val="000000"/>
                <w:sz w:val="18"/>
                <w:szCs w:val="16"/>
                <w:lang w:val="en-US"/>
              </w:rPr>
            </w:pPr>
            <w:r w:rsidRPr="00DE2F86">
              <w:rPr>
                <w:rFonts w:eastAsia="Times New Roman"/>
                <w:b/>
                <w:bCs/>
                <w:color w:val="000000"/>
                <w:sz w:val="18"/>
                <w:szCs w:val="16"/>
                <w:lang w:val="en-US"/>
              </w:rPr>
              <w:t>SA</w:t>
            </w:r>
          </w:p>
        </w:tc>
        <w:tc>
          <w:tcPr>
            <w:tcW w:w="338" w:type="pct"/>
            <w:shd w:val="clear" w:color="000000" w:fill="DDEBF7"/>
            <w:vAlign w:val="bottom"/>
            <w:hideMark/>
          </w:tcPr>
          <w:p w:rsidR="00974489" w:rsidRPr="00DE2F86" w:rsidRDefault="00974489" w:rsidP="00DE2F86">
            <w:pPr>
              <w:spacing w:after="0"/>
              <w:jc w:val="right"/>
              <w:rPr>
                <w:rFonts w:eastAsia="Times New Roman"/>
                <w:b/>
                <w:bCs/>
                <w:color w:val="000000"/>
                <w:sz w:val="18"/>
                <w:szCs w:val="16"/>
                <w:lang w:val="en-US"/>
              </w:rPr>
            </w:pPr>
            <w:r w:rsidRPr="00DE2F86">
              <w:rPr>
                <w:rFonts w:eastAsia="Times New Roman"/>
                <w:b/>
                <w:bCs/>
                <w:color w:val="000000"/>
                <w:sz w:val="18"/>
                <w:szCs w:val="16"/>
                <w:lang w:val="en-US"/>
              </w:rPr>
              <w:t>TAS</w:t>
            </w:r>
          </w:p>
        </w:tc>
        <w:tc>
          <w:tcPr>
            <w:tcW w:w="338" w:type="pct"/>
            <w:shd w:val="clear" w:color="000000" w:fill="DDEBF7"/>
            <w:vAlign w:val="bottom"/>
            <w:hideMark/>
          </w:tcPr>
          <w:p w:rsidR="00974489" w:rsidRPr="00DE2F86" w:rsidRDefault="00974489" w:rsidP="00DE2F86">
            <w:pPr>
              <w:spacing w:after="0"/>
              <w:jc w:val="right"/>
              <w:rPr>
                <w:rFonts w:eastAsia="Times New Roman"/>
                <w:b/>
                <w:bCs/>
                <w:color w:val="000000"/>
                <w:sz w:val="18"/>
                <w:szCs w:val="16"/>
                <w:lang w:val="en-US"/>
              </w:rPr>
            </w:pPr>
            <w:r w:rsidRPr="00DE2F86">
              <w:rPr>
                <w:rFonts w:eastAsia="Times New Roman"/>
                <w:b/>
                <w:bCs/>
                <w:color w:val="000000"/>
                <w:sz w:val="18"/>
                <w:szCs w:val="16"/>
                <w:lang w:val="en-US"/>
              </w:rPr>
              <w:t>VIC</w:t>
            </w:r>
          </w:p>
        </w:tc>
        <w:tc>
          <w:tcPr>
            <w:tcW w:w="338" w:type="pct"/>
            <w:shd w:val="clear" w:color="000000" w:fill="DDEBF7"/>
            <w:vAlign w:val="bottom"/>
            <w:hideMark/>
          </w:tcPr>
          <w:p w:rsidR="00974489" w:rsidRPr="00DE2F86" w:rsidRDefault="00974489" w:rsidP="00DE2F86">
            <w:pPr>
              <w:spacing w:after="0"/>
              <w:jc w:val="right"/>
              <w:rPr>
                <w:rFonts w:eastAsia="Times New Roman"/>
                <w:b/>
                <w:bCs/>
                <w:color w:val="000000"/>
                <w:sz w:val="18"/>
                <w:szCs w:val="16"/>
                <w:lang w:val="en-US"/>
              </w:rPr>
            </w:pPr>
            <w:r w:rsidRPr="00DE2F86">
              <w:rPr>
                <w:rFonts w:eastAsia="Times New Roman"/>
                <w:b/>
                <w:bCs/>
                <w:color w:val="000000"/>
                <w:sz w:val="18"/>
                <w:szCs w:val="16"/>
                <w:lang w:val="en-US"/>
              </w:rPr>
              <w:t xml:space="preserve">WA </w:t>
            </w:r>
          </w:p>
        </w:tc>
        <w:tc>
          <w:tcPr>
            <w:tcW w:w="511" w:type="pct"/>
            <w:shd w:val="clear" w:color="000000" w:fill="DDEBF7"/>
            <w:vAlign w:val="bottom"/>
            <w:hideMark/>
          </w:tcPr>
          <w:p w:rsidR="00974489" w:rsidRPr="00DE2F86" w:rsidRDefault="00974489" w:rsidP="00DE2F86">
            <w:pPr>
              <w:spacing w:after="0"/>
              <w:jc w:val="right"/>
              <w:rPr>
                <w:rFonts w:eastAsia="Times New Roman"/>
                <w:b/>
                <w:bCs/>
                <w:color w:val="000000"/>
                <w:sz w:val="18"/>
                <w:szCs w:val="16"/>
                <w:lang w:val="en-US"/>
              </w:rPr>
            </w:pPr>
            <w:r w:rsidRPr="00DE2F86">
              <w:rPr>
                <w:rFonts w:eastAsia="Times New Roman"/>
                <w:b/>
                <w:bCs/>
                <w:color w:val="000000"/>
                <w:sz w:val="18"/>
                <w:szCs w:val="16"/>
                <w:lang w:val="en-US"/>
              </w:rPr>
              <w:t xml:space="preserve"> Subtotal </w:t>
            </w:r>
          </w:p>
        </w:tc>
        <w:tc>
          <w:tcPr>
            <w:tcW w:w="429" w:type="pct"/>
            <w:shd w:val="clear" w:color="000000" w:fill="DDEBF7"/>
            <w:vAlign w:val="bottom"/>
            <w:hideMark/>
          </w:tcPr>
          <w:p w:rsidR="00974489" w:rsidRPr="00DE2F86" w:rsidRDefault="00974489" w:rsidP="00DE2F86">
            <w:pPr>
              <w:spacing w:after="0"/>
              <w:jc w:val="right"/>
              <w:rPr>
                <w:rFonts w:eastAsia="Times New Roman"/>
                <w:b/>
                <w:bCs/>
                <w:color w:val="000000"/>
                <w:sz w:val="18"/>
                <w:szCs w:val="16"/>
                <w:lang w:val="en-US"/>
              </w:rPr>
            </w:pPr>
            <w:r w:rsidRPr="00DE2F86">
              <w:rPr>
                <w:rFonts w:eastAsia="Times New Roman"/>
                <w:b/>
                <w:bCs/>
                <w:color w:val="000000"/>
                <w:sz w:val="18"/>
                <w:szCs w:val="16"/>
                <w:lang w:val="en-US"/>
              </w:rPr>
              <w:t>NSW</w:t>
            </w:r>
          </w:p>
        </w:tc>
        <w:tc>
          <w:tcPr>
            <w:tcW w:w="453" w:type="pct"/>
            <w:shd w:val="clear" w:color="000000" w:fill="DDEBF7"/>
            <w:vAlign w:val="bottom"/>
            <w:hideMark/>
          </w:tcPr>
          <w:p w:rsidR="00974489" w:rsidRPr="00DE2F86" w:rsidRDefault="00974489" w:rsidP="00DE2F86">
            <w:pPr>
              <w:spacing w:after="0"/>
              <w:jc w:val="right"/>
              <w:rPr>
                <w:rFonts w:eastAsia="Times New Roman"/>
                <w:b/>
                <w:bCs/>
                <w:color w:val="000000"/>
                <w:sz w:val="18"/>
                <w:szCs w:val="16"/>
                <w:lang w:val="en-US"/>
              </w:rPr>
            </w:pPr>
            <w:r w:rsidRPr="00DE2F86">
              <w:rPr>
                <w:rFonts w:eastAsia="Times New Roman"/>
                <w:b/>
                <w:bCs/>
                <w:color w:val="000000"/>
                <w:sz w:val="18"/>
                <w:szCs w:val="16"/>
                <w:lang w:val="en-US"/>
              </w:rPr>
              <w:t>Total</w:t>
            </w:r>
          </w:p>
        </w:tc>
      </w:tr>
      <w:tr w:rsidR="00974489" w:rsidRPr="00DE2F86" w:rsidTr="00DE2F86">
        <w:trPr>
          <w:trHeight w:val="300"/>
        </w:trPr>
        <w:tc>
          <w:tcPr>
            <w:tcW w:w="1241" w:type="pct"/>
            <w:shd w:val="clear" w:color="auto" w:fill="auto"/>
            <w:vAlign w:val="bottom"/>
            <w:hideMark/>
          </w:tcPr>
          <w:p w:rsidR="00974489" w:rsidRPr="00DE2F86" w:rsidRDefault="00974489" w:rsidP="00DE2F86">
            <w:pPr>
              <w:spacing w:after="0"/>
              <w:rPr>
                <w:rFonts w:eastAsia="Times New Roman"/>
                <w:color w:val="000000"/>
                <w:sz w:val="18"/>
                <w:szCs w:val="16"/>
                <w:lang w:val="en-US"/>
              </w:rPr>
            </w:pPr>
            <w:r w:rsidRPr="00DE2F86">
              <w:rPr>
                <w:rFonts w:eastAsia="Times New Roman"/>
                <w:color w:val="000000"/>
                <w:sz w:val="18"/>
                <w:szCs w:val="16"/>
                <w:lang w:val="en-US"/>
              </w:rPr>
              <w:t>2014/15</w:t>
            </w:r>
          </w:p>
        </w:tc>
        <w:tc>
          <w:tcPr>
            <w:tcW w:w="338" w:type="pct"/>
            <w:shd w:val="clear" w:color="auto" w:fill="auto"/>
            <w:vAlign w:val="bottom"/>
            <w:hideMark/>
          </w:tcPr>
          <w:p w:rsidR="00974489" w:rsidRPr="00DE2F86" w:rsidRDefault="00974489" w:rsidP="00DE2F86">
            <w:pPr>
              <w:spacing w:after="0"/>
              <w:jc w:val="right"/>
              <w:rPr>
                <w:rFonts w:eastAsia="Times New Roman"/>
                <w:color w:val="000000"/>
                <w:sz w:val="18"/>
                <w:szCs w:val="16"/>
                <w:lang w:val="en-US"/>
              </w:rPr>
            </w:pPr>
            <w:r w:rsidRPr="00DE2F86">
              <w:rPr>
                <w:rFonts w:eastAsia="Times New Roman"/>
                <w:color w:val="000000"/>
                <w:sz w:val="18"/>
                <w:szCs w:val="16"/>
                <w:lang w:val="en-US"/>
              </w:rPr>
              <w:t>14</w:t>
            </w:r>
          </w:p>
        </w:tc>
        <w:tc>
          <w:tcPr>
            <w:tcW w:w="338" w:type="pct"/>
            <w:shd w:val="clear" w:color="auto" w:fill="auto"/>
            <w:vAlign w:val="bottom"/>
            <w:hideMark/>
          </w:tcPr>
          <w:p w:rsidR="00974489" w:rsidRPr="00DE2F86" w:rsidRDefault="00974489" w:rsidP="00DE2F86">
            <w:pPr>
              <w:spacing w:after="0"/>
              <w:jc w:val="right"/>
              <w:rPr>
                <w:rFonts w:eastAsia="Times New Roman"/>
                <w:color w:val="000000"/>
                <w:sz w:val="18"/>
                <w:szCs w:val="16"/>
                <w:lang w:val="en-US"/>
              </w:rPr>
            </w:pPr>
            <w:r w:rsidRPr="00DE2F86">
              <w:rPr>
                <w:rFonts w:eastAsia="Times New Roman"/>
                <w:color w:val="000000"/>
                <w:sz w:val="18"/>
                <w:szCs w:val="16"/>
                <w:lang w:val="en-US"/>
              </w:rPr>
              <w:t>7</w:t>
            </w:r>
          </w:p>
        </w:tc>
        <w:tc>
          <w:tcPr>
            <w:tcW w:w="338" w:type="pct"/>
            <w:shd w:val="clear" w:color="auto" w:fill="auto"/>
            <w:vAlign w:val="bottom"/>
            <w:hideMark/>
          </w:tcPr>
          <w:p w:rsidR="00974489" w:rsidRPr="00DE2F86" w:rsidRDefault="00974489" w:rsidP="00DE2F86">
            <w:pPr>
              <w:spacing w:after="0"/>
              <w:jc w:val="right"/>
              <w:rPr>
                <w:rFonts w:eastAsia="Times New Roman"/>
                <w:color w:val="000000"/>
                <w:sz w:val="18"/>
                <w:szCs w:val="16"/>
                <w:lang w:val="en-US"/>
              </w:rPr>
            </w:pPr>
            <w:r w:rsidRPr="00DE2F86">
              <w:rPr>
                <w:rFonts w:eastAsia="Times New Roman"/>
                <w:color w:val="000000"/>
                <w:sz w:val="18"/>
                <w:szCs w:val="16"/>
                <w:lang w:val="en-US"/>
              </w:rPr>
              <w:t>26</w:t>
            </w:r>
          </w:p>
        </w:tc>
        <w:tc>
          <w:tcPr>
            <w:tcW w:w="338" w:type="pct"/>
            <w:shd w:val="clear" w:color="auto" w:fill="auto"/>
            <w:vAlign w:val="bottom"/>
            <w:hideMark/>
          </w:tcPr>
          <w:p w:rsidR="00974489" w:rsidRPr="00DE2F86" w:rsidRDefault="00974489" w:rsidP="00DE2F86">
            <w:pPr>
              <w:spacing w:after="0"/>
              <w:jc w:val="right"/>
              <w:rPr>
                <w:rFonts w:eastAsia="Times New Roman"/>
                <w:color w:val="000000"/>
                <w:sz w:val="18"/>
                <w:szCs w:val="16"/>
                <w:lang w:val="en-US"/>
              </w:rPr>
            </w:pPr>
            <w:r w:rsidRPr="00DE2F86">
              <w:rPr>
                <w:rFonts w:eastAsia="Times New Roman"/>
                <w:color w:val="000000"/>
                <w:sz w:val="18"/>
                <w:szCs w:val="16"/>
                <w:lang w:val="en-US"/>
              </w:rPr>
              <w:t>32</w:t>
            </w:r>
          </w:p>
        </w:tc>
        <w:tc>
          <w:tcPr>
            <w:tcW w:w="338" w:type="pct"/>
            <w:shd w:val="clear" w:color="auto" w:fill="auto"/>
            <w:vAlign w:val="bottom"/>
            <w:hideMark/>
          </w:tcPr>
          <w:p w:rsidR="00974489" w:rsidRPr="00DE2F86" w:rsidRDefault="00974489" w:rsidP="00DE2F86">
            <w:pPr>
              <w:spacing w:after="0"/>
              <w:jc w:val="right"/>
              <w:rPr>
                <w:rFonts w:eastAsia="Times New Roman"/>
                <w:color w:val="000000"/>
                <w:sz w:val="18"/>
                <w:szCs w:val="16"/>
                <w:lang w:val="en-US"/>
              </w:rPr>
            </w:pPr>
            <w:r w:rsidRPr="00DE2F86">
              <w:rPr>
                <w:rFonts w:eastAsia="Times New Roman"/>
                <w:color w:val="000000"/>
                <w:sz w:val="18"/>
                <w:szCs w:val="16"/>
                <w:lang w:val="en-US"/>
              </w:rPr>
              <w:t>10</w:t>
            </w:r>
          </w:p>
        </w:tc>
        <w:tc>
          <w:tcPr>
            <w:tcW w:w="338" w:type="pct"/>
            <w:shd w:val="clear" w:color="auto" w:fill="auto"/>
            <w:vAlign w:val="bottom"/>
            <w:hideMark/>
          </w:tcPr>
          <w:p w:rsidR="00974489" w:rsidRPr="00DE2F86" w:rsidRDefault="00974489" w:rsidP="00DE2F86">
            <w:pPr>
              <w:spacing w:after="0"/>
              <w:jc w:val="right"/>
              <w:rPr>
                <w:rFonts w:eastAsia="Times New Roman"/>
                <w:color w:val="000000"/>
                <w:sz w:val="18"/>
                <w:szCs w:val="16"/>
                <w:lang w:val="en-US"/>
              </w:rPr>
            </w:pPr>
            <w:r w:rsidRPr="00DE2F86">
              <w:rPr>
                <w:rFonts w:eastAsia="Times New Roman"/>
                <w:color w:val="000000"/>
                <w:sz w:val="18"/>
                <w:szCs w:val="16"/>
                <w:lang w:val="en-US"/>
              </w:rPr>
              <w:t>138</w:t>
            </w:r>
          </w:p>
        </w:tc>
        <w:tc>
          <w:tcPr>
            <w:tcW w:w="338" w:type="pct"/>
            <w:shd w:val="clear" w:color="auto" w:fill="auto"/>
            <w:vAlign w:val="bottom"/>
            <w:hideMark/>
          </w:tcPr>
          <w:p w:rsidR="00974489" w:rsidRPr="00DE2F86" w:rsidRDefault="00974489" w:rsidP="00DE2F86">
            <w:pPr>
              <w:spacing w:after="0"/>
              <w:jc w:val="right"/>
              <w:rPr>
                <w:rFonts w:eastAsia="Times New Roman"/>
                <w:color w:val="000000"/>
                <w:sz w:val="18"/>
                <w:szCs w:val="16"/>
                <w:lang w:val="en-US"/>
              </w:rPr>
            </w:pPr>
            <w:r w:rsidRPr="00DE2F86">
              <w:rPr>
                <w:rFonts w:eastAsia="Times New Roman"/>
                <w:color w:val="000000"/>
                <w:sz w:val="18"/>
                <w:szCs w:val="16"/>
                <w:lang w:val="en-US"/>
              </w:rPr>
              <w:t>49</w:t>
            </w:r>
          </w:p>
        </w:tc>
        <w:tc>
          <w:tcPr>
            <w:tcW w:w="511" w:type="pct"/>
            <w:shd w:val="clear" w:color="auto" w:fill="auto"/>
            <w:vAlign w:val="bottom"/>
            <w:hideMark/>
          </w:tcPr>
          <w:p w:rsidR="00974489" w:rsidRPr="00DE2F86" w:rsidRDefault="00974489" w:rsidP="00DE2F86">
            <w:pPr>
              <w:spacing w:after="0"/>
              <w:jc w:val="right"/>
              <w:rPr>
                <w:rFonts w:eastAsia="Times New Roman"/>
                <w:b/>
                <w:bCs/>
                <w:color w:val="000000"/>
                <w:sz w:val="18"/>
                <w:szCs w:val="16"/>
                <w:lang w:val="en-US"/>
              </w:rPr>
            </w:pPr>
            <w:r w:rsidRPr="00DE2F86">
              <w:rPr>
                <w:rFonts w:eastAsia="Times New Roman"/>
                <w:b/>
                <w:bCs/>
                <w:color w:val="000000"/>
                <w:sz w:val="18"/>
                <w:szCs w:val="16"/>
                <w:lang w:val="en-US"/>
              </w:rPr>
              <w:t>276</w:t>
            </w:r>
          </w:p>
        </w:tc>
        <w:tc>
          <w:tcPr>
            <w:tcW w:w="429" w:type="pct"/>
            <w:shd w:val="clear" w:color="auto" w:fill="auto"/>
            <w:vAlign w:val="bottom"/>
            <w:hideMark/>
          </w:tcPr>
          <w:p w:rsidR="00974489" w:rsidRPr="00DE2F86" w:rsidRDefault="00974489" w:rsidP="00DE2F86">
            <w:pPr>
              <w:spacing w:after="0"/>
              <w:jc w:val="right"/>
              <w:rPr>
                <w:rFonts w:eastAsia="Times New Roman"/>
                <w:color w:val="000000"/>
                <w:sz w:val="18"/>
                <w:szCs w:val="16"/>
                <w:lang w:val="en-US"/>
              </w:rPr>
            </w:pPr>
            <w:r w:rsidRPr="00DE2F86">
              <w:rPr>
                <w:rFonts w:eastAsia="Times New Roman"/>
                <w:color w:val="000000"/>
                <w:sz w:val="18"/>
                <w:szCs w:val="16"/>
                <w:lang w:val="en-US"/>
              </w:rPr>
              <w:t>156</w:t>
            </w:r>
          </w:p>
        </w:tc>
        <w:tc>
          <w:tcPr>
            <w:tcW w:w="453" w:type="pct"/>
            <w:shd w:val="clear" w:color="auto" w:fill="auto"/>
            <w:vAlign w:val="bottom"/>
            <w:hideMark/>
          </w:tcPr>
          <w:p w:rsidR="00974489" w:rsidRPr="00DE2F86" w:rsidRDefault="00974489" w:rsidP="00DE2F86">
            <w:pPr>
              <w:spacing w:after="0"/>
              <w:jc w:val="right"/>
              <w:rPr>
                <w:rFonts w:eastAsia="Times New Roman"/>
                <w:b/>
                <w:bCs/>
                <w:color w:val="000000"/>
                <w:sz w:val="18"/>
                <w:szCs w:val="16"/>
                <w:lang w:val="en-US"/>
              </w:rPr>
            </w:pPr>
            <w:r w:rsidRPr="00DE2F86">
              <w:rPr>
                <w:rFonts w:eastAsia="Times New Roman"/>
                <w:b/>
                <w:bCs/>
                <w:color w:val="000000"/>
                <w:sz w:val="18"/>
                <w:szCs w:val="16"/>
                <w:lang w:val="en-US"/>
              </w:rPr>
              <w:t>432</w:t>
            </w:r>
          </w:p>
        </w:tc>
      </w:tr>
      <w:tr w:rsidR="00974489" w:rsidRPr="00DE2F86" w:rsidTr="00DE2F86">
        <w:trPr>
          <w:trHeight w:val="300"/>
        </w:trPr>
        <w:tc>
          <w:tcPr>
            <w:tcW w:w="1241" w:type="pct"/>
            <w:shd w:val="clear" w:color="auto" w:fill="auto"/>
            <w:noWrap/>
            <w:vAlign w:val="bottom"/>
            <w:hideMark/>
          </w:tcPr>
          <w:p w:rsidR="00974489" w:rsidRPr="00DE2F86" w:rsidRDefault="00974489" w:rsidP="00DE2F86">
            <w:pPr>
              <w:spacing w:after="0"/>
              <w:rPr>
                <w:rFonts w:eastAsia="Times New Roman"/>
                <w:color w:val="000000"/>
                <w:sz w:val="18"/>
                <w:szCs w:val="16"/>
                <w:lang w:val="en-US"/>
              </w:rPr>
            </w:pPr>
            <w:r w:rsidRPr="00DE2F86">
              <w:rPr>
                <w:rFonts w:eastAsia="Times New Roman"/>
                <w:color w:val="000000"/>
                <w:sz w:val="18"/>
                <w:szCs w:val="16"/>
                <w:lang w:val="en-US"/>
              </w:rPr>
              <w:t>2013/14</w:t>
            </w:r>
          </w:p>
        </w:tc>
        <w:tc>
          <w:tcPr>
            <w:tcW w:w="338" w:type="pct"/>
            <w:shd w:val="clear" w:color="auto" w:fill="auto"/>
            <w:noWrap/>
            <w:vAlign w:val="bottom"/>
            <w:hideMark/>
          </w:tcPr>
          <w:p w:rsidR="00974489" w:rsidRPr="00DE2F86" w:rsidRDefault="00974489" w:rsidP="00DE2F86">
            <w:pPr>
              <w:spacing w:after="0"/>
              <w:jc w:val="right"/>
              <w:rPr>
                <w:rFonts w:eastAsia="Times New Roman"/>
                <w:color w:val="000000"/>
                <w:sz w:val="18"/>
                <w:szCs w:val="16"/>
                <w:lang w:val="en-US"/>
              </w:rPr>
            </w:pPr>
            <w:r w:rsidRPr="00DE2F86">
              <w:rPr>
                <w:rFonts w:eastAsia="Times New Roman"/>
                <w:color w:val="000000"/>
                <w:sz w:val="18"/>
                <w:szCs w:val="16"/>
                <w:lang w:val="en-US"/>
              </w:rPr>
              <w:t xml:space="preserve"> 21 </w:t>
            </w:r>
          </w:p>
        </w:tc>
        <w:tc>
          <w:tcPr>
            <w:tcW w:w="338" w:type="pct"/>
            <w:shd w:val="clear" w:color="auto" w:fill="auto"/>
            <w:noWrap/>
            <w:vAlign w:val="bottom"/>
            <w:hideMark/>
          </w:tcPr>
          <w:p w:rsidR="00974489" w:rsidRPr="00DE2F86" w:rsidRDefault="00974489" w:rsidP="00DE2F86">
            <w:pPr>
              <w:spacing w:after="0"/>
              <w:jc w:val="right"/>
              <w:rPr>
                <w:rFonts w:eastAsia="Times New Roman"/>
                <w:color w:val="000000"/>
                <w:sz w:val="18"/>
                <w:szCs w:val="16"/>
                <w:lang w:val="en-US"/>
              </w:rPr>
            </w:pPr>
            <w:r w:rsidRPr="00DE2F86">
              <w:rPr>
                <w:rFonts w:eastAsia="Times New Roman"/>
                <w:color w:val="000000"/>
                <w:sz w:val="18"/>
                <w:szCs w:val="16"/>
                <w:lang w:val="en-US"/>
              </w:rPr>
              <w:t xml:space="preserve"> 5 </w:t>
            </w:r>
          </w:p>
        </w:tc>
        <w:tc>
          <w:tcPr>
            <w:tcW w:w="338" w:type="pct"/>
            <w:shd w:val="clear" w:color="auto" w:fill="auto"/>
            <w:noWrap/>
            <w:vAlign w:val="bottom"/>
            <w:hideMark/>
          </w:tcPr>
          <w:p w:rsidR="00974489" w:rsidRPr="00DE2F86" w:rsidRDefault="00974489" w:rsidP="00DE2F86">
            <w:pPr>
              <w:spacing w:after="0"/>
              <w:jc w:val="right"/>
              <w:rPr>
                <w:rFonts w:eastAsia="Times New Roman"/>
                <w:color w:val="000000"/>
                <w:sz w:val="18"/>
                <w:szCs w:val="16"/>
                <w:lang w:val="en-US"/>
              </w:rPr>
            </w:pPr>
            <w:r w:rsidRPr="00DE2F86">
              <w:rPr>
                <w:rFonts w:eastAsia="Times New Roman"/>
                <w:color w:val="000000"/>
                <w:sz w:val="18"/>
                <w:szCs w:val="16"/>
                <w:lang w:val="en-US"/>
              </w:rPr>
              <w:t xml:space="preserve"> 112 </w:t>
            </w:r>
          </w:p>
        </w:tc>
        <w:tc>
          <w:tcPr>
            <w:tcW w:w="338" w:type="pct"/>
            <w:shd w:val="clear" w:color="auto" w:fill="auto"/>
            <w:noWrap/>
            <w:vAlign w:val="bottom"/>
            <w:hideMark/>
          </w:tcPr>
          <w:p w:rsidR="00974489" w:rsidRPr="00DE2F86" w:rsidRDefault="00974489" w:rsidP="00DE2F86">
            <w:pPr>
              <w:spacing w:after="0"/>
              <w:jc w:val="right"/>
              <w:rPr>
                <w:rFonts w:eastAsia="Times New Roman"/>
                <w:color w:val="000000"/>
                <w:sz w:val="18"/>
                <w:szCs w:val="16"/>
                <w:lang w:val="en-US"/>
              </w:rPr>
            </w:pPr>
            <w:r w:rsidRPr="00DE2F86">
              <w:rPr>
                <w:rFonts w:eastAsia="Times New Roman"/>
                <w:color w:val="000000"/>
                <w:sz w:val="18"/>
                <w:szCs w:val="16"/>
                <w:lang w:val="en-US"/>
              </w:rPr>
              <w:t xml:space="preserve"> 29 </w:t>
            </w:r>
          </w:p>
        </w:tc>
        <w:tc>
          <w:tcPr>
            <w:tcW w:w="338" w:type="pct"/>
            <w:shd w:val="clear" w:color="auto" w:fill="auto"/>
            <w:noWrap/>
            <w:vAlign w:val="bottom"/>
            <w:hideMark/>
          </w:tcPr>
          <w:p w:rsidR="00974489" w:rsidRPr="00DE2F86" w:rsidRDefault="00974489" w:rsidP="00DE2F86">
            <w:pPr>
              <w:spacing w:after="0"/>
              <w:jc w:val="right"/>
              <w:rPr>
                <w:rFonts w:eastAsia="Times New Roman"/>
                <w:color w:val="000000"/>
                <w:sz w:val="18"/>
                <w:szCs w:val="16"/>
                <w:lang w:val="en-US"/>
              </w:rPr>
            </w:pPr>
            <w:r w:rsidRPr="00DE2F86">
              <w:rPr>
                <w:rFonts w:eastAsia="Times New Roman"/>
                <w:color w:val="000000"/>
                <w:sz w:val="18"/>
                <w:szCs w:val="16"/>
                <w:lang w:val="en-US"/>
              </w:rPr>
              <w:t xml:space="preserve"> 11 </w:t>
            </w:r>
          </w:p>
        </w:tc>
        <w:tc>
          <w:tcPr>
            <w:tcW w:w="338" w:type="pct"/>
            <w:shd w:val="clear" w:color="auto" w:fill="auto"/>
            <w:noWrap/>
            <w:vAlign w:val="bottom"/>
            <w:hideMark/>
          </w:tcPr>
          <w:p w:rsidR="00974489" w:rsidRPr="00DE2F86" w:rsidRDefault="00974489" w:rsidP="00DE2F86">
            <w:pPr>
              <w:spacing w:after="0"/>
              <w:jc w:val="right"/>
              <w:rPr>
                <w:rFonts w:eastAsia="Times New Roman"/>
                <w:color w:val="000000"/>
                <w:sz w:val="18"/>
                <w:szCs w:val="16"/>
                <w:lang w:val="en-US"/>
              </w:rPr>
            </w:pPr>
            <w:r w:rsidRPr="00DE2F86">
              <w:rPr>
                <w:rFonts w:eastAsia="Times New Roman"/>
                <w:color w:val="000000"/>
                <w:sz w:val="18"/>
                <w:szCs w:val="16"/>
                <w:lang w:val="en-US"/>
              </w:rPr>
              <w:t xml:space="preserve"> 114 </w:t>
            </w:r>
          </w:p>
        </w:tc>
        <w:tc>
          <w:tcPr>
            <w:tcW w:w="338" w:type="pct"/>
            <w:shd w:val="clear" w:color="auto" w:fill="auto"/>
            <w:noWrap/>
            <w:vAlign w:val="bottom"/>
            <w:hideMark/>
          </w:tcPr>
          <w:p w:rsidR="00974489" w:rsidRPr="00DE2F86" w:rsidRDefault="00974489" w:rsidP="00DE2F86">
            <w:pPr>
              <w:spacing w:after="0"/>
              <w:jc w:val="right"/>
              <w:rPr>
                <w:rFonts w:eastAsia="Times New Roman"/>
                <w:color w:val="000000"/>
                <w:sz w:val="18"/>
                <w:szCs w:val="16"/>
                <w:lang w:val="en-US"/>
              </w:rPr>
            </w:pPr>
            <w:r w:rsidRPr="00DE2F86">
              <w:rPr>
                <w:rFonts w:eastAsia="Times New Roman"/>
                <w:color w:val="000000"/>
                <w:sz w:val="18"/>
                <w:szCs w:val="16"/>
                <w:lang w:val="en-US"/>
              </w:rPr>
              <w:t xml:space="preserve"> 27 </w:t>
            </w:r>
          </w:p>
        </w:tc>
        <w:tc>
          <w:tcPr>
            <w:tcW w:w="511" w:type="pct"/>
            <w:shd w:val="clear" w:color="auto" w:fill="auto"/>
            <w:noWrap/>
            <w:vAlign w:val="bottom"/>
            <w:hideMark/>
          </w:tcPr>
          <w:p w:rsidR="00974489" w:rsidRPr="00DE2F86" w:rsidRDefault="00974489" w:rsidP="00DE2F86">
            <w:pPr>
              <w:spacing w:after="0"/>
              <w:jc w:val="right"/>
              <w:rPr>
                <w:rFonts w:eastAsia="Times New Roman"/>
                <w:b/>
                <w:bCs/>
                <w:color w:val="000000"/>
                <w:sz w:val="18"/>
                <w:szCs w:val="16"/>
                <w:lang w:val="en-US"/>
              </w:rPr>
            </w:pPr>
            <w:r w:rsidRPr="00DE2F86">
              <w:rPr>
                <w:rFonts w:eastAsia="Times New Roman"/>
                <w:b/>
                <w:bCs/>
                <w:color w:val="000000"/>
                <w:sz w:val="18"/>
                <w:szCs w:val="16"/>
                <w:lang w:val="en-US"/>
              </w:rPr>
              <w:t xml:space="preserve"> 319 </w:t>
            </w:r>
          </w:p>
        </w:tc>
        <w:tc>
          <w:tcPr>
            <w:tcW w:w="429" w:type="pct"/>
            <w:shd w:val="clear" w:color="auto" w:fill="auto"/>
            <w:noWrap/>
            <w:vAlign w:val="bottom"/>
            <w:hideMark/>
          </w:tcPr>
          <w:p w:rsidR="00974489" w:rsidRPr="00DE2F86" w:rsidRDefault="00974489" w:rsidP="00DE2F86">
            <w:pPr>
              <w:spacing w:after="0"/>
              <w:jc w:val="right"/>
              <w:rPr>
                <w:rFonts w:eastAsia="Times New Roman"/>
                <w:sz w:val="18"/>
                <w:szCs w:val="16"/>
                <w:lang w:val="en-US"/>
              </w:rPr>
            </w:pPr>
            <w:r w:rsidRPr="00DE2F86">
              <w:rPr>
                <w:rFonts w:eastAsia="Times New Roman"/>
                <w:sz w:val="18"/>
                <w:szCs w:val="16"/>
                <w:lang w:val="en-US"/>
              </w:rPr>
              <w:t xml:space="preserve"> 168 </w:t>
            </w:r>
          </w:p>
        </w:tc>
        <w:tc>
          <w:tcPr>
            <w:tcW w:w="453" w:type="pct"/>
            <w:shd w:val="clear" w:color="auto" w:fill="auto"/>
            <w:noWrap/>
            <w:vAlign w:val="bottom"/>
            <w:hideMark/>
          </w:tcPr>
          <w:p w:rsidR="00974489" w:rsidRPr="00DE2F86" w:rsidRDefault="00974489" w:rsidP="00DE2F86">
            <w:pPr>
              <w:spacing w:after="0"/>
              <w:jc w:val="right"/>
              <w:rPr>
                <w:rFonts w:eastAsia="Times New Roman"/>
                <w:b/>
                <w:bCs/>
                <w:color w:val="000000"/>
                <w:sz w:val="18"/>
                <w:szCs w:val="16"/>
                <w:lang w:val="en-US"/>
              </w:rPr>
            </w:pPr>
            <w:r w:rsidRPr="00DE2F86">
              <w:rPr>
                <w:rFonts w:eastAsia="Times New Roman"/>
                <w:b/>
                <w:bCs/>
                <w:color w:val="000000"/>
                <w:sz w:val="18"/>
                <w:szCs w:val="16"/>
                <w:lang w:val="en-US"/>
              </w:rPr>
              <w:t xml:space="preserve"> 487 </w:t>
            </w:r>
          </w:p>
        </w:tc>
      </w:tr>
    </w:tbl>
    <w:p w:rsidR="00974489" w:rsidRPr="003871AF" w:rsidRDefault="00974489" w:rsidP="00974489">
      <w:pPr>
        <w:pStyle w:val="AHPRAbodybold"/>
        <w:rPr>
          <w:b w:val="0"/>
          <w:sz w:val="16"/>
          <w:szCs w:val="16"/>
        </w:rPr>
      </w:pPr>
    </w:p>
    <w:p w:rsidR="00DE2F86" w:rsidRDefault="00DE2F86" w:rsidP="00DE2F86">
      <w:pPr>
        <w:pStyle w:val="Caption"/>
      </w:pPr>
      <w:bookmarkStart w:id="27" w:name="_Toc453007263"/>
      <w:r>
        <w:t>Table PSY</w:t>
      </w:r>
      <w:r w:rsidR="003A7386">
        <w:fldChar w:fldCharType="begin"/>
      </w:r>
      <w:r w:rsidR="003A7386">
        <w:instrText xml:space="preserve"> SEQ Table \* ARABIC </w:instrText>
      </w:r>
      <w:r w:rsidR="003A7386">
        <w:fldChar w:fldCharType="separate"/>
      </w:r>
      <w:r w:rsidR="00A57A1D">
        <w:rPr>
          <w:noProof/>
        </w:rPr>
        <w:t>4</w:t>
      </w:r>
      <w:r w:rsidR="003A7386">
        <w:rPr>
          <w:noProof/>
        </w:rPr>
        <w:fldChar w:fldCharType="end"/>
      </w:r>
      <w:r>
        <w:t xml:space="preserve">: </w:t>
      </w:r>
      <w:r w:rsidRPr="004F721B">
        <w:t>Per cent of registrant base with notifications received, by state or territory</w:t>
      </w:r>
      <w:bookmarkEnd w:id="27"/>
    </w:p>
    <w:tbl>
      <w:tblPr>
        <w:tblW w:w="5000" w:type="pct"/>
        <w:tblLook w:val="04A0" w:firstRow="1" w:lastRow="0" w:firstColumn="1" w:lastColumn="0" w:noHBand="0" w:noVBand="1"/>
      </w:tblPr>
      <w:tblGrid>
        <w:gridCol w:w="1576"/>
        <w:gridCol w:w="757"/>
        <w:gridCol w:w="757"/>
        <w:gridCol w:w="757"/>
        <w:gridCol w:w="757"/>
        <w:gridCol w:w="757"/>
        <w:gridCol w:w="758"/>
        <w:gridCol w:w="758"/>
        <w:gridCol w:w="936"/>
        <w:gridCol w:w="636"/>
        <w:gridCol w:w="793"/>
      </w:tblGrid>
      <w:tr w:rsidR="00974489" w:rsidRPr="00DE2F86" w:rsidTr="00DE2F86">
        <w:trPr>
          <w:trHeight w:val="250"/>
          <w:tblHeader/>
        </w:trPr>
        <w:tc>
          <w:tcPr>
            <w:tcW w:w="8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74489" w:rsidRPr="00DE2F86" w:rsidRDefault="00974489" w:rsidP="00DE2F86">
            <w:pPr>
              <w:spacing w:after="0"/>
              <w:jc w:val="right"/>
              <w:rPr>
                <w:rFonts w:eastAsia="Times New Roman"/>
                <w:b/>
                <w:bCs/>
                <w:sz w:val="18"/>
                <w:szCs w:val="16"/>
                <w:lang w:val="en-US"/>
              </w:rPr>
            </w:pPr>
            <w:r w:rsidRPr="00DE2F86">
              <w:rPr>
                <w:rFonts w:eastAsia="Times New Roman"/>
                <w:b/>
                <w:bCs/>
                <w:sz w:val="18"/>
                <w:szCs w:val="16"/>
                <w:lang w:val="en-US"/>
              </w:rPr>
              <w:t xml:space="preserve"> Psychologist </w:t>
            </w:r>
          </w:p>
        </w:tc>
        <w:tc>
          <w:tcPr>
            <w:tcW w:w="411" w:type="pct"/>
            <w:tcBorders>
              <w:top w:val="single" w:sz="4" w:space="0" w:color="auto"/>
              <w:left w:val="nil"/>
              <w:bottom w:val="single" w:sz="4" w:space="0" w:color="auto"/>
              <w:right w:val="single" w:sz="4" w:space="0" w:color="auto"/>
            </w:tcBorders>
            <w:shd w:val="clear" w:color="DDEBF7" w:fill="DDEBF7"/>
            <w:vAlign w:val="bottom"/>
            <w:hideMark/>
          </w:tcPr>
          <w:p w:rsidR="00974489" w:rsidRPr="00DE2F86" w:rsidRDefault="00974489" w:rsidP="00DE2F86">
            <w:pPr>
              <w:spacing w:after="0"/>
              <w:jc w:val="center"/>
              <w:rPr>
                <w:rFonts w:eastAsia="Times New Roman"/>
                <w:b/>
                <w:bCs/>
                <w:sz w:val="18"/>
                <w:szCs w:val="16"/>
                <w:lang w:val="en-US"/>
              </w:rPr>
            </w:pPr>
            <w:r w:rsidRPr="00DE2F86">
              <w:rPr>
                <w:rFonts w:eastAsia="Times New Roman"/>
                <w:b/>
                <w:bCs/>
                <w:sz w:val="18"/>
                <w:szCs w:val="16"/>
                <w:lang w:val="en-US"/>
              </w:rPr>
              <w:t xml:space="preserve"> ACT </w:t>
            </w:r>
          </w:p>
        </w:tc>
        <w:tc>
          <w:tcPr>
            <w:tcW w:w="411" w:type="pct"/>
            <w:tcBorders>
              <w:top w:val="single" w:sz="4" w:space="0" w:color="auto"/>
              <w:left w:val="nil"/>
              <w:bottom w:val="single" w:sz="4" w:space="0" w:color="auto"/>
              <w:right w:val="single" w:sz="4" w:space="0" w:color="auto"/>
            </w:tcBorders>
            <w:shd w:val="clear" w:color="DDEBF7" w:fill="DDEBF7"/>
            <w:vAlign w:val="bottom"/>
            <w:hideMark/>
          </w:tcPr>
          <w:p w:rsidR="00974489" w:rsidRPr="00DE2F86" w:rsidRDefault="00974489" w:rsidP="00DE2F86">
            <w:pPr>
              <w:spacing w:after="0"/>
              <w:jc w:val="center"/>
              <w:rPr>
                <w:rFonts w:eastAsia="Times New Roman"/>
                <w:b/>
                <w:bCs/>
                <w:sz w:val="18"/>
                <w:szCs w:val="16"/>
                <w:lang w:val="en-US"/>
              </w:rPr>
            </w:pPr>
            <w:r w:rsidRPr="00DE2F86">
              <w:rPr>
                <w:rFonts w:eastAsia="Times New Roman"/>
                <w:b/>
                <w:bCs/>
                <w:sz w:val="18"/>
                <w:szCs w:val="16"/>
                <w:lang w:val="en-US"/>
              </w:rPr>
              <w:t xml:space="preserve"> NT </w:t>
            </w:r>
          </w:p>
        </w:tc>
        <w:tc>
          <w:tcPr>
            <w:tcW w:w="411" w:type="pct"/>
            <w:tcBorders>
              <w:top w:val="single" w:sz="4" w:space="0" w:color="auto"/>
              <w:left w:val="nil"/>
              <w:bottom w:val="single" w:sz="4" w:space="0" w:color="auto"/>
              <w:right w:val="single" w:sz="4" w:space="0" w:color="auto"/>
            </w:tcBorders>
            <w:shd w:val="clear" w:color="DDEBF7" w:fill="DDEBF7"/>
            <w:vAlign w:val="bottom"/>
            <w:hideMark/>
          </w:tcPr>
          <w:p w:rsidR="00974489" w:rsidRPr="00DE2F86" w:rsidRDefault="00974489" w:rsidP="00DE2F86">
            <w:pPr>
              <w:spacing w:after="0"/>
              <w:jc w:val="center"/>
              <w:rPr>
                <w:rFonts w:eastAsia="Times New Roman"/>
                <w:b/>
                <w:bCs/>
                <w:sz w:val="18"/>
                <w:szCs w:val="16"/>
                <w:lang w:val="en-US"/>
              </w:rPr>
            </w:pPr>
            <w:r w:rsidRPr="00DE2F86">
              <w:rPr>
                <w:rFonts w:eastAsia="Times New Roman"/>
                <w:b/>
                <w:bCs/>
                <w:sz w:val="18"/>
                <w:szCs w:val="16"/>
                <w:lang w:val="en-US"/>
              </w:rPr>
              <w:t xml:space="preserve"> QLD </w:t>
            </w:r>
          </w:p>
        </w:tc>
        <w:tc>
          <w:tcPr>
            <w:tcW w:w="411" w:type="pct"/>
            <w:tcBorders>
              <w:top w:val="single" w:sz="4" w:space="0" w:color="auto"/>
              <w:left w:val="nil"/>
              <w:bottom w:val="single" w:sz="4" w:space="0" w:color="auto"/>
              <w:right w:val="single" w:sz="4" w:space="0" w:color="auto"/>
            </w:tcBorders>
            <w:shd w:val="clear" w:color="DDEBF7" w:fill="DDEBF7"/>
            <w:vAlign w:val="bottom"/>
            <w:hideMark/>
          </w:tcPr>
          <w:p w:rsidR="00974489" w:rsidRPr="00DE2F86" w:rsidRDefault="00974489" w:rsidP="00DE2F86">
            <w:pPr>
              <w:spacing w:after="0"/>
              <w:jc w:val="center"/>
              <w:rPr>
                <w:rFonts w:eastAsia="Times New Roman"/>
                <w:b/>
                <w:bCs/>
                <w:sz w:val="18"/>
                <w:szCs w:val="16"/>
                <w:lang w:val="en-US"/>
              </w:rPr>
            </w:pPr>
            <w:r w:rsidRPr="00DE2F86">
              <w:rPr>
                <w:rFonts w:eastAsia="Times New Roman"/>
                <w:b/>
                <w:bCs/>
                <w:sz w:val="18"/>
                <w:szCs w:val="16"/>
                <w:lang w:val="en-US"/>
              </w:rPr>
              <w:t xml:space="preserve"> SA </w:t>
            </w:r>
          </w:p>
        </w:tc>
        <w:tc>
          <w:tcPr>
            <w:tcW w:w="411" w:type="pct"/>
            <w:tcBorders>
              <w:top w:val="single" w:sz="4" w:space="0" w:color="auto"/>
              <w:left w:val="nil"/>
              <w:bottom w:val="single" w:sz="4" w:space="0" w:color="auto"/>
              <w:right w:val="single" w:sz="4" w:space="0" w:color="auto"/>
            </w:tcBorders>
            <w:shd w:val="clear" w:color="DDEBF7" w:fill="DDEBF7"/>
            <w:vAlign w:val="bottom"/>
            <w:hideMark/>
          </w:tcPr>
          <w:p w:rsidR="00974489" w:rsidRPr="00DE2F86" w:rsidRDefault="00974489" w:rsidP="00DE2F86">
            <w:pPr>
              <w:spacing w:after="0"/>
              <w:jc w:val="center"/>
              <w:rPr>
                <w:rFonts w:eastAsia="Times New Roman"/>
                <w:b/>
                <w:bCs/>
                <w:sz w:val="18"/>
                <w:szCs w:val="16"/>
                <w:lang w:val="en-US"/>
              </w:rPr>
            </w:pPr>
            <w:r w:rsidRPr="00DE2F86">
              <w:rPr>
                <w:rFonts w:eastAsia="Times New Roman"/>
                <w:b/>
                <w:bCs/>
                <w:sz w:val="18"/>
                <w:szCs w:val="16"/>
                <w:lang w:val="en-US"/>
              </w:rPr>
              <w:t xml:space="preserve"> TAS </w:t>
            </w:r>
          </w:p>
        </w:tc>
        <w:tc>
          <w:tcPr>
            <w:tcW w:w="411" w:type="pct"/>
            <w:tcBorders>
              <w:top w:val="single" w:sz="4" w:space="0" w:color="auto"/>
              <w:left w:val="nil"/>
              <w:bottom w:val="single" w:sz="4" w:space="0" w:color="auto"/>
              <w:right w:val="single" w:sz="4" w:space="0" w:color="auto"/>
            </w:tcBorders>
            <w:shd w:val="clear" w:color="DDEBF7" w:fill="DDEBF7"/>
            <w:vAlign w:val="bottom"/>
            <w:hideMark/>
          </w:tcPr>
          <w:p w:rsidR="00974489" w:rsidRPr="00DE2F86" w:rsidRDefault="00974489" w:rsidP="00DE2F86">
            <w:pPr>
              <w:spacing w:after="0"/>
              <w:jc w:val="center"/>
              <w:rPr>
                <w:rFonts w:eastAsia="Times New Roman"/>
                <w:b/>
                <w:bCs/>
                <w:sz w:val="18"/>
                <w:szCs w:val="16"/>
                <w:lang w:val="en-US"/>
              </w:rPr>
            </w:pPr>
            <w:r w:rsidRPr="00DE2F86">
              <w:rPr>
                <w:rFonts w:eastAsia="Times New Roman"/>
                <w:b/>
                <w:bCs/>
                <w:sz w:val="18"/>
                <w:szCs w:val="16"/>
                <w:lang w:val="en-US"/>
              </w:rPr>
              <w:t xml:space="preserve"> VIC </w:t>
            </w:r>
          </w:p>
        </w:tc>
        <w:tc>
          <w:tcPr>
            <w:tcW w:w="411" w:type="pct"/>
            <w:tcBorders>
              <w:top w:val="single" w:sz="4" w:space="0" w:color="auto"/>
              <w:left w:val="nil"/>
              <w:bottom w:val="single" w:sz="4" w:space="0" w:color="auto"/>
              <w:right w:val="single" w:sz="4" w:space="0" w:color="auto"/>
            </w:tcBorders>
            <w:shd w:val="clear" w:color="DDEBF7" w:fill="DDEBF7"/>
            <w:vAlign w:val="bottom"/>
            <w:hideMark/>
          </w:tcPr>
          <w:p w:rsidR="00974489" w:rsidRPr="00DE2F86" w:rsidRDefault="00974489" w:rsidP="00DE2F86">
            <w:pPr>
              <w:spacing w:after="0"/>
              <w:jc w:val="center"/>
              <w:rPr>
                <w:rFonts w:eastAsia="Times New Roman"/>
                <w:b/>
                <w:bCs/>
                <w:sz w:val="18"/>
                <w:szCs w:val="16"/>
                <w:lang w:val="en-US"/>
              </w:rPr>
            </w:pPr>
            <w:r w:rsidRPr="00DE2F86">
              <w:rPr>
                <w:rFonts w:eastAsia="Times New Roman"/>
                <w:b/>
                <w:bCs/>
                <w:sz w:val="18"/>
                <w:szCs w:val="16"/>
                <w:lang w:val="en-US"/>
              </w:rPr>
              <w:t xml:space="preserve"> WA </w:t>
            </w:r>
          </w:p>
        </w:tc>
        <w:tc>
          <w:tcPr>
            <w:tcW w:w="498" w:type="pct"/>
            <w:tcBorders>
              <w:top w:val="single" w:sz="4" w:space="0" w:color="auto"/>
              <w:left w:val="nil"/>
              <w:bottom w:val="single" w:sz="4" w:space="0" w:color="auto"/>
              <w:right w:val="single" w:sz="4" w:space="0" w:color="auto"/>
            </w:tcBorders>
            <w:shd w:val="clear" w:color="000000" w:fill="DDEBF7"/>
            <w:vAlign w:val="bottom"/>
            <w:hideMark/>
          </w:tcPr>
          <w:p w:rsidR="00974489" w:rsidRPr="00DE2F86" w:rsidRDefault="00974489" w:rsidP="00DE2F86">
            <w:pPr>
              <w:spacing w:after="0"/>
              <w:jc w:val="center"/>
              <w:rPr>
                <w:rFonts w:eastAsia="Times New Roman"/>
                <w:b/>
                <w:bCs/>
                <w:color w:val="000000"/>
                <w:sz w:val="18"/>
                <w:szCs w:val="16"/>
                <w:lang w:val="en-US"/>
              </w:rPr>
            </w:pPr>
            <w:r w:rsidRPr="00DE2F86">
              <w:rPr>
                <w:rFonts w:eastAsia="Times New Roman"/>
                <w:b/>
                <w:bCs/>
                <w:color w:val="000000"/>
                <w:sz w:val="18"/>
                <w:szCs w:val="16"/>
                <w:lang w:val="en-US"/>
              </w:rPr>
              <w:t xml:space="preserve">Subtotal </w:t>
            </w:r>
          </w:p>
        </w:tc>
        <w:tc>
          <w:tcPr>
            <w:tcW w:w="340" w:type="pct"/>
            <w:tcBorders>
              <w:top w:val="single" w:sz="4" w:space="0" w:color="auto"/>
              <w:left w:val="nil"/>
              <w:bottom w:val="single" w:sz="4" w:space="0" w:color="auto"/>
              <w:right w:val="single" w:sz="4" w:space="0" w:color="auto"/>
            </w:tcBorders>
            <w:shd w:val="clear" w:color="000000" w:fill="DDEBF7"/>
            <w:vAlign w:val="bottom"/>
            <w:hideMark/>
          </w:tcPr>
          <w:p w:rsidR="00974489" w:rsidRPr="00DE2F86" w:rsidRDefault="00974489" w:rsidP="00DE2F86">
            <w:pPr>
              <w:spacing w:after="0"/>
              <w:jc w:val="center"/>
              <w:rPr>
                <w:rFonts w:eastAsia="Times New Roman"/>
                <w:b/>
                <w:bCs/>
                <w:color w:val="000000"/>
                <w:sz w:val="18"/>
                <w:szCs w:val="16"/>
                <w:lang w:val="en-US"/>
              </w:rPr>
            </w:pPr>
            <w:r w:rsidRPr="00DE2F86">
              <w:rPr>
                <w:rFonts w:eastAsia="Times New Roman"/>
                <w:b/>
                <w:bCs/>
                <w:color w:val="000000"/>
                <w:sz w:val="18"/>
                <w:szCs w:val="16"/>
                <w:lang w:val="en-US"/>
              </w:rPr>
              <w:t>NSW</w:t>
            </w:r>
          </w:p>
        </w:tc>
        <w:tc>
          <w:tcPr>
            <w:tcW w:w="430" w:type="pct"/>
            <w:tcBorders>
              <w:top w:val="single" w:sz="4" w:space="0" w:color="auto"/>
              <w:left w:val="nil"/>
              <w:bottom w:val="single" w:sz="4" w:space="0" w:color="auto"/>
              <w:right w:val="single" w:sz="4" w:space="0" w:color="auto"/>
            </w:tcBorders>
            <w:shd w:val="clear" w:color="000000" w:fill="DDEBF7"/>
            <w:vAlign w:val="bottom"/>
            <w:hideMark/>
          </w:tcPr>
          <w:p w:rsidR="00974489" w:rsidRPr="00DE2F86" w:rsidRDefault="00974489" w:rsidP="00DE2F86">
            <w:pPr>
              <w:spacing w:after="0"/>
              <w:jc w:val="center"/>
              <w:rPr>
                <w:rFonts w:eastAsia="Times New Roman"/>
                <w:b/>
                <w:bCs/>
                <w:color w:val="000000"/>
                <w:sz w:val="18"/>
                <w:szCs w:val="16"/>
                <w:lang w:val="en-US"/>
              </w:rPr>
            </w:pPr>
            <w:r w:rsidRPr="00DE2F86">
              <w:rPr>
                <w:rFonts w:eastAsia="Times New Roman"/>
                <w:b/>
                <w:bCs/>
                <w:color w:val="000000"/>
                <w:sz w:val="18"/>
                <w:szCs w:val="16"/>
                <w:lang w:val="en-US"/>
              </w:rPr>
              <w:t>Total</w:t>
            </w:r>
          </w:p>
        </w:tc>
      </w:tr>
      <w:tr w:rsidR="00974489" w:rsidRPr="00DE2F86" w:rsidTr="00DE2F86">
        <w:trPr>
          <w:trHeight w:val="250"/>
        </w:trPr>
        <w:tc>
          <w:tcPr>
            <w:tcW w:w="854" w:type="pct"/>
            <w:tcBorders>
              <w:top w:val="nil"/>
              <w:left w:val="single" w:sz="4" w:space="0" w:color="auto"/>
              <w:bottom w:val="single" w:sz="4" w:space="0" w:color="auto"/>
              <w:right w:val="single" w:sz="4" w:space="0" w:color="auto"/>
            </w:tcBorders>
            <w:shd w:val="clear" w:color="auto" w:fill="auto"/>
            <w:noWrap/>
            <w:vAlign w:val="bottom"/>
            <w:hideMark/>
          </w:tcPr>
          <w:p w:rsidR="00974489" w:rsidRPr="00DE2F86" w:rsidRDefault="00974489" w:rsidP="00DE2F86">
            <w:pPr>
              <w:spacing w:after="0"/>
              <w:rPr>
                <w:rFonts w:eastAsia="Times New Roman"/>
                <w:color w:val="000000"/>
                <w:sz w:val="18"/>
                <w:szCs w:val="16"/>
                <w:lang w:val="en-US"/>
              </w:rPr>
            </w:pPr>
            <w:r w:rsidRPr="00DE2F86">
              <w:rPr>
                <w:rFonts w:eastAsia="Times New Roman"/>
                <w:color w:val="000000"/>
                <w:sz w:val="18"/>
                <w:szCs w:val="16"/>
                <w:lang w:val="en-US"/>
              </w:rPr>
              <w:t>2014/15</w:t>
            </w:r>
          </w:p>
        </w:tc>
        <w:tc>
          <w:tcPr>
            <w:tcW w:w="411" w:type="pct"/>
            <w:tcBorders>
              <w:top w:val="nil"/>
              <w:left w:val="nil"/>
              <w:bottom w:val="single" w:sz="4" w:space="0" w:color="auto"/>
              <w:right w:val="single" w:sz="4" w:space="0" w:color="auto"/>
            </w:tcBorders>
            <w:shd w:val="clear" w:color="auto" w:fill="auto"/>
            <w:noWrap/>
            <w:vAlign w:val="bottom"/>
            <w:hideMark/>
          </w:tcPr>
          <w:p w:rsidR="00974489" w:rsidRPr="00DE2F86" w:rsidRDefault="00974489" w:rsidP="00DE2F86">
            <w:pPr>
              <w:spacing w:after="0"/>
              <w:jc w:val="center"/>
              <w:rPr>
                <w:rFonts w:eastAsia="Times New Roman"/>
                <w:color w:val="000000"/>
                <w:sz w:val="18"/>
                <w:szCs w:val="16"/>
                <w:lang w:val="en-US"/>
              </w:rPr>
            </w:pPr>
            <w:r w:rsidRPr="00DE2F86">
              <w:rPr>
                <w:rFonts w:eastAsia="Times New Roman"/>
                <w:color w:val="000000"/>
                <w:sz w:val="18"/>
                <w:szCs w:val="16"/>
                <w:lang w:val="en-US"/>
              </w:rPr>
              <w:t>1.6%</w:t>
            </w:r>
          </w:p>
        </w:tc>
        <w:tc>
          <w:tcPr>
            <w:tcW w:w="411" w:type="pct"/>
            <w:tcBorders>
              <w:top w:val="nil"/>
              <w:left w:val="nil"/>
              <w:bottom w:val="single" w:sz="4" w:space="0" w:color="auto"/>
              <w:right w:val="single" w:sz="4" w:space="0" w:color="auto"/>
            </w:tcBorders>
            <w:shd w:val="clear" w:color="auto" w:fill="auto"/>
            <w:noWrap/>
            <w:vAlign w:val="bottom"/>
            <w:hideMark/>
          </w:tcPr>
          <w:p w:rsidR="00974489" w:rsidRPr="00DE2F86" w:rsidRDefault="00974489" w:rsidP="00DE2F86">
            <w:pPr>
              <w:spacing w:after="0"/>
              <w:jc w:val="center"/>
              <w:rPr>
                <w:rFonts w:eastAsia="Times New Roman"/>
                <w:color w:val="000000"/>
                <w:sz w:val="18"/>
                <w:szCs w:val="16"/>
                <w:lang w:val="en-US"/>
              </w:rPr>
            </w:pPr>
            <w:r w:rsidRPr="00DE2F86">
              <w:rPr>
                <w:rFonts w:eastAsia="Times New Roman"/>
                <w:color w:val="000000"/>
                <w:sz w:val="18"/>
                <w:szCs w:val="16"/>
                <w:lang w:val="en-US"/>
              </w:rPr>
              <w:t>3.1%</w:t>
            </w:r>
          </w:p>
        </w:tc>
        <w:tc>
          <w:tcPr>
            <w:tcW w:w="411" w:type="pct"/>
            <w:tcBorders>
              <w:top w:val="nil"/>
              <w:left w:val="nil"/>
              <w:bottom w:val="single" w:sz="4" w:space="0" w:color="auto"/>
              <w:right w:val="single" w:sz="4" w:space="0" w:color="auto"/>
            </w:tcBorders>
            <w:shd w:val="clear" w:color="auto" w:fill="auto"/>
            <w:noWrap/>
            <w:vAlign w:val="bottom"/>
            <w:hideMark/>
          </w:tcPr>
          <w:p w:rsidR="00974489" w:rsidRPr="00DE2F86" w:rsidRDefault="00974489" w:rsidP="00DE2F86">
            <w:pPr>
              <w:spacing w:after="0"/>
              <w:jc w:val="center"/>
              <w:rPr>
                <w:rFonts w:eastAsia="Times New Roman"/>
                <w:color w:val="000000"/>
                <w:sz w:val="18"/>
                <w:szCs w:val="16"/>
                <w:lang w:val="en-US"/>
              </w:rPr>
            </w:pPr>
            <w:r w:rsidRPr="00DE2F86">
              <w:rPr>
                <w:rFonts w:eastAsia="Times New Roman"/>
                <w:color w:val="000000"/>
                <w:sz w:val="18"/>
                <w:szCs w:val="16"/>
                <w:lang w:val="en-US"/>
              </w:rPr>
              <w:t>0.4%</w:t>
            </w:r>
          </w:p>
        </w:tc>
        <w:tc>
          <w:tcPr>
            <w:tcW w:w="411" w:type="pct"/>
            <w:tcBorders>
              <w:top w:val="nil"/>
              <w:left w:val="nil"/>
              <w:bottom w:val="single" w:sz="4" w:space="0" w:color="auto"/>
              <w:right w:val="single" w:sz="4" w:space="0" w:color="auto"/>
            </w:tcBorders>
            <w:shd w:val="clear" w:color="auto" w:fill="auto"/>
            <w:noWrap/>
            <w:vAlign w:val="bottom"/>
            <w:hideMark/>
          </w:tcPr>
          <w:p w:rsidR="00974489" w:rsidRPr="00DE2F86" w:rsidRDefault="00974489" w:rsidP="00DE2F86">
            <w:pPr>
              <w:spacing w:after="0"/>
              <w:jc w:val="center"/>
              <w:rPr>
                <w:rFonts w:eastAsia="Times New Roman"/>
                <w:color w:val="000000"/>
                <w:sz w:val="18"/>
                <w:szCs w:val="16"/>
                <w:lang w:val="en-US"/>
              </w:rPr>
            </w:pPr>
            <w:r w:rsidRPr="00DE2F86">
              <w:rPr>
                <w:rFonts w:eastAsia="Times New Roman"/>
                <w:color w:val="000000"/>
                <w:sz w:val="18"/>
                <w:szCs w:val="16"/>
                <w:lang w:val="en-US"/>
              </w:rPr>
              <w:t>2.0%</w:t>
            </w:r>
          </w:p>
        </w:tc>
        <w:tc>
          <w:tcPr>
            <w:tcW w:w="411" w:type="pct"/>
            <w:tcBorders>
              <w:top w:val="nil"/>
              <w:left w:val="nil"/>
              <w:bottom w:val="single" w:sz="4" w:space="0" w:color="auto"/>
              <w:right w:val="single" w:sz="4" w:space="0" w:color="auto"/>
            </w:tcBorders>
            <w:shd w:val="clear" w:color="auto" w:fill="auto"/>
            <w:noWrap/>
            <w:vAlign w:val="bottom"/>
            <w:hideMark/>
          </w:tcPr>
          <w:p w:rsidR="00974489" w:rsidRPr="00DE2F86" w:rsidRDefault="00974489" w:rsidP="00DE2F86">
            <w:pPr>
              <w:spacing w:after="0"/>
              <w:jc w:val="center"/>
              <w:rPr>
                <w:rFonts w:eastAsia="Times New Roman"/>
                <w:color w:val="000000"/>
                <w:sz w:val="18"/>
                <w:szCs w:val="16"/>
                <w:lang w:val="en-US"/>
              </w:rPr>
            </w:pPr>
            <w:r w:rsidRPr="00DE2F86">
              <w:rPr>
                <w:rFonts w:eastAsia="Times New Roman"/>
                <w:color w:val="000000"/>
                <w:sz w:val="18"/>
                <w:szCs w:val="16"/>
                <w:lang w:val="en-US"/>
              </w:rPr>
              <w:t>1.8%</w:t>
            </w:r>
          </w:p>
        </w:tc>
        <w:tc>
          <w:tcPr>
            <w:tcW w:w="411" w:type="pct"/>
            <w:tcBorders>
              <w:top w:val="nil"/>
              <w:left w:val="nil"/>
              <w:bottom w:val="single" w:sz="4" w:space="0" w:color="auto"/>
              <w:right w:val="single" w:sz="4" w:space="0" w:color="auto"/>
            </w:tcBorders>
            <w:shd w:val="clear" w:color="auto" w:fill="auto"/>
            <w:noWrap/>
            <w:vAlign w:val="bottom"/>
            <w:hideMark/>
          </w:tcPr>
          <w:p w:rsidR="00974489" w:rsidRPr="00DE2F86" w:rsidRDefault="00974489" w:rsidP="00DE2F86">
            <w:pPr>
              <w:spacing w:after="0"/>
              <w:jc w:val="center"/>
              <w:rPr>
                <w:rFonts w:eastAsia="Times New Roman"/>
                <w:color w:val="000000"/>
                <w:sz w:val="18"/>
                <w:szCs w:val="16"/>
                <w:lang w:val="en-US"/>
              </w:rPr>
            </w:pPr>
            <w:r w:rsidRPr="00DE2F86">
              <w:rPr>
                <w:rFonts w:eastAsia="Times New Roman"/>
                <w:color w:val="000000"/>
                <w:sz w:val="18"/>
                <w:szCs w:val="16"/>
                <w:lang w:val="en-US"/>
              </w:rPr>
              <w:t>1.6%</w:t>
            </w:r>
          </w:p>
        </w:tc>
        <w:tc>
          <w:tcPr>
            <w:tcW w:w="411" w:type="pct"/>
            <w:tcBorders>
              <w:top w:val="nil"/>
              <w:left w:val="nil"/>
              <w:bottom w:val="single" w:sz="4" w:space="0" w:color="auto"/>
              <w:right w:val="single" w:sz="4" w:space="0" w:color="auto"/>
            </w:tcBorders>
            <w:shd w:val="clear" w:color="auto" w:fill="auto"/>
            <w:noWrap/>
            <w:vAlign w:val="bottom"/>
            <w:hideMark/>
          </w:tcPr>
          <w:p w:rsidR="00974489" w:rsidRPr="00DE2F86" w:rsidRDefault="00974489" w:rsidP="00DE2F86">
            <w:pPr>
              <w:spacing w:after="0"/>
              <w:jc w:val="center"/>
              <w:rPr>
                <w:rFonts w:eastAsia="Times New Roman"/>
                <w:color w:val="000000"/>
                <w:sz w:val="18"/>
                <w:szCs w:val="16"/>
                <w:lang w:val="en-US"/>
              </w:rPr>
            </w:pPr>
            <w:r w:rsidRPr="00DE2F86">
              <w:rPr>
                <w:rFonts w:eastAsia="Times New Roman"/>
                <w:color w:val="000000"/>
                <w:sz w:val="18"/>
                <w:szCs w:val="16"/>
                <w:lang w:val="en-US"/>
              </w:rPr>
              <w:t>1.4%</w:t>
            </w:r>
          </w:p>
        </w:tc>
        <w:tc>
          <w:tcPr>
            <w:tcW w:w="498" w:type="pct"/>
            <w:tcBorders>
              <w:top w:val="nil"/>
              <w:left w:val="nil"/>
              <w:bottom w:val="single" w:sz="4" w:space="0" w:color="auto"/>
              <w:right w:val="single" w:sz="4" w:space="0" w:color="auto"/>
            </w:tcBorders>
            <w:shd w:val="clear" w:color="auto" w:fill="auto"/>
            <w:noWrap/>
            <w:vAlign w:val="bottom"/>
            <w:hideMark/>
          </w:tcPr>
          <w:p w:rsidR="00974489" w:rsidRPr="00DE2F86" w:rsidRDefault="00974489" w:rsidP="00DE2F86">
            <w:pPr>
              <w:spacing w:after="0"/>
              <w:jc w:val="center"/>
              <w:rPr>
                <w:rFonts w:eastAsia="Times New Roman"/>
                <w:b/>
                <w:bCs/>
                <w:color w:val="000000"/>
                <w:sz w:val="18"/>
                <w:szCs w:val="16"/>
                <w:lang w:val="en-US"/>
              </w:rPr>
            </w:pPr>
            <w:r w:rsidRPr="00DE2F86">
              <w:rPr>
                <w:rFonts w:eastAsia="Times New Roman"/>
                <w:b/>
                <w:bCs/>
                <w:color w:val="000000"/>
                <w:sz w:val="18"/>
                <w:szCs w:val="16"/>
                <w:lang w:val="en-US"/>
              </w:rPr>
              <w:t>1.3%</w:t>
            </w:r>
          </w:p>
        </w:tc>
        <w:tc>
          <w:tcPr>
            <w:tcW w:w="340" w:type="pct"/>
            <w:tcBorders>
              <w:top w:val="nil"/>
              <w:left w:val="nil"/>
              <w:bottom w:val="single" w:sz="4" w:space="0" w:color="auto"/>
              <w:right w:val="single" w:sz="4" w:space="0" w:color="auto"/>
            </w:tcBorders>
            <w:shd w:val="clear" w:color="auto" w:fill="auto"/>
            <w:noWrap/>
            <w:vAlign w:val="bottom"/>
            <w:hideMark/>
          </w:tcPr>
          <w:p w:rsidR="00974489" w:rsidRPr="00DE2F86" w:rsidRDefault="00974489" w:rsidP="00DE2F86">
            <w:pPr>
              <w:spacing w:after="0"/>
              <w:jc w:val="center"/>
              <w:rPr>
                <w:rFonts w:eastAsia="Times New Roman"/>
                <w:color w:val="000000"/>
                <w:sz w:val="18"/>
                <w:szCs w:val="16"/>
                <w:lang w:val="en-US"/>
              </w:rPr>
            </w:pPr>
            <w:r w:rsidRPr="00DE2F86">
              <w:rPr>
                <w:rFonts w:eastAsia="Times New Roman"/>
                <w:color w:val="000000"/>
                <w:sz w:val="18"/>
                <w:szCs w:val="16"/>
                <w:lang w:val="en-US"/>
              </w:rPr>
              <w:t>1.4%</w:t>
            </w:r>
          </w:p>
        </w:tc>
        <w:tc>
          <w:tcPr>
            <w:tcW w:w="430" w:type="pct"/>
            <w:tcBorders>
              <w:top w:val="nil"/>
              <w:left w:val="nil"/>
              <w:bottom w:val="single" w:sz="4" w:space="0" w:color="auto"/>
              <w:right w:val="single" w:sz="4" w:space="0" w:color="auto"/>
            </w:tcBorders>
            <w:shd w:val="clear" w:color="auto" w:fill="auto"/>
            <w:noWrap/>
            <w:vAlign w:val="bottom"/>
            <w:hideMark/>
          </w:tcPr>
          <w:p w:rsidR="00974489" w:rsidRPr="00DE2F86" w:rsidRDefault="00974489" w:rsidP="00DE2F86">
            <w:pPr>
              <w:spacing w:after="0"/>
              <w:jc w:val="center"/>
              <w:rPr>
                <w:rFonts w:eastAsia="Times New Roman"/>
                <w:b/>
                <w:bCs/>
                <w:color w:val="000000"/>
                <w:sz w:val="18"/>
                <w:szCs w:val="16"/>
                <w:lang w:val="en-US"/>
              </w:rPr>
            </w:pPr>
            <w:r w:rsidRPr="00DE2F86">
              <w:rPr>
                <w:rFonts w:eastAsia="Times New Roman"/>
                <w:b/>
                <w:bCs/>
                <w:color w:val="000000"/>
                <w:sz w:val="18"/>
                <w:szCs w:val="16"/>
                <w:lang w:val="en-US"/>
              </w:rPr>
              <w:t>1.3%</w:t>
            </w:r>
          </w:p>
        </w:tc>
      </w:tr>
      <w:tr w:rsidR="00974489" w:rsidRPr="00DE2F86" w:rsidTr="00DE2F86">
        <w:trPr>
          <w:trHeight w:val="250"/>
        </w:trPr>
        <w:tc>
          <w:tcPr>
            <w:tcW w:w="854" w:type="pct"/>
            <w:tcBorders>
              <w:top w:val="nil"/>
              <w:left w:val="single" w:sz="4" w:space="0" w:color="auto"/>
              <w:bottom w:val="single" w:sz="4" w:space="0" w:color="auto"/>
              <w:right w:val="single" w:sz="4" w:space="0" w:color="auto"/>
            </w:tcBorders>
            <w:shd w:val="clear" w:color="auto" w:fill="auto"/>
            <w:vAlign w:val="bottom"/>
            <w:hideMark/>
          </w:tcPr>
          <w:p w:rsidR="00974489" w:rsidRPr="00DE2F86" w:rsidRDefault="00974489" w:rsidP="00DE2F86">
            <w:pPr>
              <w:spacing w:after="0"/>
              <w:rPr>
                <w:rFonts w:eastAsia="Times New Roman"/>
                <w:color w:val="000000"/>
                <w:sz w:val="18"/>
                <w:szCs w:val="16"/>
                <w:lang w:val="en-US"/>
              </w:rPr>
            </w:pPr>
            <w:r w:rsidRPr="00DE2F86">
              <w:rPr>
                <w:rFonts w:eastAsia="Times New Roman"/>
                <w:color w:val="000000"/>
                <w:sz w:val="18"/>
                <w:szCs w:val="16"/>
                <w:lang w:val="en-US"/>
              </w:rPr>
              <w:t>2013/14</w:t>
            </w:r>
          </w:p>
        </w:tc>
        <w:tc>
          <w:tcPr>
            <w:tcW w:w="411" w:type="pct"/>
            <w:tcBorders>
              <w:top w:val="nil"/>
              <w:left w:val="nil"/>
              <w:bottom w:val="single" w:sz="4" w:space="0" w:color="auto"/>
              <w:right w:val="single" w:sz="4" w:space="0" w:color="auto"/>
            </w:tcBorders>
            <w:shd w:val="clear" w:color="auto" w:fill="auto"/>
            <w:vAlign w:val="bottom"/>
            <w:hideMark/>
          </w:tcPr>
          <w:p w:rsidR="00974489" w:rsidRPr="00DE2F86" w:rsidRDefault="00974489" w:rsidP="00DE2F86">
            <w:pPr>
              <w:spacing w:after="0"/>
              <w:jc w:val="center"/>
              <w:rPr>
                <w:rFonts w:eastAsia="Times New Roman"/>
                <w:sz w:val="18"/>
                <w:szCs w:val="16"/>
                <w:lang w:val="en-US"/>
              </w:rPr>
            </w:pPr>
            <w:r w:rsidRPr="00DE2F86">
              <w:rPr>
                <w:rFonts w:eastAsia="Times New Roman"/>
                <w:sz w:val="18"/>
                <w:szCs w:val="16"/>
                <w:lang w:val="en-US"/>
              </w:rPr>
              <w:t>2.2%</w:t>
            </w:r>
          </w:p>
        </w:tc>
        <w:tc>
          <w:tcPr>
            <w:tcW w:w="411" w:type="pct"/>
            <w:tcBorders>
              <w:top w:val="nil"/>
              <w:left w:val="nil"/>
              <w:bottom w:val="single" w:sz="4" w:space="0" w:color="auto"/>
              <w:right w:val="single" w:sz="4" w:space="0" w:color="auto"/>
            </w:tcBorders>
            <w:shd w:val="clear" w:color="auto" w:fill="auto"/>
            <w:vAlign w:val="bottom"/>
            <w:hideMark/>
          </w:tcPr>
          <w:p w:rsidR="00974489" w:rsidRPr="00DE2F86" w:rsidRDefault="00974489" w:rsidP="00DE2F86">
            <w:pPr>
              <w:spacing w:after="0"/>
              <w:jc w:val="center"/>
              <w:rPr>
                <w:rFonts w:eastAsia="Times New Roman"/>
                <w:sz w:val="18"/>
                <w:szCs w:val="16"/>
                <w:lang w:val="en-US"/>
              </w:rPr>
            </w:pPr>
            <w:r w:rsidRPr="00DE2F86">
              <w:rPr>
                <w:rFonts w:eastAsia="Times New Roman"/>
                <w:sz w:val="18"/>
                <w:szCs w:val="16"/>
                <w:lang w:val="en-US"/>
              </w:rPr>
              <w:t>2.2%</w:t>
            </w:r>
          </w:p>
        </w:tc>
        <w:tc>
          <w:tcPr>
            <w:tcW w:w="411" w:type="pct"/>
            <w:tcBorders>
              <w:top w:val="nil"/>
              <w:left w:val="nil"/>
              <w:bottom w:val="single" w:sz="4" w:space="0" w:color="auto"/>
              <w:right w:val="single" w:sz="4" w:space="0" w:color="auto"/>
            </w:tcBorders>
            <w:shd w:val="clear" w:color="auto" w:fill="auto"/>
            <w:vAlign w:val="bottom"/>
            <w:hideMark/>
          </w:tcPr>
          <w:p w:rsidR="00974489" w:rsidRPr="00DE2F86" w:rsidRDefault="00974489" w:rsidP="00DE2F86">
            <w:pPr>
              <w:spacing w:after="0"/>
              <w:jc w:val="center"/>
              <w:rPr>
                <w:rFonts w:eastAsia="Times New Roman"/>
                <w:sz w:val="18"/>
                <w:szCs w:val="16"/>
                <w:lang w:val="en-US"/>
              </w:rPr>
            </w:pPr>
            <w:r w:rsidRPr="00DE2F86">
              <w:rPr>
                <w:rFonts w:eastAsia="Times New Roman"/>
                <w:sz w:val="18"/>
                <w:szCs w:val="16"/>
                <w:lang w:val="en-US"/>
              </w:rPr>
              <w:t>1.8%</w:t>
            </w:r>
          </w:p>
        </w:tc>
        <w:tc>
          <w:tcPr>
            <w:tcW w:w="411" w:type="pct"/>
            <w:tcBorders>
              <w:top w:val="nil"/>
              <w:left w:val="nil"/>
              <w:bottom w:val="single" w:sz="4" w:space="0" w:color="auto"/>
              <w:right w:val="single" w:sz="4" w:space="0" w:color="auto"/>
            </w:tcBorders>
            <w:shd w:val="clear" w:color="auto" w:fill="auto"/>
            <w:vAlign w:val="bottom"/>
            <w:hideMark/>
          </w:tcPr>
          <w:p w:rsidR="00974489" w:rsidRPr="00DE2F86" w:rsidRDefault="00974489" w:rsidP="00DE2F86">
            <w:pPr>
              <w:spacing w:after="0"/>
              <w:jc w:val="center"/>
              <w:rPr>
                <w:rFonts w:eastAsia="Times New Roman"/>
                <w:sz w:val="18"/>
                <w:szCs w:val="16"/>
                <w:lang w:val="en-US"/>
              </w:rPr>
            </w:pPr>
            <w:r w:rsidRPr="00DE2F86">
              <w:rPr>
                <w:rFonts w:eastAsia="Times New Roman"/>
                <w:sz w:val="18"/>
                <w:szCs w:val="16"/>
                <w:lang w:val="en-US"/>
              </w:rPr>
              <w:t>1.8%</w:t>
            </w:r>
          </w:p>
        </w:tc>
        <w:tc>
          <w:tcPr>
            <w:tcW w:w="411" w:type="pct"/>
            <w:tcBorders>
              <w:top w:val="nil"/>
              <w:left w:val="nil"/>
              <w:bottom w:val="single" w:sz="4" w:space="0" w:color="auto"/>
              <w:right w:val="single" w:sz="4" w:space="0" w:color="auto"/>
            </w:tcBorders>
            <w:shd w:val="clear" w:color="auto" w:fill="auto"/>
            <w:vAlign w:val="bottom"/>
            <w:hideMark/>
          </w:tcPr>
          <w:p w:rsidR="00974489" w:rsidRPr="00DE2F86" w:rsidRDefault="00974489" w:rsidP="00DE2F86">
            <w:pPr>
              <w:spacing w:after="0"/>
              <w:jc w:val="center"/>
              <w:rPr>
                <w:rFonts w:eastAsia="Times New Roman"/>
                <w:sz w:val="18"/>
                <w:szCs w:val="16"/>
                <w:lang w:val="en-US"/>
              </w:rPr>
            </w:pPr>
            <w:r w:rsidRPr="00DE2F86">
              <w:rPr>
                <w:rFonts w:eastAsia="Times New Roman"/>
                <w:sz w:val="18"/>
                <w:szCs w:val="16"/>
                <w:lang w:val="en-US"/>
              </w:rPr>
              <w:t>1.7%</w:t>
            </w:r>
          </w:p>
        </w:tc>
        <w:tc>
          <w:tcPr>
            <w:tcW w:w="411" w:type="pct"/>
            <w:tcBorders>
              <w:top w:val="nil"/>
              <w:left w:val="nil"/>
              <w:bottom w:val="single" w:sz="4" w:space="0" w:color="auto"/>
              <w:right w:val="single" w:sz="4" w:space="0" w:color="auto"/>
            </w:tcBorders>
            <w:shd w:val="clear" w:color="auto" w:fill="auto"/>
            <w:vAlign w:val="bottom"/>
            <w:hideMark/>
          </w:tcPr>
          <w:p w:rsidR="00974489" w:rsidRPr="00DE2F86" w:rsidRDefault="00974489" w:rsidP="00DE2F86">
            <w:pPr>
              <w:spacing w:after="0"/>
              <w:jc w:val="center"/>
              <w:rPr>
                <w:rFonts w:eastAsia="Times New Roman"/>
                <w:sz w:val="18"/>
                <w:szCs w:val="16"/>
                <w:lang w:val="en-US"/>
              </w:rPr>
            </w:pPr>
            <w:r w:rsidRPr="00DE2F86">
              <w:rPr>
                <w:rFonts w:eastAsia="Times New Roman"/>
                <w:sz w:val="18"/>
                <w:szCs w:val="16"/>
                <w:lang w:val="en-US"/>
              </w:rPr>
              <w:t>1.2%</w:t>
            </w:r>
          </w:p>
        </w:tc>
        <w:tc>
          <w:tcPr>
            <w:tcW w:w="411" w:type="pct"/>
            <w:tcBorders>
              <w:top w:val="nil"/>
              <w:left w:val="nil"/>
              <w:bottom w:val="single" w:sz="4" w:space="0" w:color="auto"/>
              <w:right w:val="single" w:sz="4" w:space="0" w:color="auto"/>
            </w:tcBorders>
            <w:shd w:val="clear" w:color="auto" w:fill="auto"/>
            <w:vAlign w:val="bottom"/>
            <w:hideMark/>
          </w:tcPr>
          <w:p w:rsidR="00974489" w:rsidRPr="00DE2F86" w:rsidRDefault="00974489" w:rsidP="00DE2F86">
            <w:pPr>
              <w:spacing w:after="0"/>
              <w:jc w:val="center"/>
              <w:rPr>
                <w:rFonts w:eastAsia="Times New Roman"/>
                <w:sz w:val="18"/>
                <w:szCs w:val="16"/>
                <w:lang w:val="en-US"/>
              </w:rPr>
            </w:pPr>
            <w:r w:rsidRPr="00DE2F86">
              <w:rPr>
                <w:rFonts w:eastAsia="Times New Roman"/>
                <w:sz w:val="18"/>
                <w:szCs w:val="16"/>
                <w:lang w:val="en-US"/>
              </w:rPr>
              <w:t>0.8%</w:t>
            </w:r>
          </w:p>
        </w:tc>
        <w:tc>
          <w:tcPr>
            <w:tcW w:w="498" w:type="pct"/>
            <w:tcBorders>
              <w:top w:val="nil"/>
              <w:left w:val="nil"/>
              <w:bottom w:val="single" w:sz="4" w:space="0" w:color="auto"/>
              <w:right w:val="single" w:sz="4" w:space="0" w:color="auto"/>
            </w:tcBorders>
            <w:shd w:val="clear" w:color="auto" w:fill="auto"/>
            <w:vAlign w:val="bottom"/>
            <w:hideMark/>
          </w:tcPr>
          <w:p w:rsidR="00974489" w:rsidRPr="00DE2F86" w:rsidRDefault="00974489" w:rsidP="00DE2F86">
            <w:pPr>
              <w:spacing w:after="0"/>
              <w:jc w:val="center"/>
              <w:rPr>
                <w:rFonts w:eastAsia="Times New Roman"/>
                <w:b/>
                <w:bCs/>
                <w:sz w:val="18"/>
                <w:szCs w:val="16"/>
                <w:lang w:val="en-US"/>
              </w:rPr>
            </w:pPr>
            <w:r w:rsidRPr="00DE2F86">
              <w:rPr>
                <w:rFonts w:eastAsia="Times New Roman"/>
                <w:b/>
                <w:bCs/>
                <w:sz w:val="18"/>
                <w:szCs w:val="16"/>
                <w:lang w:val="en-US"/>
              </w:rPr>
              <w:t>1.4%</w:t>
            </w:r>
          </w:p>
        </w:tc>
        <w:tc>
          <w:tcPr>
            <w:tcW w:w="340" w:type="pct"/>
            <w:tcBorders>
              <w:top w:val="nil"/>
              <w:left w:val="nil"/>
              <w:bottom w:val="single" w:sz="4" w:space="0" w:color="auto"/>
              <w:right w:val="single" w:sz="4" w:space="0" w:color="auto"/>
            </w:tcBorders>
            <w:shd w:val="clear" w:color="auto" w:fill="auto"/>
            <w:vAlign w:val="bottom"/>
            <w:hideMark/>
          </w:tcPr>
          <w:p w:rsidR="00974489" w:rsidRPr="00DE2F86" w:rsidRDefault="00974489" w:rsidP="00DE2F86">
            <w:pPr>
              <w:spacing w:after="0"/>
              <w:jc w:val="center"/>
              <w:rPr>
                <w:rFonts w:eastAsia="Times New Roman"/>
                <w:sz w:val="18"/>
                <w:szCs w:val="16"/>
                <w:lang w:val="en-US"/>
              </w:rPr>
            </w:pPr>
            <w:r w:rsidRPr="00DE2F86">
              <w:rPr>
                <w:rFonts w:eastAsia="Times New Roman"/>
                <w:sz w:val="18"/>
                <w:szCs w:val="16"/>
                <w:lang w:val="en-US"/>
              </w:rPr>
              <w:t>1.3%</w:t>
            </w:r>
          </w:p>
        </w:tc>
        <w:tc>
          <w:tcPr>
            <w:tcW w:w="430" w:type="pct"/>
            <w:tcBorders>
              <w:top w:val="nil"/>
              <w:left w:val="nil"/>
              <w:bottom w:val="single" w:sz="4" w:space="0" w:color="auto"/>
              <w:right w:val="single" w:sz="4" w:space="0" w:color="auto"/>
            </w:tcBorders>
            <w:shd w:val="clear" w:color="auto" w:fill="auto"/>
            <w:noWrap/>
            <w:vAlign w:val="bottom"/>
            <w:hideMark/>
          </w:tcPr>
          <w:p w:rsidR="00974489" w:rsidRPr="00DE2F86" w:rsidRDefault="00974489" w:rsidP="00DE2F86">
            <w:pPr>
              <w:spacing w:after="0"/>
              <w:jc w:val="center"/>
              <w:rPr>
                <w:rFonts w:eastAsia="Times New Roman"/>
                <w:b/>
                <w:bCs/>
                <w:color w:val="000000"/>
                <w:sz w:val="18"/>
                <w:szCs w:val="16"/>
                <w:lang w:val="en-US"/>
              </w:rPr>
            </w:pPr>
            <w:r w:rsidRPr="00DE2F86">
              <w:rPr>
                <w:rFonts w:eastAsia="Times New Roman"/>
                <w:b/>
                <w:bCs/>
                <w:color w:val="000000"/>
                <w:sz w:val="18"/>
                <w:szCs w:val="16"/>
                <w:lang w:val="en-US"/>
              </w:rPr>
              <w:t>1.4%</w:t>
            </w:r>
          </w:p>
        </w:tc>
      </w:tr>
    </w:tbl>
    <w:p w:rsidR="00974489" w:rsidRPr="003871AF" w:rsidRDefault="00974489" w:rsidP="00974489">
      <w:pPr>
        <w:pStyle w:val="AHPRAbodybold"/>
        <w:rPr>
          <w:b w:val="0"/>
          <w:sz w:val="16"/>
          <w:szCs w:val="16"/>
        </w:rPr>
      </w:pPr>
    </w:p>
    <w:p w:rsidR="00DE2F86" w:rsidRDefault="00DE2F86" w:rsidP="00DE2F86">
      <w:pPr>
        <w:pStyle w:val="Caption"/>
      </w:pPr>
      <w:bookmarkStart w:id="28" w:name="_Toc453007264"/>
      <w:r>
        <w:t xml:space="preserve">Table </w:t>
      </w:r>
      <w:r w:rsidR="00862C8C">
        <w:t>PSY</w:t>
      </w:r>
      <w:r w:rsidR="003A7386">
        <w:fldChar w:fldCharType="begin"/>
      </w:r>
      <w:r w:rsidR="003A7386">
        <w:instrText xml:space="preserve"> SEQ Table \* ARABIC </w:instrText>
      </w:r>
      <w:r w:rsidR="003A7386">
        <w:fldChar w:fldCharType="separate"/>
      </w:r>
      <w:r w:rsidR="00A57A1D">
        <w:rPr>
          <w:noProof/>
        </w:rPr>
        <w:t>5</w:t>
      </w:r>
      <w:r w:rsidR="003A7386">
        <w:rPr>
          <w:noProof/>
        </w:rPr>
        <w:fldChar w:fldCharType="end"/>
      </w:r>
      <w:r>
        <w:t xml:space="preserve">: </w:t>
      </w:r>
      <w:r w:rsidRPr="00884395">
        <w:t>Immediate action cases by state or territory (excluding NSW)</w:t>
      </w:r>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6"/>
        <w:gridCol w:w="1172"/>
        <w:gridCol w:w="1244"/>
        <w:gridCol w:w="808"/>
        <w:gridCol w:w="1013"/>
        <w:gridCol w:w="1499"/>
      </w:tblGrid>
      <w:tr w:rsidR="00974489" w:rsidRPr="00DE2F86" w:rsidTr="00DE2F86">
        <w:trPr>
          <w:trHeight w:val="300"/>
          <w:tblHeader/>
        </w:trPr>
        <w:tc>
          <w:tcPr>
            <w:tcW w:w="1897" w:type="pct"/>
            <w:shd w:val="clear" w:color="000000" w:fill="DDEBF7"/>
            <w:noWrap/>
            <w:vAlign w:val="bottom"/>
            <w:hideMark/>
          </w:tcPr>
          <w:p w:rsidR="00974489" w:rsidRPr="00DE2F86" w:rsidRDefault="00974489" w:rsidP="00DE2F86">
            <w:pPr>
              <w:spacing w:after="0"/>
              <w:rPr>
                <w:rFonts w:eastAsia="Times New Roman"/>
                <w:b/>
                <w:bCs/>
                <w:color w:val="000000"/>
                <w:sz w:val="18"/>
                <w:szCs w:val="16"/>
                <w:lang w:val="en-US"/>
              </w:rPr>
            </w:pPr>
            <w:r w:rsidRPr="00DE2F86">
              <w:rPr>
                <w:rFonts w:eastAsia="Times New Roman"/>
                <w:b/>
                <w:bCs/>
                <w:color w:val="000000"/>
                <w:sz w:val="18"/>
                <w:szCs w:val="16"/>
                <w:lang w:val="en-US"/>
              </w:rPr>
              <w:t>Psychologist</w:t>
            </w:r>
          </w:p>
        </w:tc>
        <w:tc>
          <w:tcPr>
            <w:tcW w:w="634" w:type="pct"/>
            <w:shd w:val="clear" w:color="000000" w:fill="DDEBF7"/>
            <w:noWrap/>
            <w:vAlign w:val="bottom"/>
            <w:hideMark/>
          </w:tcPr>
          <w:p w:rsidR="00974489" w:rsidRPr="00DE2F86" w:rsidRDefault="00974489" w:rsidP="00DE2F86">
            <w:pPr>
              <w:spacing w:after="0"/>
              <w:jc w:val="center"/>
              <w:rPr>
                <w:rFonts w:eastAsia="Times New Roman"/>
                <w:b/>
                <w:bCs/>
                <w:color w:val="000000"/>
                <w:sz w:val="18"/>
                <w:szCs w:val="16"/>
                <w:lang w:val="en-US"/>
              </w:rPr>
            </w:pPr>
            <w:r w:rsidRPr="00DE2F86">
              <w:rPr>
                <w:rFonts w:eastAsia="Times New Roman"/>
                <w:b/>
                <w:bCs/>
                <w:color w:val="000000"/>
                <w:sz w:val="18"/>
                <w:szCs w:val="16"/>
                <w:lang w:val="en-US"/>
              </w:rPr>
              <w:t>ACT</w:t>
            </w:r>
          </w:p>
        </w:tc>
        <w:tc>
          <w:tcPr>
            <w:tcW w:w="673" w:type="pct"/>
            <w:shd w:val="clear" w:color="000000" w:fill="DDEBF7"/>
            <w:noWrap/>
            <w:vAlign w:val="bottom"/>
            <w:hideMark/>
          </w:tcPr>
          <w:p w:rsidR="00974489" w:rsidRPr="00DE2F86" w:rsidRDefault="00974489" w:rsidP="00DE2F86">
            <w:pPr>
              <w:spacing w:after="0"/>
              <w:jc w:val="center"/>
              <w:rPr>
                <w:rFonts w:eastAsia="Times New Roman"/>
                <w:b/>
                <w:bCs/>
                <w:color w:val="000000"/>
                <w:sz w:val="18"/>
                <w:szCs w:val="16"/>
                <w:lang w:val="en-US"/>
              </w:rPr>
            </w:pPr>
            <w:r w:rsidRPr="00DE2F86">
              <w:rPr>
                <w:rFonts w:eastAsia="Times New Roman"/>
                <w:b/>
                <w:bCs/>
                <w:color w:val="000000"/>
                <w:sz w:val="18"/>
                <w:szCs w:val="16"/>
                <w:lang w:val="en-US"/>
              </w:rPr>
              <w:t>QLD</w:t>
            </w:r>
          </w:p>
        </w:tc>
        <w:tc>
          <w:tcPr>
            <w:tcW w:w="437" w:type="pct"/>
            <w:shd w:val="clear" w:color="000000" w:fill="DDEBF7"/>
            <w:noWrap/>
            <w:vAlign w:val="bottom"/>
            <w:hideMark/>
          </w:tcPr>
          <w:p w:rsidR="00974489" w:rsidRPr="00DE2F86" w:rsidRDefault="00974489" w:rsidP="00DE2F86">
            <w:pPr>
              <w:spacing w:after="0"/>
              <w:jc w:val="center"/>
              <w:rPr>
                <w:rFonts w:eastAsia="Times New Roman"/>
                <w:b/>
                <w:bCs/>
                <w:color w:val="000000"/>
                <w:sz w:val="18"/>
                <w:szCs w:val="16"/>
                <w:lang w:val="en-US"/>
              </w:rPr>
            </w:pPr>
            <w:r w:rsidRPr="00DE2F86">
              <w:rPr>
                <w:rFonts w:eastAsia="Times New Roman"/>
                <w:b/>
                <w:bCs/>
                <w:color w:val="000000"/>
                <w:sz w:val="18"/>
                <w:szCs w:val="16"/>
                <w:lang w:val="en-US"/>
              </w:rPr>
              <w:t>SA</w:t>
            </w:r>
          </w:p>
        </w:tc>
        <w:tc>
          <w:tcPr>
            <w:tcW w:w="548" w:type="pct"/>
            <w:shd w:val="clear" w:color="000000" w:fill="DDEBF7"/>
            <w:noWrap/>
            <w:vAlign w:val="bottom"/>
            <w:hideMark/>
          </w:tcPr>
          <w:p w:rsidR="00974489" w:rsidRPr="00DE2F86" w:rsidRDefault="00974489" w:rsidP="00DE2F86">
            <w:pPr>
              <w:spacing w:after="0"/>
              <w:jc w:val="center"/>
              <w:rPr>
                <w:rFonts w:eastAsia="Times New Roman"/>
                <w:b/>
                <w:bCs/>
                <w:color w:val="000000"/>
                <w:sz w:val="18"/>
                <w:szCs w:val="16"/>
                <w:lang w:val="en-US"/>
              </w:rPr>
            </w:pPr>
            <w:r w:rsidRPr="00DE2F86">
              <w:rPr>
                <w:rFonts w:eastAsia="Times New Roman"/>
                <w:b/>
                <w:bCs/>
                <w:color w:val="000000"/>
                <w:sz w:val="18"/>
                <w:szCs w:val="16"/>
                <w:lang w:val="en-US"/>
              </w:rPr>
              <w:t>VIC</w:t>
            </w:r>
          </w:p>
        </w:tc>
        <w:tc>
          <w:tcPr>
            <w:tcW w:w="811" w:type="pct"/>
            <w:shd w:val="clear" w:color="000000" w:fill="DDEBF7"/>
            <w:noWrap/>
            <w:vAlign w:val="bottom"/>
            <w:hideMark/>
          </w:tcPr>
          <w:p w:rsidR="00974489" w:rsidRPr="00DE2F86" w:rsidRDefault="00974489" w:rsidP="00DE2F86">
            <w:pPr>
              <w:spacing w:after="0"/>
              <w:jc w:val="center"/>
              <w:rPr>
                <w:rFonts w:eastAsia="Times New Roman"/>
                <w:b/>
                <w:bCs/>
                <w:color w:val="000000"/>
                <w:sz w:val="18"/>
                <w:szCs w:val="16"/>
                <w:lang w:val="en-US"/>
              </w:rPr>
            </w:pPr>
            <w:r w:rsidRPr="00DE2F86">
              <w:rPr>
                <w:rFonts w:eastAsia="Times New Roman"/>
                <w:b/>
                <w:bCs/>
                <w:color w:val="000000"/>
                <w:sz w:val="18"/>
                <w:szCs w:val="16"/>
                <w:lang w:val="en-US"/>
              </w:rPr>
              <w:t>Total</w:t>
            </w:r>
          </w:p>
        </w:tc>
      </w:tr>
      <w:tr w:rsidR="00974489" w:rsidRPr="00DE2F86" w:rsidTr="00DE2F86">
        <w:trPr>
          <w:trHeight w:val="300"/>
        </w:trPr>
        <w:tc>
          <w:tcPr>
            <w:tcW w:w="1897" w:type="pct"/>
            <w:shd w:val="clear" w:color="auto" w:fill="auto"/>
            <w:noWrap/>
            <w:vAlign w:val="bottom"/>
            <w:hideMark/>
          </w:tcPr>
          <w:p w:rsidR="00974489" w:rsidRPr="00DE2F86" w:rsidRDefault="00974489" w:rsidP="00DE2F86">
            <w:pPr>
              <w:spacing w:after="0"/>
              <w:rPr>
                <w:rFonts w:eastAsia="Times New Roman"/>
                <w:color w:val="000000"/>
                <w:sz w:val="18"/>
                <w:szCs w:val="16"/>
                <w:lang w:val="en-US"/>
              </w:rPr>
            </w:pPr>
            <w:r w:rsidRPr="00DE2F86">
              <w:rPr>
                <w:rFonts w:eastAsia="Times New Roman"/>
                <w:color w:val="000000"/>
                <w:sz w:val="18"/>
                <w:szCs w:val="16"/>
                <w:lang w:val="en-US"/>
              </w:rPr>
              <w:t>2014/15</w:t>
            </w:r>
          </w:p>
        </w:tc>
        <w:tc>
          <w:tcPr>
            <w:tcW w:w="634" w:type="pct"/>
            <w:shd w:val="clear" w:color="auto" w:fill="auto"/>
            <w:noWrap/>
            <w:vAlign w:val="bottom"/>
            <w:hideMark/>
          </w:tcPr>
          <w:p w:rsidR="00974489" w:rsidRPr="00DE2F86" w:rsidRDefault="00974489" w:rsidP="00DE2F86">
            <w:pPr>
              <w:spacing w:after="0"/>
              <w:jc w:val="center"/>
              <w:rPr>
                <w:rFonts w:eastAsia="Times New Roman"/>
                <w:color w:val="000000"/>
                <w:sz w:val="18"/>
                <w:szCs w:val="16"/>
                <w:lang w:val="en-US"/>
              </w:rPr>
            </w:pPr>
            <w:r w:rsidRPr="00DE2F86">
              <w:rPr>
                <w:rFonts w:eastAsia="Times New Roman"/>
                <w:color w:val="000000"/>
                <w:sz w:val="18"/>
                <w:szCs w:val="16"/>
                <w:lang w:val="en-US"/>
              </w:rPr>
              <w:t>3</w:t>
            </w:r>
          </w:p>
        </w:tc>
        <w:tc>
          <w:tcPr>
            <w:tcW w:w="673" w:type="pct"/>
            <w:shd w:val="clear" w:color="auto" w:fill="auto"/>
            <w:noWrap/>
            <w:vAlign w:val="bottom"/>
            <w:hideMark/>
          </w:tcPr>
          <w:p w:rsidR="00974489" w:rsidRPr="00DE2F86" w:rsidRDefault="00974489" w:rsidP="00DE2F86">
            <w:pPr>
              <w:spacing w:after="0"/>
              <w:jc w:val="center"/>
              <w:rPr>
                <w:rFonts w:eastAsia="Times New Roman"/>
                <w:color w:val="000000"/>
                <w:sz w:val="18"/>
                <w:szCs w:val="16"/>
                <w:lang w:val="en-US"/>
              </w:rPr>
            </w:pPr>
            <w:r w:rsidRPr="00DE2F86">
              <w:rPr>
                <w:rFonts w:eastAsia="Times New Roman"/>
                <w:color w:val="000000"/>
                <w:sz w:val="18"/>
                <w:szCs w:val="16"/>
                <w:lang w:val="en-US"/>
              </w:rPr>
              <w:t>2</w:t>
            </w:r>
          </w:p>
        </w:tc>
        <w:tc>
          <w:tcPr>
            <w:tcW w:w="437" w:type="pct"/>
            <w:shd w:val="clear" w:color="auto" w:fill="auto"/>
            <w:noWrap/>
            <w:vAlign w:val="bottom"/>
            <w:hideMark/>
          </w:tcPr>
          <w:p w:rsidR="00974489" w:rsidRPr="00DE2F86" w:rsidRDefault="00974489" w:rsidP="00DE2F86">
            <w:pPr>
              <w:spacing w:after="0"/>
              <w:jc w:val="center"/>
              <w:rPr>
                <w:rFonts w:eastAsia="Times New Roman"/>
                <w:color w:val="000000"/>
                <w:sz w:val="18"/>
                <w:szCs w:val="16"/>
                <w:lang w:val="en-US"/>
              </w:rPr>
            </w:pPr>
            <w:r w:rsidRPr="00DE2F86">
              <w:rPr>
                <w:rFonts w:eastAsia="Times New Roman"/>
                <w:color w:val="000000"/>
                <w:sz w:val="18"/>
                <w:szCs w:val="16"/>
                <w:lang w:val="en-US"/>
              </w:rPr>
              <w:t>2</w:t>
            </w:r>
          </w:p>
        </w:tc>
        <w:tc>
          <w:tcPr>
            <w:tcW w:w="548" w:type="pct"/>
            <w:shd w:val="clear" w:color="auto" w:fill="auto"/>
            <w:noWrap/>
            <w:vAlign w:val="bottom"/>
            <w:hideMark/>
          </w:tcPr>
          <w:p w:rsidR="00974489" w:rsidRPr="00DE2F86" w:rsidRDefault="00974489" w:rsidP="00DE2F86">
            <w:pPr>
              <w:spacing w:after="0"/>
              <w:jc w:val="center"/>
              <w:rPr>
                <w:rFonts w:eastAsia="Times New Roman"/>
                <w:color w:val="000000"/>
                <w:sz w:val="18"/>
                <w:szCs w:val="16"/>
                <w:lang w:val="en-US"/>
              </w:rPr>
            </w:pPr>
            <w:r w:rsidRPr="00DE2F86">
              <w:rPr>
                <w:rFonts w:eastAsia="Times New Roman"/>
                <w:color w:val="000000"/>
                <w:sz w:val="18"/>
                <w:szCs w:val="16"/>
                <w:lang w:val="en-US"/>
              </w:rPr>
              <w:t>1</w:t>
            </w:r>
          </w:p>
        </w:tc>
        <w:tc>
          <w:tcPr>
            <w:tcW w:w="811" w:type="pct"/>
            <w:shd w:val="clear" w:color="auto" w:fill="auto"/>
            <w:noWrap/>
            <w:vAlign w:val="bottom"/>
            <w:hideMark/>
          </w:tcPr>
          <w:p w:rsidR="00974489" w:rsidRPr="00DE2F86" w:rsidRDefault="00974489" w:rsidP="00DE2F86">
            <w:pPr>
              <w:spacing w:after="0"/>
              <w:jc w:val="center"/>
              <w:rPr>
                <w:rFonts w:eastAsia="Times New Roman"/>
                <w:b/>
                <w:bCs/>
                <w:color w:val="000000"/>
                <w:sz w:val="18"/>
                <w:szCs w:val="16"/>
                <w:lang w:val="en-US"/>
              </w:rPr>
            </w:pPr>
            <w:r w:rsidRPr="00DE2F86">
              <w:rPr>
                <w:rFonts w:eastAsia="Times New Roman"/>
                <w:b/>
                <w:bCs/>
                <w:color w:val="000000"/>
                <w:sz w:val="18"/>
                <w:szCs w:val="16"/>
                <w:lang w:val="en-US"/>
              </w:rPr>
              <w:t>8</w:t>
            </w:r>
          </w:p>
        </w:tc>
      </w:tr>
      <w:tr w:rsidR="00974489" w:rsidRPr="00DE2F86" w:rsidTr="00DE2F86">
        <w:trPr>
          <w:trHeight w:val="300"/>
        </w:trPr>
        <w:tc>
          <w:tcPr>
            <w:tcW w:w="1897" w:type="pct"/>
            <w:shd w:val="clear" w:color="auto" w:fill="auto"/>
            <w:noWrap/>
            <w:vAlign w:val="bottom"/>
            <w:hideMark/>
          </w:tcPr>
          <w:p w:rsidR="00974489" w:rsidRPr="00DE2F86" w:rsidRDefault="00974489" w:rsidP="00DE2F86">
            <w:pPr>
              <w:spacing w:after="0"/>
              <w:rPr>
                <w:rFonts w:eastAsia="Times New Roman"/>
                <w:color w:val="000000"/>
                <w:sz w:val="18"/>
                <w:szCs w:val="16"/>
                <w:lang w:val="en-US"/>
              </w:rPr>
            </w:pPr>
            <w:r w:rsidRPr="00DE2F86">
              <w:rPr>
                <w:rFonts w:eastAsia="Times New Roman"/>
                <w:color w:val="000000"/>
                <w:sz w:val="18"/>
                <w:szCs w:val="16"/>
                <w:lang w:val="en-US"/>
              </w:rPr>
              <w:t>2013/14</w:t>
            </w:r>
          </w:p>
        </w:tc>
        <w:tc>
          <w:tcPr>
            <w:tcW w:w="634" w:type="pct"/>
            <w:shd w:val="clear" w:color="auto" w:fill="auto"/>
            <w:noWrap/>
            <w:vAlign w:val="bottom"/>
            <w:hideMark/>
          </w:tcPr>
          <w:p w:rsidR="00974489" w:rsidRPr="00DE2F86" w:rsidRDefault="00974489" w:rsidP="00DE2F86">
            <w:pPr>
              <w:spacing w:after="0"/>
              <w:jc w:val="center"/>
              <w:rPr>
                <w:rFonts w:eastAsia="Times New Roman"/>
                <w:color w:val="000000"/>
                <w:sz w:val="18"/>
                <w:szCs w:val="16"/>
                <w:lang w:val="en-US"/>
              </w:rPr>
            </w:pPr>
            <w:r w:rsidRPr="00DE2F86">
              <w:rPr>
                <w:rFonts w:eastAsia="Times New Roman"/>
                <w:color w:val="000000"/>
                <w:sz w:val="18"/>
                <w:szCs w:val="16"/>
                <w:lang w:val="en-US"/>
              </w:rPr>
              <w:t>1</w:t>
            </w:r>
          </w:p>
        </w:tc>
        <w:tc>
          <w:tcPr>
            <w:tcW w:w="673" w:type="pct"/>
            <w:shd w:val="clear" w:color="auto" w:fill="auto"/>
            <w:noWrap/>
            <w:vAlign w:val="bottom"/>
            <w:hideMark/>
          </w:tcPr>
          <w:p w:rsidR="00974489" w:rsidRPr="00DE2F86" w:rsidRDefault="00974489" w:rsidP="00DE2F86">
            <w:pPr>
              <w:spacing w:after="0"/>
              <w:jc w:val="center"/>
              <w:rPr>
                <w:rFonts w:eastAsia="Times New Roman"/>
                <w:color w:val="000000"/>
                <w:sz w:val="18"/>
                <w:szCs w:val="16"/>
                <w:lang w:val="en-US"/>
              </w:rPr>
            </w:pPr>
            <w:r w:rsidRPr="00DE2F86">
              <w:rPr>
                <w:rFonts w:eastAsia="Times New Roman"/>
                <w:color w:val="000000"/>
                <w:sz w:val="18"/>
                <w:szCs w:val="16"/>
                <w:lang w:val="en-US"/>
              </w:rPr>
              <w:t>4</w:t>
            </w:r>
          </w:p>
        </w:tc>
        <w:tc>
          <w:tcPr>
            <w:tcW w:w="437" w:type="pct"/>
            <w:shd w:val="clear" w:color="auto" w:fill="auto"/>
            <w:noWrap/>
            <w:vAlign w:val="bottom"/>
            <w:hideMark/>
          </w:tcPr>
          <w:p w:rsidR="00974489" w:rsidRPr="00DE2F86" w:rsidRDefault="00974489" w:rsidP="00DE2F86">
            <w:pPr>
              <w:spacing w:after="0"/>
              <w:jc w:val="center"/>
              <w:rPr>
                <w:rFonts w:eastAsia="Times New Roman"/>
                <w:sz w:val="18"/>
                <w:szCs w:val="16"/>
                <w:lang w:val="en-US"/>
              </w:rPr>
            </w:pPr>
            <w:r w:rsidRPr="00DE2F86">
              <w:rPr>
                <w:rFonts w:eastAsia="Times New Roman"/>
                <w:sz w:val="18"/>
                <w:szCs w:val="16"/>
                <w:lang w:val="en-US"/>
              </w:rPr>
              <w:t> </w:t>
            </w:r>
          </w:p>
        </w:tc>
        <w:tc>
          <w:tcPr>
            <w:tcW w:w="548" w:type="pct"/>
            <w:shd w:val="clear" w:color="auto" w:fill="auto"/>
            <w:noWrap/>
            <w:vAlign w:val="bottom"/>
            <w:hideMark/>
          </w:tcPr>
          <w:p w:rsidR="00974489" w:rsidRPr="00DE2F86" w:rsidRDefault="00974489" w:rsidP="00DE2F86">
            <w:pPr>
              <w:spacing w:after="0"/>
              <w:jc w:val="center"/>
              <w:rPr>
                <w:rFonts w:eastAsia="Times New Roman"/>
                <w:sz w:val="18"/>
                <w:szCs w:val="16"/>
                <w:lang w:val="en-US"/>
              </w:rPr>
            </w:pPr>
            <w:r w:rsidRPr="00DE2F86">
              <w:rPr>
                <w:rFonts w:eastAsia="Times New Roman"/>
                <w:sz w:val="18"/>
                <w:szCs w:val="16"/>
                <w:lang w:val="en-US"/>
              </w:rPr>
              <w:t> </w:t>
            </w:r>
          </w:p>
        </w:tc>
        <w:tc>
          <w:tcPr>
            <w:tcW w:w="811" w:type="pct"/>
            <w:shd w:val="clear" w:color="auto" w:fill="auto"/>
            <w:noWrap/>
            <w:vAlign w:val="bottom"/>
            <w:hideMark/>
          </w:tcPr>
          <w:p w:rsidR="00974489" w:rsidRPr="00DE2F86" w:rsidRDefault="00974489" w:rsidP="00DE2F86">
            <w:pPr>
              <w:spacing w:after="0"/>
              <w:jc w:val="center"/>
              <w:rPr>
                <w:rFonts w:eastAsia="Times New Roman"/>
                <w:b/>
                <w:bCs/>
                <w:color w:val="000000"/>
                <w:sz w:val="18"/>
                <w:szCs w:val="16"/>
                <w:lang w:val="en-US"/>
              </w:rPr>
            </w:pPr>
            <w:r w:rsidRPr="00DE2F86">
              <w:rPr>
                <w:rFonts w:eastAsia="Times New Roman"/>
                <w:b/>
                <w:bCs/>
                <w:color w:val="000000"/>
                <w:sz w:val="18"/>
                <w:szCs w:val="16"/>
                <w:lang w:val="en-US"/>
              </w:rPr>
              <w:t>5</w:t>
            </w:r>
          </w:p>
        </w:tc>
      </w:tr>
    </w:tbl>
    <w:p w:rsidR="00974489" w:rsidRPr="003871AF" w:rsidRDefault="00974489" w:rsidP="00974489">
      <w:pPr>
        <w:pStyle w:val="AHPRAbodybold"/>
        <w:rPr>
          <w:b w:val="0"/>
          <w:sz w:val="16"/>
          <w:szCs w:val="16"/>
        </w:rPr>
      </w:pPr>
    </w:p>
    <w:p w:rsidR="00862C8C" w:rsidRDefault="00862C8C" w:rsidP="00862C8C">
      <w:pPr>
        <w:pStyle w:val="Caption"/>
      </w:pPr>
      <w:bookmarkStart w:id="29" w:name="_Toc453007265"/>
      <w:r>
        <w:t>Table PSY</w:t>
      </w:r>
      <w:r w:rsidR="003A7386">
        <w:fldChar w:fldCharType="begin"/>
      </w:r>
      <w:r w:rsidR="003A7386">
        <w:instrText xml:space="preserve"> SEQ Table \* ARABIC </w:instrText>
      </w:r>
      <w:r w:rsidR="003A7386">
        <w:fldChar w:fldCharType="separate"/>
      </w:r>
      <w:r w:rsidR="00A57A1D">
        <w:rPr>
          <w:noProof/>
        </w:rPr>
        <w:t>6</w:t>
      </w:r>
      <w:r w:rsidR="003A7386">
        <w:rPr>
          <w:noProof/>
        </w:rPr>
        <w:fldChar w:fldCharType="end"/>
      </w:r>
      <w:r>
        <w:t xml:space="preserve">: </w:t>
      </w:r>
      <w:r w:rsidRPr="00156D4C">
        <w:t>Notifications closed by state or territory</w:t>
      </w:r>
      <w:bookmarkEnd w:id="29"/>
    </w:p>
    <w:tbl>
      <w:tblPr>
        <w:tblW w:w="4660" w:type="pct"/>
        <w:tblLayout w:type="fixed"/>
        <w:tblLook w:val="04A0" w:firstRow="1" w:lastRow="0" w:firstColumn="1" w:lastColumn="0" w:noHBand="0" w:noVBand="1"/>
      </w:tblPr>
      <w:tblGrid>
        <w:gridCol w:w="1533"/>
        <w:gridCol w:w="624"/>
        <w:gridCol w:w="624"/>
        <w:gridCol w:w="624"/>
        <w:gridCol w:w="624"/>
        <w:gridCol w:w="624"/>
        <w:gridCol w:w="624"/>
        <w:gridCol w:w="624"/>
        <w:gridCol w:w="1011"/>
        <w:gridCol w:w="710"/>
        <w:gridCol w:w="992"/>
      </w:tblGrid>
      <w:tr w:rsidR="00862C8C" w:rsidRPr="00862C8C" w:rsidTr="00862C8C">
        <w:trPr>
          <w:trHeight w:val="300"/>
          <w:tblHeader/>
        </w:trPr>
        <w:tc>
          <w:tcPr>
            <w:tcW w:w="889" w:type="pct"/>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974489" w:rsidRPr="00862C8C" w:rsidRDefault="00974489" w:rsidP="00DE2F86">
            <w:pPr>
              <w:spacing w:after="0"/>
              <w:rPr>
                <w:rFonts w:eastAsia="Times New Roman"/>
                <w:b/>
                <w:bCs/>
                <w:sz w:val="18"/>
                <w:szCs w:val="16"/>
                <w:lang w:val="en-US"/>
              </w:rPr>
            </w:pPr>
            <w:r w:rsidRPr="00862C8C">
              <w:rPr>
                <w:rFonts w:eastAsia="Times New Roman"/>
                <w:b/>
                <w:bCs/>
                <w:sz w:val="18"/>
                <w:szCs w:val="16"/>
                <w:lang w:val="en-US"/>
              </w:rPr>
              <w:t>Psychologist</w:t>
            </w:r>
          </w:p>
        </w:tc>
        <w:tc>
          <w:tcPr>
            <w:tcW w:w="362" w:type="pct"/>
            <w:tcBorders>
              <w:top w:val="single" w:sz="4" w:space="0" w:color="auto"/>
              <w:left w:val="nil"/>
              <w:bottom w:val="single" w:sz="4" w:space="0" w:color="auto"/>
              <w:right w:val="single" w:sz="4" w:space="0" w:color="auto"/>
            </w:tcBorders>
            <w:shd w:val="clear" w:color="000000" w:fill="DDEBF7"/>
            <w:noWrap/>
            <w:vAlign w:val="bottom"/>
            <w:hideMark/>
          </w:tcPr>
          <w:p w:rsidR="00974489" w:rsidRPr="00862C8C" w:rsidRDefault="00974489" w:rsidP="00DE2F86">
            <w:pPr>
              <w:spacing w:after="0"/>
              <w:jc w:val="center"/>
              <w:rPr>
                <w:rFonts w:eastAsia="Times New Roman"/>
                <w:b/>
                <w:bCs/>
                <w:sz w:val="18"/>
                <w:szCs w:val="16"/>
                <w:lang w:val="en-US"/>
              </w:rPr>
            </w:pPr>
            <w:r w:rsidRPr="00862C8C">
              <w:rPr>
                <w:rFonts w:eastAsia="Times New Roman"/>
                <w:b/>
                <w:bCs/>
                <w:sz w:val="18"/>
                <w:szCs w:val="16"/>
                <w:lang w:val="en-US"/>
              </w:rPr>
              <w:t>ACT</w:t>
            </w:r>
          </w:p>
        </w:tc>
        <w:tc>
          <w:tcPr>
            <w:tcW w:w="362" w:type="pct"/>
            <w:tcBorders>
              <w:top w:val="single" w:sz="4" w:space="0" w:color="auto"/>
              <w:left w:val="nil"/>
              <w:bottom w:val="single" w:sz="4" w:space="0" w:color="auto"/>
              <w:right w:val="single" w:sz="4" w:space="0" w:color="auto"/>
            </w:tcBorders>
            <w:shd w:val="clear" w:color="000000" w:fill="DDEBF7"/>
            <w:noWrap/>
            <w:vAlign w:val="bottom"/>
            <w:hideMark/>
          </w:tcPr>
          <w:p w:rsidR="00974489" w:rsidRPr="00862C8C" w:rsidRDefault="00974489" w:rsidP="00DE2F86">
            <w:pPr>
              <w:spacing w:after="0"/>
              <w:jc w:val="center"/>
              <w:rPr>
                <w:rFonts w:eastAsia="Times New Roman"/>
                <w:b/>
                <w:bCs/>
                <w:sz w:val="18"/>
                <w:szCs w:val="16"/>
                <w:lang w:val="en-US"/>
              </w:rPr>
            </w:pPr>
            <w:r w:rsidRPr="00862C8C">
              <w:rPr>
                <w:rFonts w:eastAsia="Times New Roman"/>
                <w:b/>
                <w:bCs/>
                <w:sz w:val="18"/>
                <w:szCs w:val="16"/>
                <w:lang w:val="en-US"/>
              </w:rPr>
              <w:t>NT</w:t>
            </w:r>
          </w:p>
        </w:tc>
        <w:tc>
          <w:tcPr>
            <w:tcW w:w="362" w:type="pct"/>
            <w:tcBorders>
              <w:top w:val="single" w:sz="4" w:space="0" w:color="auto"/>
              <w:left w:val="nil"/>
              <w:bottom w:val="single" w:sz="4" w:space="0" w:color="auto"/>
              <w:right w:val="single" w:sz="4" w:space="0" w:color="auto"/>
            </w:tcBorders>
            <w:shd w:val="clear" w:color="000000" w:fill="DDEBF7"/>
            <w:noWrap/>
            <w:vAlign w:val="bottom"/>
            <w:hideMark/>
          </w:tcPr>
          <w:p w:rsidR="00974489" w:rsidRPr="00862C8C" w:rsidRDefault="00974489" w:rsidP="00DE2F86">
            <w:pPr>
              <w:spacing w:after="0"/>
              <w:jc w:val="center"/>
              <w:rPr>
                <w:rFonts w:eastAsia="Times New Roman"/>
                <w:b/>
                <w:bCs/>
                <w:sz w:val="18"/>
                <w:szCs w:val="16"/>
                <w:lang w:val="en-US"/>
              </w:rPr>
            </w:pPr>
            <w:r w:rsidRPr="00862C8C">
              <w:rPr>
                <w:rFonts w:eastAsia="Times New Roman"/>
                <w:b/>
                <w:bCs/>
                <w:sz w:val="18"/>
                <w:szCs w:val="16"/>
                <w:lang w:val="en-US"/>
              </w:rPr>
              <w:t>QLD</w:t>
            </w:r>
          </w:p>
        </w:tc>
        <w:tc>
          <w:tcPr>
            <w:tcW w:w="362" w:type="pct"/>
            <w:tcBorders>
              <w:top w:val="single" w:sz="4" w:space="0" w:color="auto"/>
              <w:left w:val="nil"/>
              <w:bottom w:val="single" w:sz="4" w:space="0" w:color="auto"/>
              <w:right w:val="single" w:sz="4" w:space="0" w:color="auto"/>
            </w:tcBorders>
            <w:shd w:val="clear" w:color="000000" w:fill="DDEBF7"/>
            <w:noWrap/>
            <w:vAlign w:val="bottom"/>
            <w:hideMark/>
          </w:tcPr>
          <w:p w:rsidR="00974489" w:rsidRPr="00862C8C" w:rsidRDefault="00974489" w:rsidP="00DE2F86">
            <w:pPr>
              <w:spacing w:after="0"/>
              <w:jc w:val="center"/>
              <w:rPr>
                <w:rFonts w:eastAsia="Times New Roman"/>
                <w:b/>
                <w:bCs/>
                <w:sz w:val="18"/>
                <w:szCs w:val="16"/>
                <w:lang w:val="en-US"/>
              </w:rPr>
            </w:pPr>
            <w:r w:rsidRPr="00862C8C">
              <w:rPr>
                <w:rFonts w:eastAsia="Times New Roman"/>
                <w:b/>
                <w:bCs/>
                <w:sz w:val="18"/>
                <w:szCs w:val="16"/>
                <w:lang w:val="en-US"/>
              </w:rPr>
              <w:t>SA</w:t>
            </w:r>
          </w:p>
        </w:tc>
        <w:tc>
          <w:tcPr>
            <w:tcW w:w="362" w:type="pct"/>
            <w:tcBorders>
              <w:top w:val="single" w:sz="4" w:space="0" w:color="auto"/>
              <w:left w:val="nil"/>
              <w:bottom w:val="single" w:sz="4" w:space="0" w:color="auto"/>
              <w:right w:val="single" w:sz="4" w:space="0" w:color="auto"/>
            </w:tcBorders>
            <w:shd w:val="clear" w:color="000000" w:fill="DDEBF7"/>
            <w:noWrap/>
            <w:vAlign w:val="bottom"/>
            <w:hideMark/>
          </w:tcPr>
          <w:p w:rsidR="00974489" w:rsidRPr="00862C8C" w:rsidRDefault="00974489" w:rsidP="00DE2F86">
            <w:pPr>
              <w:spacing w:after="0"/>
              <w:jc w:val="center"/>
              <w:rPr>
                <w:rFonts w:eastAsia="Times New Roman"/>
                <w:b/>
                <w:bCs/>
                <w:sz w:val="18"/>
                <w:szCs w:val="16"/>
                <w:lang w:val="en-US"/>
              </w:rPr>
            </w:pPr>
            <w:r w:rsidRPr="00862C8C">
              <w:rPr>
                <w:rFonts w:eastAsia="Times New Roman"/>
                <w:b/>
                <w:bCs/>
                <w:sz w:val="18"/>
                <w:szCs w:val="16"/>
                <w:lang w:val="en-US"/>
              </w:rPr>
              <w:t>TAS</w:t>
            </w:r>
          </w:p>
        </w:tc>
        <w:tc>
          <w:tcPr>
            <w:tcW w:w="362" w:type="pct"/>
            <w:tcBorders>
              <w:top w:val="single" w:sz="4" w:space="0" w:color="auto"/>
              <w:left w:val="nil"/>
              <w:bottom w:val="single" w:sz="4" w:space="0" w:color="auto"/>
              <w:right w:val="single" w:sz="4" w:space="0" w:color="auto"/>
            </w:tcBorders>
            <w:shd w:val="clear" w:color="000000" w:fill="DDEBF7"/>
            <w:noWrap/>
            <w:vAlign w:val="bottom"/>
            <w:hideMark/>
          </w:tcPr>
          <w:p w:rsidR="00974489" w:rsidRPr="00862C8C" w:rsidRDefault="00974489" w:rsidP="00DE2F86">
            <w:pPr>
              <w:spacing w:after="0"/>
              <w:jc w:val="center"/>
              <w:rPr>
                <w:rFonts w:eastAsia="Times New Roman"/>
                <w:b/>
                <w:bCs/>
                <w:sz w:val="18"/>
                <w:szCs w:val="16"/>
                <w:lang w:val="en-US"/>
              </w:rPr>
            </w:pPr>
            <w:r w:rsidRPr="00862C8C">
              <w:rPr>
                <w:rFonts w:eastAsia="Times New Roman"/>
                <w:b/>
                <w:bCs/>
                <w:sz w:val="18"/>
                <w:szCs w:val="16"/>
                <w:lang w:val="en-US"/>
              </w:rPr>
              <w:t>VIC</w:t>
            </w:r>
          </w:p>
        </w:tc>
        <w:tc>
          <w:tcPr>
            <w:tcW w:w="362" w:type="pct"/>
            <w:tcBorders>
              <w:top w:val="single" w:sz="4" w:space="0" w:color="auto"/>
              <w:left w:val="nil"/>
              <w:bottom w:val="single" w:sz="4" w:space="0" w:color="auto"/>
              <w:right w:val="single" w:sz="4" w:space="0" w:color="auto"/>
            </w:tcBorders>
            <w:shd w:val="clear" w:color="000000" w:fill="DDEBF7"/>
            <w:noWrap/>
            <w:vAlign w:val="bottom"/>
            <w:hideMark/>
          </w:tcPr>
          <w:p w:rsidR="00974489" w:rsidRPr="00862C8C" w:rsidRDefault="00974489" w:rsidP="00DE2F86">
            <w:pPr>
              <w:spacing w:after="0"/>
              <w:jc w:val="center"/>
              <w:rPr>
                <w:rFonts w:eastAsia="Times New Roman"/>
                <w:b/>
                <w:bCs/>
                <w:sz w:val="18"/>
                <w:szCs w:val="16"/>
                <w:lang w:val="en-US"/>
              </w:rPr>
            </w:pPr>
            <w:r w:rsidRPr="00862C8C">
              <w:rPr>
                <w:rFonts w:eastAsia="Times New Roman"/>
                <w:b/>
                <w:bCs/>
                <w:sz w:val="18"/>
                <w:szCs w:val="16"/>
                <w:lang w:val="en-US"/>
              </w:rPr>
              <w:t>WA</w:t>
            </w:r>
          </w:p>
        </w:tc>
        <w:tc>
          <w:tcPr>
            <w:tcW w:w="587" w:type="pct"/>
            <w:tcBorders>
              <w:top w:val="single" w:sz="4" w:space="0" w:color="auto"/>
              <w:left w:val="nil"/>
              <w:bottom w:val="single" w:sz="4" w:space="0" w:color="auto"/>
              <w:right w:val="single" w:sz="4" w:space="0" w:color="auto"/>
            </w:tcBorders>
            <w:shd w:val="clear" w:color="000000" w:fill="DDEBF7"/>
            <w:vAlign w:val="bottom"/>
            <w:hideMark/>
          </w:tcPr>
          <w:p w:rsidR="00974489" w:rsidRPr="00862C8C" w:rsidRDefault="00974489" w:rsidP="00DE2F86">
            <w:pPr>
              <w:spacing w:after="0"/>
              <w:jc w:val="center"/>
              <w:rPr>
                <w:rFonts w:eastAsia="Times New Roman"/>
                <w:b/>
                <w:bCs/>
                <w:sz w:val="18"/>
                <w:szCs w:val="16"/>
                <w:lang w:val="en-US"/>
              </w:rPr>
            </w:pPr>
            <w:r w:rsidRPr="00862C8C">
              <w:rPr>
                <w:rFonts w:eastAsia="Times New Roman"/>
                <w:b/>
                <w:bCs/>
                <w:sz w:val="18"/>
                <w:szCs w:val="16"/>
                <w:lang w:val="en-US"/>
              </w:rPr>
              <w:t>Subtotal</w:t>
            </w:r>
          </w:p>
        </w:tc>
        <w:tc>
          <w:tcPr>
            <w:tcW w:w="412" w:type="pct"/>
            <w:tcBorders>
              <w:top w:val="single" w:sz="4" w:space="0" w:color="auto"/>
              <w:left w:val="nil"/>
              <w:bottom w:val="single" w:sz="4" w:space="0" w:color="auto"/>
              <w:right w:val="single" w:sz="4" w:space="0" w:color="auto"/>
            </w:tcBorders>
            <w:shd w:val="clear" w:color="000000" w:fill="DDEBF7"/>
            <w:noWrap/>
            <w:vAlign w:val="bottom"/>
            <w:hideMark/>
          </w:tcPr>
          <w:p w:rsidR="00974489" w:rsidRPr="00862C8C" w:rsidRDefault="00974489" w:rsidP="00DE2F86">
            <w:pPr>
              <w:spacing w:after="0"/>
              <w:jc w:val="center"/>
              <w:rPr>
                <w:rFonts w:eastAsia="Times New Roman"/>
                <w:b/>
                <w:bCs/>
                <w:sz w:val="18"/>
                <w:szCs w:val="16"/>
                <w:lang w:val="en-US"/>
              </w:rPr>
            </w:pPr>
            <w:r w:rsidRPr="00862C8C">
              <w:rPr>
                <w:rFonts w:eastAsia="Times New Roman"/>
                <w:b/>
                <w:bCs/>
                <w:sz w:val="18"/>
                <w:szCs w:val="16"/>
                <w:lang w:val="en-US"/>
              </w:rPr>
              <w:t>NSW</w:t>
            </w:r>
          </w:p>
        </w:tc>
        <w:tc>
          <w:tcPr>
            <w:tcW w:w="576" w:type="pct"/>
            <w:tcBorders>
              <w:top w:val="single" w:sz="4" w:space="0" w:color="auto"/>
              <w:left w:val="nil"/>
              <w:bottom w:val="single" w:sz="4" w:space="0" w:color="auto"/>
              <w:right w:val="single" w:sz="4" w:space="0" w:color="auto"/>
            </w:tcBorders>
            <w:shd w:val="clear" w:color="000000" w:fill="DDEBF7"/>
            <w:noWrap/>
            <w:vAlign w:val="bottom"/>
            <w:hideMark/>
          </w:tcPr>
          <w:p w:rsidR="00974489" w:rsidRPr="00862C8C" w:rsidRDefault="00974489" w:rsidP="00DE2F86">
            <w:pPr>
              <w:spacing w:after="0"/>
              <w:jc w:val="center"/>
              <w:rPr>
                <w:rFonts w:eastAsia="Times New Roman"/>
                <w:b/>
                <w:bCs/>
                <w:sz w:val="18"/>
                <w:szCs w:val="16"/>
                <w:lang w:val="en-US"/>
              </w:rPr>
            </w:pPr>
            <w:r w:rsidRPr="00862C8C">
              <w:rPr>
                <w:rFonts w:eastAsia="Times New Roman"/>
                <w:b/>
                <w:bCs/>
                <w:sz w:val="18"/>
                <w:szCs w:val="16"/>
                <w:lang w:val="en-US"/>
              </w:rPr>
              <w:t>Total</w:t>
            </w:r>
          </w:p>
        </w:tc>
      </w:tr>
      <w:tr w:rsidR="00862C8C" w:rsidRPr="00862C8C" w:rsidTr="00862C8C">
        <w:trPr>
          <w:trHeight w:val="300"/>
        </w:trPr>
        <w:tc>
          <w:tcPr>
            <w:tcW w:w="889" w:type="pct"/>
            <w:tcBorders>
              <w:top w:val="nil"/>
              <w:left w:val="single" w:sz="4" w:space="0" w:color="auto"/>
              <w:bottom w:val="single" w:sz="4" w:space="0" w:color="auto"/>
              <w:right w:val="single" w:sz="4" w:space="0" w:color="auto"/>
            </w:tcBorders>
            <w:shd w:val="clear" w:color="auto" w:fill="auto"/>
            <w:noWrap/>
            <w:vAlign w:val="bottom"/>
            <w:hideMark/>
          </w:tcPr>
          <w:p w:rsidR="00974489" w:rsidRPr="00862C8C" w:rsidRDefault="00974489" w:rsidP="00DE2F86">
            <w:pPr>
              <w:spacing w:after="0"/>
              <w:rPr>
                <w:rFonts w:eastAsia="Times New Roman"/>
                <w:sz w:val="18"/>
                <w:szCs w:val="16"/>
                <w:lang w:val="en-US"/>
              </w:rPr>
            </w:pPr>
            <w:r w:rsidRPr="00862C8C">
              <w:rPr>
                <w:rFonts w:eastAsia="Times New Roman"/>
                <w:sz w:val="18"/>
                <w:szCs w:val="16"/>
                <w:lang w:val="en-US"/>
              </w:rPr>
              <w:t>2014/15</w:t>
            </w:r>
          </w:p>
        </w:tc>
        <w:tc>
          <w:tcPr>
            <w:tcW w:w="362" w:type="pct"/>
            <w:tcBorders>
              <w:top w:val="nil"/>
              <w:left w:val="nil"/>
              <w:bottom w:val="single" w:sz="4" w:space="0" w:color="auto"/>
              <w:right w:val="single" w:sz="4" w:space="0" w:color="auto"/>
            </w:tcBorders>
            <w:shd w:val="clear" w:color="auto" w:fill="auto"/>
            <w:noWrap/>
            <w:vAlign w:val="bottom"/>
            <w:hideMark/>
          </w:tcPr>
          <w:p w:rsidR="00974489" w:rsidRPr="00862C8C" w:rsidRDefault="00974489" w:rsidP="00DE2F86">
            <w:pPr>
              <w:spacing w:after="0"/>
              <w:jc w:val="right"/>
              <w:rPr>
                <w:rFonts w:eastAsia="Times New Roman"/>
                <w:color w:val="000000"/>
                <w:sz w:val="18"/>
                <w:szCs w:val="16"/>
                <w:lang w:val="en-US"/>
              </w:rPr>
            </w:pPr>
            <w:r w:rsidRPr="00862C8C">
              <w:rPr>
                <w:rFonts w:eastAsia="Times New Roman"/>
                <w:color w:val="000000"/>
                <w:sz w:val="18"/>
                <w:szCs w:val="16"/>
                <w:lang w:val="en-US"/>
              </w:rPr>
              <w:t xml:space="preserve"> 20 </w:t>
            </w:r>
          </w:p>
        </w:tc>
        <w:tc>
          <w:tcPr>
            <w:tcW w:w="362" w:type="pct"/>
            <w:tcBorders>
              <w:top w:val="nil"/>
              <w:left w:val="nil"/>
              <w:bottom w:val="single" w:sz="4" w:space="0" w:color="auto"/>
              <w:right w:val="single" w:sz="4" w:space="0" w:color="auto"/>
            </w:tcBorders>
            <w:shd w:val="clear" w:color="auto" w:fill="auto"/>
            <w:noWrap/>
            <w:vAlign w:val="bottom"/>
            <w:hideMark/>
          </w:tcPr>
          <w:p w:rsidR="00974489" w:rsidRPr="00862C8C" w:rsidRDefault="00974489" w:rsidP="00DE2F86">
            <w:pPr>
              <w:spacing w:after="0"/>
              <w:jc w:val="right"/>
              <w:rPr>
                <w:rFonts w:eastAsia="Times New Roman"/>
                <w:color w:val="000000"/>
                <w:sz w:val="18"/>
                <w:szCs w:val="16"/>
                <w:lang w:val="en-US"/>
              </w:rPr>
            </w:pPr>
            <w:r w:rsidRPr="00862C8C">
              <w:rPr>
                <w:rFonts w:eastAsia="Times New Roman"/>
                <w:color w:val="000000"/>
                <w:sz w:val="18"/>
                <w:szCs w:val="16"/>
                <w:lang w:val="en-US"/>
              </w:rPr>
              <w:t xml:space="preserve"> 7 </w:t>
            </w:r>
          </w:p>
        </w:tc>
        <w:tc>
          <w:tcPr>
            <w:tcW w:w="362" w:type="pct"/>
            <w:tcBorders>
              <w:top w:val="nil"/>
              <w:left w:val="nil"/>
              <w:bottom w:val="single" w:sz="4" w:space="0" w:color="auto"/>
              <w:right w:val="single" w:sz="4" w:space="0" w:color="auto"/>
            </w:tcBorders>
            <w:shd w:val="clear" w:color="auto" w:fill="auto"/>
            <w:noWrap/>
            <w:vAlign w:val="bottom"/>
            <w:hideMark/>
          </w:tcPr>
          <w:p w:rsidR="00974489" w:rsidRPr="00862C8C" w:rsidRDefault="00974489" w:rsidP="00DE2F86">
            <w:pPr>
              <w:spacing w:after="0"/>
              <w:jc w:val="right"/>
              <w:rPr>
                <w:rFonts w:eastAsia="Times New Roman"/>
                <w:color w:val="000000"/>
                <w:sz w:val="18"/>
                <w:szCs w:val="16"/>
                <w:lang w:val="en-US"/>
              </w:rPr>
            </w:pPr>
            <w:r w:rsidRPr="00862C8C">
              <w:rPr>
                <w:rFonts w:eastAsia="Times New Roman"/>
                <w:color w:val="000000"/>
                <w:sz w:val="18"/>
                <w:szCs w:val="16"/>
                <w:lang w:val="en-US"/>
              </w:rPr>
              <w:t xml:space="preserve"> 68 </w:t>
            </w:r>
          </w:p>
        </w:tc>
        <w:tc>
          <w:tcPr>
            <w:tcW w:w="362" w:type="pct"/>
            <w:tcBorders>
              <w:top w:val="nil"/>
              <w:left w:val="nil"/>
              <w:bottom w:val="single" w:sz="4" w:space="0" w:color="auto"/>
              <w:right w:val="single" w:sz="4" w:space="0" w:color="auto"/>
            </w:tcBorders>
            <w:shd w:val="clear" w:color="auto" w:fill="auto"/>
            <w:noWrap/>
            <w:vAlign w:val="bottom"/>
            <w:hideMark/>
          </w:tcPr>
          <w:p w:rsidR="00974489" w:rsidRPr="00862C8C" w:rsidRDefault="00974489" w:rsidP="00DE2F86">
            <w:pPr>
              <w:spacing w:after="0"/>
              <w:jc w:val="right"/>
              <w:rPr>
                <w:rFonts w:eastAsia="Times New Roman"/>
                <w:color w:val="000000"/>
                <w:sz w:val="18"/>
                <w:szCs w:val="16"/>
                <w:lang w:val="en-US"/>
              </w:rPr>
            </w:pPr>
            <w:r w:rsidRPr="00862C8C">
              <w:rPr>
                <w:rFonts w:eastAsia="Times New Roman"/>
                <w:color w:val="000000"/>
                <w:sz w:val="18"/>
                <w:szCs w:val="16"/>
                <w:lang w:val="en-US"/>
              </w:rPr>
              <w:t xml:space="preserve"> 28 </w:t>
            </w:r>
          </w:p>
        </w:tc>
        <w:tc>
          <w:tcPr>
            <w:tcW w:w="362" w:type="pct"/>
            <w:tcBorders>
              <w:top w:val="nil"/>
              <w:left w:val="nil"/>
              <w:bottom w:val="single" w:sz="4" w:space="0" w:color="auto"/>
              <w:right w:val="single" w:sz="4" w:space="0" w:color="auto"/>
            </w:tcBorders>
            <w:shd w:val="clear" w:color="auto" w:fill="auto"/>
            <w:noWrap/>
            <w:vAlign w:val="bottom"/>
            <w:hideMark/>
          </w:tcPr>
          <w:p w:rsidR="00974489" w:rsidRPr="00862C8C" w:rsidRDefault="00974489" w:rsidP="00DE2F86">
            <w:pPr>
              <w:spacing w:after="0"/>
              <w:jc w:val="right"/>
              <w:rPr>
                <w:rFonts w:eastAsia="Times New Roman"/>
                <w:color w:val="000000"/>
                <w:sz w:val="18"/>
                <w:szCs w:val="16"/>
                <w:lang w:val="en-US"/>
              </w:rPr>
            </w:pPr>
            <w:r w:rsidRPr="00862C8C">
              <w:rPr>
                <w:rFonts w:eastAsia="Times New Roman"/>
                <w:color w:val="000000"/>
                <w:sz w:val="18"/>
                <w:szCs w:val="16"/>
                <w:lang w:val="en-US"/>
              </w:rPr>
              <w:t xml:space="preserve"> 10 </w:t>
            </w:r>
          </w:p>
        </w:tc>
        <w:tc>
          <w:tcPr>
            <w:tcW w:w="362" w:type="pct"/>
            <w:tcBorders>
              <w:top w:val="nil"/>
              <w:left w:val="nil"/>
              <w:bottom w:val="single" w:sz="4" w:space="0" w:color="auto"/>
              <w:right w:val="single" w:sz="4" w:space="0" w:color="auto"/>
            </w:tcBorders>
            <w:shd w:val="clear" w:color="auto" w:fill="auto"/>
            <w:noWrap/>
            <w:vAlign w:val="bottom"/>
            <w:hideMark/>
          </w:tcPr>
          <w:p w:rsidR="00974489" w:rsidRPr="00862C8C" w:rsidRDefault="00974489" w:rsidP="00DE2F86">
            <w:pPr>
              <w:spacing w:after="0"/>
              <w:jc w:val="right"/>
              <w:rPr>
                <w:rFonts w:eastAsia="Times New Roman"/>
                <w:color w:val="000000"/>
                <w:sz w:val="18"/>
                <w:szCs w:val="16"/>
                <w:lang w:val="en-US"/>
              </w:rPr>
            </w:pPr>
            <w:r w:rsidRPr="00862C8C">
              <w:rPr>
                <w:rFonts w:eastAsia="Times New Roman"/>
                <w:color w:val="000000"/>
                <w:sz w:val="18"/>
                <w:szCs w:val="16"/>
                <w:lang w:val="en-US"/>
              </w:rPr>
              <w:t xml:space="preserve"> 137 </w:t>
            </w:r>
          </w:p>
        </w:tc>
        <w:tc>
          <w:tcPr>
            <w:tcW w:w="362" w:type="pct"/>
            <w:tcBorders>
              <w:top w:val="nil"/>
              <w:left w:val="nil"/>
              <w:bottom w:val="single" w:sz="4" w:space="0" w:color="auto"/>
              <w:right w:val="single" w:sz="4" w:space="0" w:color="auto"/>
            </w:tcBorders>
            <w:shd w:val="clear" w:color="auto" w:fill="auto"/>
            <w:noWrap/>
            <w:vAlign w:val="bottom"/>
            <w:hideMark/>
          </w:tcPr>
          <w:p w:rsidR="00974489" w:rsidRPr="00862C8C" w:rsidRDefault="00974489" w:rsidP="00DE2F86">
            <w:pPr>
              <w:spacing w:after="0"/>
              <w:jc w:val="right"/>
              <w:rPr>
                <w:rFonts w:eastAsia="Times New Roman"/>
                <w:color w:val="000000"/>
                <w:sz w:val="18"/>
                <w:szCs w:val="16"/>
                <w:lang w:val="en-US"/>
              </w:rPr>
            </w:pPr>
            <w:r w:rsidRPr="00862C8C">
              <w:rPr>
                <w:rFonts w:eastAsia="Times New Roman"/>
                <w:color w:val="000000"/>
                <w:sz w:val="18"/>
                <w:szCs w:val="16"/>
                <w:lang w:val="en-US"/>
              </w:rPr>
              <w:t xml:space="preserve"> 43 </w:t>
            </w:r>
          </w:p>
        </w:tc>
        <w:tc>
          <w:tcPr>
            <w:tcW w:w="587" w:type="pct"/>
            <w:tcBorders>
              <w:top w:val="nil"/>
              <w:left w:val="nil"/>
              <w:bottom w:val="single" w:sz="4" w:space="0" w:color="auto"/>
              <w:right w:val="single" w:sz="4" w:space="0" w:color="auto"/>
            </w:tcBorders>
            <w:shd w:val="clear" w:color="auto" w:fill="auto"/>
            <w:noWrap/>
            <w:vAlign w:val="bottom"/>
            <w:hideMark/>
          </w:tcPr>
          <w:p w:rsidR="00974489" w:rsidRPr="00862C8C" w:rsidRDefault="00974489" w:rsidP="00DE2F86">
            <w:pPr>
              <w:spacing w:after="0"/>
              <w:jc w:val="right"/>
              <w:rPr>
                <w:rFonts w:eastAsia="Times New Roman"/>
                <w:b/>
                <w:bCs/>
                <w:color w:val="000000"/>
                <w:sz w:val="18"/>
                <w:szCs w:val="16"/>
                <w:lang w:val="en-US"/>
              </w:rPr>
            </w:pPr>
            <w:r w:rsidRPr="00862C8C">
              <w:rPr>
                <w:rFonts w:eastAsia="Times New Roman"/>
                <w:b/>
                <w:bCs/>
                <w:color w:val="000000"/>
                <w:sz w:val="18"/>
                <w:szCs w:val="16"/>
                <w:lang w:val="en-US"/>
              </w:rPr>
              <w:t xml:space="preserve"> 313 </w:t>
            </w:r>
          </w:p>
        </w:tc>
        <w:tc>
          <w:tcPr>
            <w:tcW w:w="412" w:type="pct"/>
            <w:tcBorders>
              <w:top w:val="nil"/>
              <w:left w:val="nil"/>
              <w:bottom w:val="single" w:sz="4" w:space="0" w:color="auto"/>
              <w:right w:val="single" w:sz="4" w:space="0" w:color="auto"/>
            </w:tcBorders>
            <w:shd w:val="clear" w:color="auto" w:fill="auto"/>
            <w:noWrap/>
            <w:vAlign w:val="bottom"/>
            <w:hideMark/>
          </w:tcPr>
          <w:p w:rsidR="00974489" w:rsidRPr="00862C8C" w:rsidRDefault="00974489" w:rsidP="00DE2F86">
            <w:pPr>
              <w:spacing w:after="0"/>
              <w:jc w:val="right"/>
              <w:rPr>
                <w:rFonts w:eastAsia="Times New Roman"/>
                <w:color w:val="000000"/>
                <w:sz w:val="18"/>
                <w:szCs w:val="16"/>
                <w:lang w:val="en-US"/>
              </w:rPr>
            </w:pPr>
            <w:r w:rsidRPr="00862C8C">
              <w:rPr>
                <w:rFonts w:eastAsia="Times New Roman"/>
                <w:color w:val="000000"/>
                <w:sz w:val="18"/>
                <w:szCs w:val="16"/>
                <w:lang w:val="en-US"/>
              </w:rPr>
              <w:t>145</w:t>
            </w:r>
          </w:p>
        </w:tc>
        <w:tc>
          <w:tcPr>
            <w:tcW w:w="576" w:type="pct"/>
            <w:tcBorders>
              <w:top w:val="nil"/>
              <w:left w:val="nil"/>
              <w:bottom w:val="single" w:sz="4" w:space="0" w:color="auto"/>
              <w:right w:val="single" w:sz="4" w:space="0" w:color="auto"/>
            </w:tcBorders>
            <w:shd w:val="clear" w:color="auto" w:fill="auto"/>
            <w:noWrap/>
            <w:vAlign w:val="bottom"/>
            <w:hideMark/>
          </w:tcPr>
          <w:p w:rsidR="00974489" w:rsidRPr="00862C8C" w:rsidRDefault="00974489" w:rsidP="00DE2F86">
            <w:pPr>
              <w:spacing w:after="0"/>
              <w:jc w:val="center"/>
              <w:rPr>
                <w:rFonts w:eastAsia="Times New Roman"/>
                <w:b/>
                <w:bCs/>
                <w:sz w:val="18"/>
                <w:szCs w:val="16"/>
                <w:lang w:val="en-US"/>
              </w:rPr>
            </w:pPr>
            <w:r w:rsidRPr="00862C8C">
              <w:rPr>
                <w:rFonts w:eastAsia="Times New Roman"/>
                <w:b/>
                <w:bCs/>
                <w:sz w:val="18"/>
                <w:szCs w:val="16"/>
                <w:lang w:val="en-US"/>
              </w:rPr>
              <w:t>458</w:t>
            </w:r>
          </w:p>
        </w:tc>
      </w:tr>
      <w:tr w:rsidR="00862C8C" w:rsidRPr="00862C8C" w:rsidTr="00862C8C">
        <w:trPr>
          <w:trHeight w:val="300"/>
        </w:trPr>
        <w:tc>
          <w:tcPr>
            <w:tcW w:w="889" w:type="pct"/>
            <w:tcBorders>
              <w:top w:val="nil"/>
              <w:left w:val="single" w:sz="4" w:space="0" w:color="auto"/>
              <w:bottom w:val="single" w:sz="4" w:space="0" w:color="auto"/>
              <w:right w:val="single" w:sz="4" w:space="0" w:color="auto"/>
            </w:tcBorders>
            <w:shd w:val="clear" w:color="auto" w:fill="auto"/>
            <w:noWrap/>
            <w:vAlign w:val="bottom"/>
            <w:hideMark/>
          </w:tcPr>
          <w:p w:rsidR="00974489" w:rsidRPr="00862C8C" w:rsidRDefault="00974489" w:rsidP="00DE2F86">
            <w:pPr>
              <w:spacing w:after="0"/>
              <w:rPr>
                <w:rFonts w:eastAsia="Times New Roman"/>
                <w:sz w:val="18"/>
                <w:szCs w:val="16"/>
                <w:lang w:val="en-US"/>
              </w:rPr>
            </w:pPr>
            <w:r w:rsidRPr="00862C8C">
              <w:rPr>
                <w:rFonts w:eastAsia="Times New Roman"/>
                <w:sz w:val="18"/>
                <w:szCs w:val="16"/>
                <w:lang w:val="en-US"/>
              </w:rPr>
              <w:t>2013/14</w:t>
            </w:r>
          </w:p>
        </w:tc>
        <w:tc>
          <w:tcPr>
            <w:tcW w:w="362" w:type="pct"/>
            <w:tcBorders>
              <w:top w:val="nil"/>
              <w:left w:val="nil"/>
              <w:bottom w:val="single" w:sz="4" w:space="0" w:color="auto"/>
              <w:right w:val="single" w:sz="4" w:space="0" w:color="auto"/>
            </w:tcBorders>
            <w:shd w:val="clear" w:color="auto" w:fill="auto"/>
            <w:noWrap/>
            <w:vAlign w:val="bottom"/>
            <w:hideMark/>
          </w:tcPr>
          <w:p w:rsidR="00974489" w:rsidRPr="00862C8C" w:rsidRDefault="00974489" w:rsidP="00DE2F86">
            <w:pPr>
              <w:spacing w:after="0"/>
              <w:jc w:val="right"/>
              <w:rPr>
                <w:rFonts w:eastAsia="Times New Roman"/>
                <w:color w:val="000000"/>
                <w:sz w:val="18"/>
                <w:szCs w:val="16"/>
                <w:lang w:val="en-US"/>
              </w:rPr>
            </w:pPr>
            <w:r w:rsidRPr="00862C8C">
              <w:rPr>
                <w:rFonts w:eastAsia="Times New Roman"/>
                <w:color w:val="000000"/>
                <w:sz w:val="18"/>
                <w:szCs w:val="16"/>
                <w:lang w:val="en-US"/>
              </w:rPr>
              <w:t xml:space="preserve"> 33 </w:t>
            </w:r>
          </w:p>
        </w:tc>
        <w:tc>
          <w:tcPr>
            <w:tcW w:w="362" w:type="pct"/>
            <w:tcBorders>
              <w:top w:val="nil"/>
              <w:left w:val="nil"/>
              <w:bottom w:val="single" w:sz="4" w:space="0" w:color="auto"/>
              <w:right w:val="single" w:sz="4" w:space="0" w:color="auto"/>
            </w:tcBorders>
            <w:shd w:val="clear" w:color="auto" w:fill="auto"/>
            <w:noWrap/>
            <w:vAlign w:val="bottom"/>
            <w:hideMark/>
          </w:tcPr>
          <w:p w:rsidR="00974489" w:rsidRPr="00862C8C" w:rsidRDefault="00974489" w:rsidP="00DE2F86">
            <w:pPr>
              <w:spacing w:after="0"/>
              <w:jc w:val="right"/>
              <w:rPr>
                <w:rFonts w:eastAsia="Times New Roman"/>
                <w:color w:val="000000"/>
                <w:sz w:val="18"/>
                <w:szCs w:val="16"/>
                <w:lang w:val="en-US"/>
              </w:rPr>
            </w:pPr>
            <w:r w:rsidRPr="00862C8C">
              <w:rPr>
                <w:rFonts w:eastAsia="Times New Roman"/>
                <w:color w:val="000000"/>
                <w:sz w:val="18"/>
                <w:szCs w:val="16"/>
                <w:lang w:val="en-US"/>
              </w:rPr>
              <w:t xml:space="preserve"> 4 </w:t>
            </w:r>
          </w:p>
        </w:tc>
        <w:tc>
          <w:tcPr>
            <w:tcW w:w="362" w:type="pct"/>
            <w:tcBorders>
              <w:top w:val="nil"/>
              <w:left w:val="nil"/>
              <w:bottom w:val="single" w:sz="4" w:space="0" w:color="auto"/>
              <w:right w:val="single" w:sz="4" w:space="0" w:color="auto"/>
            </w:tcBorders>
            <w:shd w:val="clear" w:color="auto" w:fill="auto"/>
            <w:noWrap/>
            <w:vAlign w:val="bottom"/>
            <w:hideMark/>
          </w:tcPr>
          <w:p w:rsidR="00974489" w:rsidRPr="00862C8C" w:rsidRDefault="00974489" w:rsidP="00DE2F86">
            <w:pPr>
              <w:spacing w:after="0"/>
              <w:jc w:val="right"/>
              <w:rPr>
                <w:rFonts w:eastAsia="Times New Roman"/>
                <w:color w:val="000000"/>
                <w:sz w:val="18"/>
                <w:szCs w:val="16"/>
                <w:lang w:val="en-US"/>
              </w:rPr>
            </w:pPr>
            <w:r w:rsidRPr="00862C8C">
              <w:rPr>
                <w:rFonts w:eastAsia="Times New Roman"/>
                <w:color w:val="000000"/>
                <w:sz w:val="18"/>
                <w:szCs w:val="16"/>
                <w:lang w:val="en-US"/>
              </w:rPr>
              <w:t xml:space="preserve"> 107 </w:t>
            </w:r>
          </w:p>
        </w:tc>
        <w:tc>
          <w:tcPr>
            <w:tcW w:w="362" w:type="pct"/>
            <w:tcBorders>
              <w:top w:val="nil"/>
              <w:left w:val="nil"/>
              <w:bottom w:val="single" w:sz="4" w:space="0" w:color="auto"/>
              <w:right w:val="single" w:sz="4" w:space="0" w:color="auto"/>
            </w:tcBorders>
            <w:shd w:val="clear" w:color="auto" w:fill="auto"/>
            <w:noWrap/>
            <w:vAlign w:val="bottom"/>
            <w:hideMark/>
          </w:tcPr>
          <w:p w:rsidR="00974489" w:rsidRPr="00862C8C" w:rsidRDefault="00974489" w:rsidP="00DE2F86">
            <w:pPr>
              <w:spacing w:after="0"/>
              <w:jc w:val="right"/>
              <w:rPr>
                <w:rFonts w:eastAsia="Times New Roman"/>
                <w:color w:val="000000"/>
                <w:sz w:val="18"/>
                <w:szCs w:val="16"/>
                <w:lang w:val="en-US"/>
              </w:rPr>
            </w:pPr>
            <w:r w:rsidRPr="00862C8C">
              <w:rPr>
                <w:rFonts w:eastAsia="Times New Roman"/>
                <w:color w:val="000000"/>
                <w:sz w:val="18"/>
                <w:szCs w:val="16"/>
                <w:lang w:val="en-US"/>
              </w:rPr>
              <w:t xml:space="preserve"> 31 </w:t>
            </w:r>
          </w:p>
        </w:tc>
        <w:tc>
          <w:tcPr>
            <w:tcW w:w="362" w:type="pct"/>
            <w:tcBorders>
              <w:top w:val="nil"/>
              <w:left w:val="nil"/>
              <w:bottom w:val="single" w:sz="4" w:space="0" w:color="auto"/>
              <w:right w:val="single" w:sz="4" w:space="0" w:color="auto"/>
            </w:tcBorders>
            <w:shd w:val="clear" w:color="auto" w:fill="auto"/>
            <w:noWrap/>
            <w:vAlign w:val="bottom"/>
            <w:hideMark/>
          </w:tcPr>
          <w:p w:rsidR="00974489" w:rsidRPr="00862C8C" w:rsidRDefault="00974489" w:rsidP="00DE2F86">
            <w:pPr>
              <w:spacing w:after="0"/>
              <w:jc w:val="right"/>
              <w:rPr>
                <w:rFonts w:eastAsia="Times New Roman"/>
                <w:color w:val="000000"/>
                <w:sz w:val="18"/>
                <w:szCs w:val="16"/>
                <w:lang w:val="en-US"/>
              </w:rPr>
            </w:pPr>
            <w:r w:rsidRPr="00862C8C">
              <w:rPr>
                <w:rFonts w:eastAsia="Times New Roman"/>
                <w:color w:val="000000"/>
                <w:sz w:val="18"/>
                <w:szCs w:val="16"/>
                <w:lang w:val="en-US"/>
              </w:rPr>
              <w:t xml:space="preserve"> 12 </w:t>
            </w:r>
          </w:p>
        </w:tc>
        <w:tc>
          <w:tcPr>
            <w:tcW w:w="362" w:type="pct"/>
            <w:tcBorders>
              <w:top w:val="nil"/>
              <w:left w:val="nil"/>
              <w:bottom w:val="single" w:sz="4" w:space="0" w:color="auto"/>
              <w:right w:val="single" w:sz="4" w:space="0" w:color="auto"/>
            </w:tcBorders>
            <w:shd w:val="clear" w:color="auto" w:fill="auto"/>
            <w:noWrap/>
            <w:vAlign w:val="bottom"/>
            <w:hideMark/>
          </w:tcPr>
          <w:p w:rsidR="00974489" w:rsidRPr="00862C8C" w:rsidRDefault="00974489" w:rsidP="00DE2F86">
            <w:pPr>
              <w:spacing w:after="0"/>
              <w:jc w:val="right"/>
              <w:rPr>
                <w:rFonts w:eastAsia="Times New Roman"/>
                <w:color w:val="000000"/>
                <w:sz w:val="18"/>
                <w:szCs w:val="16"/>
                <w:lang w:val="en-US"/>
              </w:rPr>
            </w:pPr>
            <w:r w:rsidRPr="00862C8C">
              <w:rPr>
                <w:rFonts w:eastAsia="Times New Roman"/>
                <w:color w:val="000000"/>
                <w:sz w:val="18"/>
                <w:szCs w:val="16"/>
                <w:lang w:val="en-US"/>
              </w:rPr>
              <w:t xml:space="preserve"> 106 </w:t>
            </w:r>
          </w:p>
        </w:tc>
        <w:tc>
          <w:tcPr>
            <w:tcW w:w="362" w:type="pct"/>
            <w:tcBorders>
              <w:top w:val="nil"/>
              <w:left w:val="nil"/>
              <w:bottom w:val="single" w:sz="4" w:space="0" w:color="auto"/>
              <w:right w:val="single" w:sz="4" w:space="0" w:color="auto"/>
            </w:tcBorders>
            <w:shd w:val="clear" w:color="auto" w:fill="auto"/>
            <w:noWrap/>
            <w:vAlign w:val="bottom"/>
            <w:hideMark/>
          </w:tcPr>
          <w:p w:rsidR="00974489" w:rsidRPr="00862C8C" w:rsidRDefault="00974489" w:rsidP="00DE2F86">
            <w:pPr>
              <w:spacing w:after="0"/>
              <w:jc w:val="right"/>
              <w:rPr>
                <w:rFonts w:eastAsia="Times New Roman"/>
                <w:color w:val="000000"/>
                <w:sz w:val="18"/>
                <w:szCs w:val="16"/>
                <w:lang w:val="en-US"/>
              </w:rPr>
            </w:pPr>
            <w:r w:rsidRPr="00862C8C">
              <w:rPr>
                <w:rFonts w:eastAsia="Times New Roman"/>
                <w:color w:val="000000"/>
                <w:sz w:val="18"/>
                <w:szCs w:val="16"/>
                <w:lang w:val="en-US"/>
              </w:rPr>
              <w:t xml:space="preserve"> 29 </w:t>
            </w:r>
          </w:p>
        </w:tc>
        <w:tc>
          <w:tcPr>
            <w:tcW w:w="587" w:type="pct"/>
            <w:tcBorders>
              <w:top w:val="nil"/>
              <w:left w:val="nil"/>
              <w:bottom w:val="single" w:sz="4" w:space="0" w:color="auto"/>
              <w:right w:val="single" w:sz="4" w:space="0" w:color="auto"/>
            </w:tcBorders>
            <w:shd w:val="clear" w:color="auto" w:fill="auto"/>
            <w:noWrap/>
            <w:vAlign w:val="bottom"/>
            <w:hideMark/>
          </w:tcPr>
          <w:p w:rsidR="00974489" w:rsidRPr="00862C8C" w:rsidRDefault="00974489" w:rsidP="00DE2F86">
            <w:pPr>
              <w:spacing w:after="0"/>
              <w:jc w:val="right"/>
              <w:rPr>
                <w:rFonts w:eastAsia="Times New Roman"/>
                <w:b/>
                <w:bCs/>
                <w:color w:val="000000"/>
                <w:sz w:val="18"/>
                <w:szCs w:val="16"/>
                <w:lang w:val="en-US"/>
              </w:rPr>
            </w:pPr>
            <w:r w:rsidRPr="00862C8C">
              <w:rPr>
                <w:rFonts w:eastAsia="Times New Roman"/>
                <w:b/>
                <w:bCs/>
                <w:color w:val="000000"/>
                <w:sz w:val="18"/>
                <w:szCs w:val="16"/>
                <w:lang w:val="en-US"/>
              </w:rPr>
              <w:t xml:space="preserve"> 322 </w:t>
            </w:r>
          </w:p>
        </w:tc>
        <w:tc>
          <w:tcPr>
            <w:tcW w:w="412" w:type="pct"/>
            <w:tcBorders>
              <w:top w:val="nil"/>
              <w:left w:val="nil"/>
              <w:bottom w:val="single" w:sz="4" w:space="0" w:color="auto"/>
              <w:right w:val="single" w:sz="4" w:space="0" w:color="auto"/>
            </w:tcBorders>
            <w:shd w:val="clear" w:color="auto" w:fill="auto"/>
            <w:noWrap/>
            <w:vAlign w:val="bottom"/>
            <w:hideMark/>
          </w:tcPr>
          <w:p w:rsidR="00974489" w:rsidRPr="00862C8C" w:rsidRDefault="00974489" w:rsidP="00DE2F86">
            <w:pPr>
              <w:spacing w:after="0"/>
              <w:jc w:val="right"/>
              <w:rPr>
                <w:rFonts w:eastAsia="Times New Roman"/>
                <w:color w:val="000000"/>
                <w:sz w:val="18"/>
                <w:szCs w:val="16"/>
                <w:lang w:val="en-US"/>
              </w:rPr>
            </w:pPr>
            <w:r w:rsidRPr="00862C8C">
              <w:rPr>
                <w:rFonts w:eastAsia="Times New Roman"/>
                <w:color w:val="000000"/>
                <w:sz w:val="18"/>
                <w:szCs w:val="16"/>
                <w:lang w:val="en-US"/>
              </w:rPr>
              <w:t>162</w:t>
            </w:r>
          </w:p>
        </w:tc>
        <w:tc>
          <w:tcPr>
            <w:tcW w:w="576" w:type="pct"/>
            <w:tcBorders>
              <w:top w:val="nil"/>
              <w:left w:val="nil"/>
              <w:bottom w:val="single" w:sz="4" w:space="0" w:color="auto"/>
              <w:right w:val="single" w:sz="4" w:space="0" w:color="auto"/>
            </w:tcBorders>
            <w:shd w:val="clear" w:color="auto" w:fill="auto"/>
            <w:noWrap/>
            <w:vAlign w:val="bottom"/>
            <w:hideMark/>
          </w:tcPr>
          <w:p w:rsidR="00974489" w:rsidRPr="00862C8C" w:rsidRDefault="00974489" w:rsidP="00DE2F86">
            <w:pPr>
              <w:spacing w:after="0"/>
              <w:jc w:val="center"/>
              <w:rPr>
                <w:rFonts w:eastAsia="Times New Roman"/>
                <w:b/>
                <w:bCs/>
                <w:sz w:val="18"/>
                <w:szCs w:val="16"/>
                <w:lang w:val="en-US"/>
              </w:rPr>
            </w:pPr>
            <w:r w:rsidRPr="00862C8C">
              <w:rPr>
                <w:rFonts w:eastAsia="Times New Roman"/>
                <w:b/>
                <w:bCs/>
                <w:sz w:val="18"/>
                <w:szCs w:val="16"/>
                <w:lang w:val="en-US"/>
              </w:rPr>
              <w:t>484</w:t>
            </w:r>
          </w:p>
        </w:tc>
      </w:tr>
    </w:tbl>
    <w:p w:rsidR="00974489" w:rsidRDefault="00974489" w:rsidP="00974489">
      <w:pPr>
        <w:pStyle w:val="AHPRAbodybold"/>
        <w:rPr>
          <w:b w:val="0"/>
          <w:sz w:val="16"/>
          <w:szCs w:val="16"/>
        </w:rPr>
      </w:pPr>
    </w:p>
    <w:p w:rsidR="00974489" w:rsidRDefault="00974489" w:rsidP="00974489">
      <w:pPr>
        <w:pStyle w:val="AHPRAbodybold"/>
        <w:rPr>
          <w:b w:val="0"/>
          <w:sz w:val="16"/>
          <w:szCs w:val="16"/>
        </w:rPr>
      </w:pPr>
    </w:p>
    <w:p w:rsidR="00974489" w:rsidRPr="003871AF" w:rsidRDefault="00974489" w:rsidP="00974489">
      <w:pPr>
        <w:pStyle w:val="AHPRAbodybold"/>
        <w:rPr>
          <w:b w:val="0"/>
          <w:sz w:val="16"/>
          <w:szCs w:val="16"/>
        </w:rPr>
      </w:pPr>
    </w:p>
    <w:p w:rsidR="00862C8C" w:rsidRDefault="00862C8C" w:rsidP="00862C8C">
      <w:pPr>
        <w:pStyle w:val="Caption"/>
      </w:pPr>
      <w:bookmarkStart w:id="30" w:name="_Toc453007266"/>
      <w:r>
        <w:t>Table PSY</w:t>
      </w:r>
      <w:r w:rsidR="003A7386">
        <w:fldChar w:fldCharType="begin"/>
      </w:r>
      <w:r w:rsidR="003A7386">
        <w:instrText xml:space="preserve"> SEQ Table \* ARABIC </w:instrText>
      </w:r>
      <w:r w:rsidR="003A7386">
        <w:fldChar w:fldCharType="separate"/>
      </w:r>
      <w:r w:rsidR="00A57A1D">
        <w:rPr>
          <w:noProof/>
        </w:rPr>
        <w:t>7</w:t>
      </w:r>
      <w:r w:rsidR="003A7386">
        <w:rPr>
          <w:noProof/>
        </w:rPr>
        <w:fldChar w:fldCharType="end"/>
      </w:r>
      <w:r>
        <w:t xml:space="preserve">: </w:t>
      </w:r>
      <w:r w:rsidRPr="00334C01">
        <w:t>Stage at closure for notifications closed under the National Scheme (excluding NSW)</w:t>
      </w:r>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7"/>
        <w:gridCol w:w="2604"/>
        <w:gridCol w:w="2331"/>
      </w:tblGrid>
      <w:tr w:rsidR="00974489" w:rsidRPr="00862C8C" w:rsidTr="00862C8C">
        <w:trPr>
          <w:trHeight w:val="300"/>
          <w:tblHeader/>
        </w:trPr>
        <w:tc>
          <w:tcPr>
            <w:tcW w:w="2330" w:type="pct"/>
            <w:shd w:val="clear" w:color="DDEBF7" w:fill="DDEBF7"/>
            <w:noWrap/>
            <w:vAlign w:val="bottom"/>
            <w:hideMark/>
          </w:tcPr>
          <w:p w:rsidR="00974489" w:rsidRPr="00862C8C" w:rsidRDefault="00974489" w:rsidP="00DE2F86">
            <w:pPr>
              <w:spacing w:after="0"/>
              <w:rPr>
                <w:rFonts w:eastAsia="Times New Roman"/>
                <w:b/>
                <w:bCs/>
                <w:color w:val="000000"/>
                <w:sz w:val="18"/>
                <w:szCs w:val="16"/>
                <w:lang w:val="en-US"/>
              </w:rPr>
            </w:pPr>
            <w:r w:rsidRPr="00862C8C">
              <w:rPr>
                <w:rFonts w:eastAsia="Times New Roman"/>
                <w:b/>
                <w:bCs/>
                <w:color w:val="000000"/>
                <w:sz w:val="18"/>
                <w:szCs w:val="16"/>
                <w:lang w:val="en-US"/>
              </w:rPr>
              <w:t>Stage at closure</w:t>
            </w:r>
          </w:p>
        </w:tc>
        <w:tc>
          <w:tcPr>
            <w:tcW w:w="1409" w:type="pct"/>
            <w:shd w:val="clear" w:color="DDEBF7" w:fill="DDEBF7"/>
            <w:noWrap/>
            <w:vAlign w:val="bottom"/>
            <w:hideMark/>
          </w:tcPr>
          <w:p w:rsidR="00974489" w:rsidRPr="00862C8C" w:rsidRDefault="00974489" w:rsidP="00DE2F86">
            <w:pPr>
              <w:spacing w:after="0"/>
              <w:jc w:val="center"/>
              <w:rPr>
                <w:rFonts w:eastAsia="Times New Roman"/>
                <w:b/>
                <w:bCs/>
                <w:color w:val="000000"/>
                <w:sz w:val="18"/>
                <w:szCs w:val="16"/>
                <w:lang w:val="en-US"/>
              </w:rPr>
            </w:pPr>
            <w:r w:rsidRPr="00862C8C">
              <w:rPr>
                <w:rFonts w:eastAsia="Times New Roman"/>
                <w:b/>
                <w:bCs/>
                <w:color w:val="000000"/>
                <w:sz w:val="18"/>
                <w:szCs w:val="16"/>
                <w:lang w:val="en-US"/>
              </w:rPr>
              <w:t>Total 2014/15</w:t>
            </w:r>
          </w:p>
        </w:tc>
        <w:tc>
          <w:tcPr>
            <w:tcW w:w="1261" w:type="pct"/>
            <w:shd w:val="clear" w:color="DDEBF7" w:fill="DDEBF7"/>
            <w:vAlign w:val="bottom"/>
            <w:hideMark/>
          </w:tcPr>
          <w:p w:rsidR="00974489" w:rsidRPr="00862C8C" w:rsidRDefault="00974489" w:rsidP="00DE2F86">
            <w:pPr>
              <w:spacing w:after="0"/>
              <w:jc w:val="center"/>
              <w:rPr>
                <w:rFonts w:eastAsia="Times New Roman"/>
                <w:b/>
                <w:bCs/>
                <w:color w:val="000000"/>
                <w:sz w:val="18"/>
                <w:szCs w:val="16"/>
                <w:lang w:val="en-US"/>
              </w:rPr>
            </w:pPr>
            <w:r w:rsidRPr="00862C8C">
              <w:rPr>
                <w:rFonts w:eastAsia="Times New Roman"/>
                <w:b/>
                <w:bCs/>
                <w:color w:val="000000"/>
                <w:sz w:val="18"/>
                <w:szCs w:val="16"/>
                <w:lang w:val="en-US"/>
              </w:rPr>
              <w:t>Total 2013/14</w:t>
            </w:r>
          </w:p>
        </w:tc>
      </w:tr>
      <w:tr w:rsidR="00974489" w:rsidRPr="00862C8C" w:rsidTr="00862C8C">
        <w:trPr>
          <w:trHeight w:val="300"/>
        </w:trPr>
        <w:tc>
          <w:tcPr>
            <w:tcW w:w="2330" w:type="pct"/>
            <w:shd w:val="clear" w:color="auto" w:fill="auto"/>
            <w:noWrap/>
            <w:vAlign w:val="bottom"/>
            <w:hideMark/>
          </w:tcPr>
          <w:p w:rsidR="00974489" w:rsidRPr="00862C8C" w:rsidRDefault="00974489" w:rsidP="00DE2F86">
            <w:pPr>
              <w:spacing w:after="0"/>
              <w:rPr>
                <w:rFonts w:eastAsia="Times New Roman"/>
                <w:color w:val="000000"/>
                <w:sz w:val="18"/>
                <w:szCs w:val="16"/>
                <w:lang w:val="en-US"/>
              </w:rPr>
            </w:pPr>
            <w:r w:rsidRPr="00862C8C">
              <w:rPr>
                <w:rFonts w:eastAsia="Times New Roman"/>
                <w:color w:val="000000"/>
                <w:sz w:val="18"/>
                <w:szCs w:val="16"/>
                <w:lang w:val="en-US"/>
              </w:rPr>
              <w:t>Assessment</w:t>
            </w:r>
          </w:p>
        </w:tc>
        <w:tc>
          <w:tcPr>
            <w:tcW w:w="1409" w:type="pct"/>
            <w:shd w:val="clear" w:color="auto" w:fill="auto"/>
            <w:noWrap/>
            <w:vAlign w:val="bottom"/>
            <w:hideMark/>
          </w:tcPr>
          <w:p w:rsidR="00974489" w:rsidRPr="00862C8C" w:rsidRDefault="00974489" w:rsidP="00DE2F86">
            <w:pPr>
              <w:spacing w:after="0"/>
              <w:jc w:val="center"/>
              <w:rPr>
                <w:rFonts w:eastAsia="Times New Roman"/>
                <w:color w:val="000000"/>
                <w:sz w:val="18"/>
                <w:szCs w:val="16"/>
                <w:lang w:val="en-US"/>
              </w:rPr>
            </w:pPr>
            <w:r w:rsidRPr="00862C8C">
              <w:rPr>
                <w:rFonts w:eastAsia="Times New Roman"/>
                <w:color w:val="000000"/>
                <w:sz w:val="18"/>
                <w:szCs w:val="16"/>
                <w:lang w:val="en-US"/>
              </w:rPr>
              <w:t>174</w:t>
            </w:r>
          </w:p>
        </w:tc>
        <w:tc>
          <w:tcPr>
            <w:tcW w:w="1261" w:type="pct"/>
            <w:shd w:val="clear" w:color="auto" w:fill="auto"/>
            <w:noWrap/>
            <w:vAlign w:val="bottom"/>
            <w:hideMark/>
          </w:tcPr>
          <w:p w:rsidR="00974489" w:rsidRPr="00862C8C" w:rsidRDefault="00974489" w:rsidP="00DE2F86">
            <w:pPr>
              <w:spacing w:after="0"/>
              <w:jc w:val="center"/>
              <w:rPr>
                <w:rFonts w:eastAsia="Times New Roman"/>
                <w:color w:val="000000"/>
                <w:sz w:val="18"/>
                <w:szCs w:val="16"/>
                <w:lang w:val="en-US"/>
              </w:rPr>
            </w:pPr>
            <w:r w:rsidRPr="00862C8C">
              <w:rPr>
                <w:rFonts w:eastAsia="Times New Roman"/>
                <w:color w:val="000000"/>
                <w:sz w:val="18"/>
                <w:szCs w:val="16"/>
                <w:lang w:val="en-US"/>
              </w:rPr>
              <w:t>211</w:t>
            </w:r>
          </w:p>
        </w:tc>
      </w:tr>
      <w:tr w:rsidR="00974489" w:rsidRPr="00862C8C" w:rsidTr="00862C8C">
        <w:trPr>
          <w:trHeight w:val="300"/>
        </w:trPr>
        <w:tc>
          <w:tcPr>
            <w:tcW w:w="2330" w:type="pct"/>
            <w:shd w:val="clear" w:color="auto" w:fill="auto"/>
            <w:noWrap/>
            <w:vAlign w:val="bottom"/>
            <w:hideMark/>
          </w:tcPr>
          <w:p w:rsidR="00974489" w:rsidRPr="00862C8C" w:rsidRDefault="00974489" w:rsidP="00DE2F86">
            <w:pPr>
              <w:spacing w:after="0"/>
              <w:rPr>
                <w:rFonts w:eastAsia="Times New Roman"/>
                <w:color w:val="000000"/>
                <w:sz w:val="18"/>
                <w:szCs w:val="16"/>
                <w:lang w:val="en-US"/>
              </w:rPr>
            </w:pPr>
            <w:r w:rsidRPr="00862C8C">
              <w:rPr>
                <w:rFonts w:eastAsia="Times New Roman"/>
                <w:color w:val="000000"/>
                <w:sz w:val="18"/>
                <w:szCs w:val="16"/>
                <w:lang w:val="en-US"/>
              </w:rPr>
              <w:t>Health or performance assessment</w:t>
            </w:r>
          </w:p>
        </w:tc>
        <w:tc>
          <w:tcPr>
            <w:tcW w:w="1409" w:type="pct"/>
            <w:shd w:val="clear" w:color="auto" w:fill="auto"/>
            <w:noWrap/>
            <w:vAlign w:val="bottom"/>
            <w:hideMark/>
          </w:tcPr>
          <w:p w:rsidR="00974489" w:rsidRPr="00862C8C" w:rsidRDefault="00974489" w:rsidP="00DE2F86">
            <w:pPr>
              <w:spacing w:after="0"/>
              <w:jc w:val="center"/>
              <w:rPr>
                <w:rFonts w:eastAsia="Times New Roman"/>
                <w:color w:val="000000"/>
                <w:sz w:val="18"/>
                <w:szCs w:val="16"/>
                <w:lang w:val="en-US"/>
              </w:rPr>
            </w:pPr>
            <w:r w:rsidRPr="00862C8C">
              <w:rPr>
                <w:rFonts w:eastAsia="Times New Roman"/>
                <w:color w:val="000000"/>
                <w:sz w:val="18"/>
                <w:szCs w:val="16"/>
                <w:lang w:val="en-US"/>
              </w:rPr>
              <w:t>16</w:t>
            </w:r>
          </w:p>
        </w:tc>
        <w:tc>
          <w:tcPr>
            <w:tcW w:w="1261" w:type="pct"/>
            <w:shd w:val="clear" w:color="auto" w:fill="auto"/>
            <w:noWrap/>
            <w:vAlign w:val="bottom"/>
            <w:hideMark/>
          </w:tcPr>
          <w:p w:rsidR="00974489" w:rsidRPr="00862C8C" w:rsidRDefault="00974489" w:rsidP="00DE2F86">
            <w:pPr>
              <w:spacing w:after="0"/>
              <w:jc w:val="center"/>
              <w:rPr>
                <w:rFonts w:eastAsia="Times New Roman"/>
                <w:color w:val="000000"/>
                <w:sz w:val="18"/>
                <w:szCs w:val="16"/>
                <w:lang w:val="en-US"/>
              </w:rPr>
            </w:pPr>
            <w:r w:rsidRPr="00862C8C">
              <w:rPr>
                <w:rFonts w:eastAsia="Times New Roman"/>
                <w:color w:val="000000"/>
                <w:sz w:val="18"/>
                <w:szCs w:val="16"/>
                <w:lang w:val="en-US"/>
              </w:rPr>
              <w:t>14</w:t>
            </w:r>
          </w:p>
        </w:tc>
      </w:tr>
      <w:tr w:rsidR="00974489" w:rsidRPr="00862C8C" w:rsidTr="00862C8C">
        <w:trPr>
          <w:trHeight w:val="300"/>
        </w:trPr>
        <w:tc>
          <w:tcPr>
            <w:tcW w:w="2330" w:type="pct"/>
            <w:shd w:val="clear" w:color="auto" w:fill="auto"/>
            <w:noWrap/>
            <w:vAlign w:val="bottom"/>
            <w:hideMark/>
          </w:tcPr>
          <w:p w:rsidR="00974489" w:rsidRPr="00862C8C" w:rsidRDefault="00974489" w:rsidP="00DE2F86">
            <w:pPr>
              <w:spacing w:after="0"/>
              <w:rPr>
                <w:rFonts w:eastAsia="Times New Roman"/>
                <w:color w:val="000000"/>
                <w:sz w:val="18"/>
                <w:szCs w:val="16"/>
                <w:lang w:val="en-US"/>
              </w:rPr>
            </w:pPr>
            <w:r w:rsidRPr="00862C8C">
              <w:rPr>
                <w:rFonts w:eastAsia="Times New Roman"/>
                <w:color w:val="000000"/>
                <w:sz w:val="18"/>
                <w:szCs w:val="16"/>
                <w:lang w:val="en-US"/>
              </w:rPr>
              <w:t>Investigation</w:t>
            </w:r>
          </w:p>
        </w:tc>
        <w:tc>
          <w:tcPr>
            <w:tcW w:w="1409" w:type="pct"/>
            <w:shd w:val="clear" w:color="auto" w:fill="auto"/>
            <w:noWrap/>
            <w:vAlign w:val="bottom"/>
            <w:hideMark/>
          </w:tcPr>
          <w:p w:rsidR="00974489" w:rsidRPr="00862C8C" w:rsidRDefault="00974489" w:rsidP="00DE2F86">
            <w:pPr>
              <w:spacing w:after="0"/>
              <w:jc w:val="center"/>
              <w:rPr>
                <w:rFonts w:eastAsia="Times New Roman"/>
                <w:color w:val="000000"/>
                <w:sz w:val="18"/>
                <w:szCs w:val="16"/>
                <w:lang w:val="en-US"/>
              </w:rPr>
            </w:pPr>
            <w:r w:rsidRPr="00862C8C">
              <w:rPr>
                <w:rFonts w:eastAsia="Times New Roman"/>
                <w:color w:val="000000"/>
                <w:sz w:val="18"/>
                <w:szCs w:val="16"/>
                <w:lang w:val="en-US"/>
              </w:rPr>
              <w:t>77</w:t>
            </w:r>
          </w:p>
        </w:tc>
        <w:tc>
          <w:tcPr>
            <w:tcW w:w="1261" w:type="pct"/>
            <w:shd w:val="clear" w:color="auto" w:fill="auto"/>
            <w:noWrap/>
            <w:vAlign w:val="bottom"/>
            <w:hideMark/>
          </w:tcPr>
          <w:p w:rsidR="00974489" w:rsidRPr="00862C8C" w:rsidRDefault="00974489" w:rsidP="00DE2F86">
            <w:pPr>
              <w:spacing w:after="0"/>
              <w:jc w:val="center"/>
              <w:rPr>
                <w:rFonts w:eastAsia="Times New Roman"/>
                <w:color w:val="000000"/>
                <w:sz w:val="18"/>
                <w:szCs w:val="16"/>
                <w:lang w:val="en-US"/>
              </w:rPr>
            </w:pPr>
            <w:r w:rsidRPr="00862C8C">
              <w:rPr>
                <w:rFonts w:eastAsia="Times New Roman"/>
                <w:color w:val="000000"/>
                <w:sz w:val="18"/>
                <w:szCs w:val="16"/>
                <w:lang w:val="en-US"/>
              </w:rPr>
              <w:t>54</w:t>
            </w:r>
          </w:p>
        </w:tc>
      </w:tr>
      <w:tr w:rsidR="00974489" w:rsidRPr="00862C8C" w:rsidTr="00862C8C">
        <w:trPr>
          <w:trHeight w:val="300"/>
        </w:trPr>
        <w:tc>
          <w:tcPr>
            <w:tcW w:w="2330" w:type="pct"/>
            <w:shd w:val="clear" w:color="auto" w:fill="auto"/>
            <w:noWrap/>
            <w:vAlign w:val="bottom"/>
            <w:hideMark/>
          </w:tcPr>
          <w:p w:rsidR="00974489" w:rsidRPr="00862C8C" w:rsidRDefault="00974489" w:rsidP="00DE2F86">
            <w:pPr>
              <w:spacing w:after="0"/>
              <w:rPr>
                <w:rFonts w:eastAsia="Times New Roman"/>
                <w:color w:val="000000"/>
                <w:sz w:val="18"/>
                <w:szCs w:val="16"/>
                <w:lang w:val="en-US"/>
              </w:rPr>
            </w:pPr>
            <w:r w:rsidRPr="00862C8C">
              <w:rPr>
                <w:rFonts w:eastAsia="Times New Roman"/>
                <w:color w:val="000000"/>
                <w:sz w:val="18"/>
                <w:szCs w:val="16"/>
                <w:lang w:val="en-US"/>
              </w:rPr>
              <w:t>Panel hearing</w:t>
            </w:r>
          </w:p>
        </w:tc>
        <w:tc>
          <w:tcPr>
            <w:tcW w:w="1409" w:type="pct"/>
            <w:shd w:val="clear" w:color="auto" w:fill="auto"/>
            <w:noWrap/>
            <w:vAlign w:val="bottom"/>
            <w:hideMark/>
          </w:tcPr>
          <w:p w:rsidR="00974489" w:rsidRPr="00862C8C" w:rsidRDefault="00974489" w:rsidP="00DE2F86">
            <w:pPr>
              <w:spacing w:after="0"/>
              <w:jc w:val="center"/>
              <w:rPr>
                <w:rFonts w:eastAsia="Times New Roman"/>
                <w:color w:val="000000"/>
                <w:sz w:val="18"/>
                <w:szCs w:val="16"/>
                <w:lang w:val="en-US"/>
              </w:rPr>
            </w:pPr>
            <w:r w:rsidRPr="00862C8C">
              <w:rPr>
                <w:rFonts w:eastAsia="Times New Roman"/>
                <w:color w:val="000000"/>
                <w:sz w:val="18"/>
                <w:szCs w:val="16"/>
                <w:lang w:val="en-US"/>
              </w:rPr>
              <w:t>24</w:t>
            </w:r>
          </w:p>
        </w:tc>
        <w:tc>
          <w:tcPr>
            <w:tcW w:w="1261" w:type="pct"/>
            <w:shd w:val="clear" w:color="auto" w:fill="auto"/>
            <w:noWrap/>
            <w:vAlign w:val="bottom"/>
            <w:hideMark/>
          </w:tcPr>
          <w:p w:rsidR="00974489" w:rsidRPr="00862C8C" w:rsidRDefault="00974489" w:rsidP="00DE2F86">
            <w:pPr>
              <w:spacing w:after="0"/>
              <w:jc w:val="center"/>
              <w:rPr>
                <w:rFonts w:eastAsia="Times New Roman"/>
                <w:color w:val="000000"/>
                <w:sz w:val="18"/>
                <w:szCs w:val="16"/>
                <w:lang w:val="en-US"/>
              </w:rPr>
            </w:pPr>
            <w:r w:rsidRPr="00862C8C">
              <w:rPr>
                <w:rFonts w:eastAsia="Times New Roman"/>
                <w:color w:val="000000"/>
                <w:sz w:val="18"/>
                <w:szCs w:val="16"/>
                <w:lang w:val="en-US"/>
              </w:rPr>
              <w:t>36</w:t>
            </w:r>
          </w:p>
        </w:tc>
      </w:tr>
      <w:tr w:rsidR="00974489" w:rsidRPr="00862C8C" w:rsidTr="00862C8C">
        <w:trPr>
          <w:trHeight w:val="300"/>
        </w:trPr>
        <w:tc>
          <w:tcPr>
            <w:tcW w:w="2330" w:type="pct"/>
            <w:shd w:val="clear" w:color="auto" w:fill="auto"/>
            <w:noWrap/>
            <w:vAlign w:val="bottom"/>
            <w:hideMark/>
          </w:tcPr>
          <w:p w:rsidR="00974489" w:rsidRPr="00862C8C" w:rsidRDefault="00974489" w:rsidP="00DE2F86">
            <w:pPr>
              <w:spacing w:after="0"/>
              <w:rPr>
                <w:rFonts w:eastAsia="Times New Roman"/>
                <w:color w:val="000000"/>
                <w:sz w:val="18"/>
                <w:szCs w:val="16"/>
                <w:lang w:val="en-US"/>
              </w:rPr>
            </w:pPr>
            <w:r w:rsidRPr="00862C8C">
              <w:rPr>
                <w:rFonts w:eastAsia="Times New Roman"/>
                <w:color w:val="000000"/>
                <w:sz w:val="18"/>
                <w:szCs w:val="16"/>
                <w:lang w:val="en-US"/>
              </w:rPr>
              <w:t>Tribunal hearing</w:t>
            </w:r>
          </w:p>
        </w:tc>
        <w:tc>
          <w:tcPr>
            <w:tcW w:w="1409" w:type="pct"/>
            <w:shd w:val="clear" w:color="auto" w:fill="auto"/>
            <w:noWrap/>
            <w:vAlign w:val="bottom"/>
            <w:hideMark/>
          </w:tcPr>
          <w:p w:rsidR="00974489" w:rsidRPr="00862C8C" w:rsidRDefault="00974489" w:rsidP="00DE2F86">
            <w:pPr>
              <w:spacing w:after="0"/>
              <w:jc w:val="center"/>
              <w:rPr>
                <w:rFonts w:eastAsia="Times New Roman"/>
                <w:color w:val="000000"/>
                <w:sz w:val="18"/>
                <w:szCs w:val="16"/>
                <w:lang w:val="en-US"/>
              </w:rPr>
            </w:pPr>
            <w:r w:rsidRPr="00862C8C">
              <w:rPr>
                <w:rFonts w:eastAsia="Times New Roman"/>
                <w:color w:val="000000"/>
                <w:sz w:val="18"/>
                <w:szCs w:val="16"/>
                <w:lang w:val="en-US"/>
              </w:rPr>
              <w:t>22</w:t>
            </w:r>
          </w:p>
        </w:tc>
        <w:tc>
          <w:tcPr>
            <w:tcW w:w="1261" w:type="pct"/>
            <w:shd w:val="clear" w:color="auto" w:fill="auto"/>
            <w:noWrap/>
            <w:vAlign w:val="bottom"/>
            <w:hideMark/>
          </w:tcPr>
          <w:p w:rsidR="00974489" w:rsidRPr="00862C8C" w:rsidRDefault="00974489" w:rsidP="00DE2F86">
            <w:pPr>
              <w:spacing w:after="0"/>
              <w:jc w:val="center"/>
              <w:rPr>
                <w:rFonts w:eastAsia="Times New Roman"/>
                <w:color w:val="000000"/>
                <w:sz w:val="18"/>
                <w:szCs w:val="16"/>
                <w:lang w:val="en-US"/>
              </w:rPr>
            </w:pPr>
            <w:r w:rsidRPr="00862C8C">
              <w:rPr>
                <w:rFonts w:eastAsia="Times New Roman"/>
                <w:color w:val="000000"/>
                <w:sz w:val="18"/>
                <w:szCs w:val="16"/>
                <w:lang w:val="en-US"/>
              </w:rPr>
              <w:t>7</w:t>
            </w:r>
          </w:p>
        </w:tc>
      </w:tr>
      <w:tr w:rsidR="00974489" w:rsidRPr="00862C8C" w:rsidTr="00862C8C">
        <w:trPr>
          <w:trHeight w:val="300"/>
        </w:trPr>
        <w:tc>
          <w:tcPr>
            <w:tcW w:w="2330" w:type="pct"/>
            <w:shd w:val="clear" w:color="auto" w:fill="auto"/>
            <w:noWrap/>
            <w:vAlign w:val="bottom"/>
            <w:hideMark/>
          </w:tcPr>
          <w:p w:rsidR="00974489" w:rsidRPr="00862C8C" w:rsidRDefault="00974489" w:rsidP="00DE2F86">
            <w:pPr>
              <w:spacing w:after="0"/>
              <w:rPr>
                <w:rFonts w:eastAsia="Times New Roman"/>
                <w:b/>
                <w:bCs/>
                <w:color w:val="000000"/>
                <w:sz w:val="18"/>
                <w:szCs w:val="16"/>
                <w:lang w:val="en-US"/>
              </w:rPr>
            </w:pPr>
            <w:r w:rsidRPr="00862C8C">
              <w:rPr>
                <w:rFonts w:eastAsia="Times New Roman"/>
                <w:b/>
                <w:bCs/>
                <w:color w:val="000000"/>
                <w:sz w:val="18"/>
                <w:szCs w:val="16"/>
                <w:lang w:val="en-US"/>
              </w:rPr>
              <w:t>Total</w:t>
            </w:r>
          </w:p>
        </w:tc>
        <w:tc>
          <w:tcPr>
            <w:tcW w:w="1409" w:type="pct"/>
            <w:shd w:val="clear" w:color="auto" w:fill="auto"/>
            <w:noWrap/>
            <w:vAlign w:val="bottom"/>
            <w:hideMark/>
          </w:tcPr>
          <w:p w:rsidR="00974489" w:rsidRPr="00862C8C" w:rsidRDefault="00974489" w:rsidP="00DE2F86">
            <w:pPr>
              <w:spacing w:after="0"/>
              <w:jc w:val="center"/>
              <w:rPr>
                <w:rFonts w:eastAsia="Times New Roman"/>
                <w:b/>
                <w:bCs/>
                <w:color w:val="000000"/>
                <w:sz w:val="18"/>
                <w:szCs w:val="16"/>
                <w:lang w:val="en-US"/>
              </w:rPr>
            </w:pPr>
            <w:r w:rsidRPr="00862C8C">
              <w:rPr>
                <w:rFonts w:eastAsia="Times New Roman"/>
                <w:b/>
                <w:bCs/>
                <w:color w:val="000000"/>
                <w:sz w:val="18"/>
                <w:szCs w:val="16"/>
                <w:lang w:val="en-US"/>
              </w:rPr>
              <w:t>313</w:t>
            </w:r>
          </w:p>
        </w:tc>
        <w:tc>
          <w:tcPr>
            <w:tcW w:w="1261" w:type="pct"/>
            <w:shd w:val="clear" w:color="auto" w:fill="auto"/>
            <w:noWrap/>
            <w:vAlign w:val="bottom"/>
            <w:hideMark/>
          </w:tcPr>
          <w:p w:rsidR="00974489" w:rsidRPr="00862C8C" w:rsidRDefault="00974489" w:rsidP="00DE2F86">
            <w:pPr>
              <w:spacing w:after="0"/>
              <w:jc w:val="center"/>
              <w:rPr>
                <w:rFonts w:eastAsia="Times New Roman"/>
                <w:b/>
                <w:bCs/>
                <w:color w:val="000000"/>
                <w:sz w:val="18"/>
                <w:szCs w:val="16"/>
                <w:lang w:val="en-US"/>
              </w:rPr>
            </w:pPr>
            <w:r w:rsidRPr="00862C8C">
              <w:rPr>
                <w:rFonts w:eastAsia="Times New Roman"/>
                <w:b/>
                <w:bCs/>
                <w:color w:val="000000"/>
                <w:sz w:val="18"/>
                <w:szCs w:val="16"/>
                <w:lang w:val="en-US"/>
              </w:rPr>
              <w:t>322</w:t>
            </w:r>
          </w:p>
        </w:tc>
      </w:tr>
    </w:tbl>
    <w:p w:rsidR="00974489" w:rsidRPr="003871AF" w:rsidRDefault="00974489" w:rsidP="00974489">
      <w:pPr>
        <w:pStyle w:val="AHPRAbodybold"/>
        <w:rPr>
          <w:b w:val="0"/>
          <w:sz w:val="16"/>
          <w:szCs w:val="16"/>
        </w:rPr>
      </w:pPr>
    </w:p>
    <w:p w:rsidR="00862C8C" w:rsidRDefault="00862C8C" w:rsidP="00862C8C">
      <w:pPr>
        <w:pStyle w:val="Caption"/>
      </w:pPr>
      <w:bookmarkStart w:id="31" w:name="_Toc453007267"/>
      <w:r>
        <w:t>Table PSY</w:t>
      </w:r>
      <w:r w:rsidR="003A7386">
        <w:fldChar w:fldCharType="begin"/>
      </w:r>
      <w:r w:rsidR="003A7386">
        <w:instrText xml:space="preserve"> SEQ Table \* ARABIC </w:instrText>
      </w:r>
      <w:r w:rsidR="003A7386">
        <w:fldChar w:fldCharType="separate"/>
      </w:r>
      <w:r w:rsidR="00A57A1D">
        <w:rPr>
          <w:noProof/>
        </w:rPr>
        <w:t>8</w:t>
      </w:r>
      <w:r w:rsidR="003A7386">
        <w:rPr>
          <w:noProof/>
        </w:rPr>
        <w:fldChar w:fldCharType="end"/>
      </w:r>
      <w:r>
        <w:t xml:space="preserve">: </w:t>
      </w:r>
      <w:r w:rsidRPr="004D20B9">
        <w:t>Outcome at closure for notifications closed under the National Scheme (excluding NSW)</w:t>
      </w:r>
      <w:bookmarkEnd w:id="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0"/>
        <w:gridCol w:w="2551"/>
        <w:gridCol w:w="2331"/>
      </w:tblGrid>
      <w:tr w:rsidR="00974489" w:rsidRPr="00862C8C" w:rsidTr="00862C8C">
        <w:trPr>
          <w:trHeight w:val="300"/>
          <w:tblHeader/>
        </w:trPr>
        <w:tc>
          <w:tcPr>
            <w:tcW w:w="2359" w:type="pct"/>
            <w:shd w:val="clear" w:color="DDEBF7" w:fill="DDEBF7"/>
            <w:noWrap/>
            <w:vAlign w:val="bottom"/>
            <w:hideMark/>
          </w:tcPr>
          <w:p w:rsidR="00974489" w:rsidRPr="00862C8C" w:rsidRDefault="00974489" w:rsidP="00DE2F86">
            <w:pPr>
              <w:spacing w:after="0"/>
              <w:rPr>
                <w:rFonts w:eastAsia="Times New Roman"/>
                <w:b/>
                <w:bCs/>
                <w:color w:val="000000"/>
                <w:sz w:val="18"/>
                <w:szCs w:val="16"/>
                <w:lang w:val="en-US"/>
              </w:rPr>
            </w:pPr>
            <w:r w:rsidRPr="00862C8C">
              <w:rPr>
                <w:rFonts w:eastAsia="Times New Roman"/>
                <w:b/>
                <w:bCs/>
                <w:color w:val="000000"/>
                <w:sz w:val="18"/>
                <w:szCs w:val="16"/>
                <w:lang w:val="en-US"/>
              </w:rPr>
              <w:t>Outcome at closure</w:t>
            </w:r>
          </w:p>
        </w:tc>
        <w:tc>
          <w:tcPr>
            <w:tcW w:w="1380" w:type="pct"/>
            <w:shd w:val="clear" w:color="DDEBF7" w:fill="DDEBF7"/>
            <w:noWrap/>
            <w:vAlign w:val="bottom"/>
            <w:hideMark/>
          </w:tcPr>
          <w:p w:rsidR="00974489" w:rsidRPr="00862C8C" w:rsidRDefault="00974489" w:rsidP="00DE2F86">
            <w:pPr>
              <w:spacing w:after="0"/>
              <w:jc w:val="center"/>
              <w:rPr>
                <w:rFonts w:eastAsia="Times New Roman"/>
                <w:b/>
                <w:bCs/>
                <w:color w:val="000000"/>
                <w:sz w:val="18"/>
                <w:szCs w:val="16"/>
                <w:lang w:val="en-US"/>
              </w:rPr>
            </w:pPr>
            <w:r w:rsidRPr="00862C8C">
              <w:rPr>
                <w:rFonts w:eastAsia="Times New Roman"/>
                <w:b/>
                <w:bCs/>
                <w:color w:val="000000"/>
                <w:sz w:val="18"/>
                <w:szCs w:val="16"/>
                <w:lang w:val="en-US"/>
              </w:rPr>
              <w:t>Total 2014/15</w:t>
            </w:r>
          </w:p>
        </w:tc>
        <w:tc>
          <w:tcPr>
            <w:tcW w:w="1261" w:type="pct"/>
            <w:shd w:val="clear" w:color="DDEBF7" w:fill="DDEBF7"/>
            <w:vAlign w:val="bottom"/>
            <w:hideMark/>
          </w:tcPr>
          <w:p w:rsidR="00974489" w:rsidRPr="00862C8C" w:rsidRDefault="00974489" w:rsidP="00DE2F86">
            <w:pPr>
              <w:spacing w:after="0"/>
              <w:jc w:val="center"/>
              <w:rPr>
                <w:rFonts w:eastAsia="Times New Roman"/>
                <w:b/>
                <w:bCs/>
                <w:color w:val="000000"/>
                <w:sz w:val="18"/>
                <w:szCs w:val="16"/>
                <w:lang w:val="en-US"/>
              </w:rPr>
            </w:pPr>
            <w:r w:rsidRPr="00862C8C">
              <w:rPr>
                <w:rFonts w:eastAsia="Times New Roman"/>
                <w:b/>
                <w:bCs/>
                <w:color w:val="000000"/>
                <w:sz w:val="18"/>
                <w:szCs w:val="16"/>
                <w:lang w:val="en-US"/>
              </w:rPr>
              <w:t>Total 2013/14</w:t>
            </w:r>
          </w:p>
        </w:tc>
      </w:tr>
      <w:tr w:rsidR="00974489" w:rsidRPr="00862C8C" w:rsidTr="00862C8C">
        <w:trPr>
          <w:trHeight w:val="300"/>
        </w:trPr>
        <w:tc>
          <w:tcPr>
            <w:tcW w:w="2359" w:type="pct"/>
            <w:shd w:val="clear" w:color="auto" w:fill="auto"/>
            <w:noWrap/>
            <w:vAlign w:val="bottom"/>
            <w:hideMark/>
          </w:tcPr>
          <w:p w:rsidR="00974489" w:rsidRPr="00862C8C" w:rsidRDefault="00974489" w:rsidP="00DE2F86">
            <w:pPr>
              <w:spacing w:after="0"/>
              <w:rPr>
                <w:rFonts w:eastAsia="Times New Roman"/>
                <w:color w:val="000000"/>
                <w:sz w:val="18"/>
                <w:szCs w:val="16"/>
                <w:lang w:val="en-US"/>
              </w:rPr>
            </w:pPr>
            <w:r w:rsidRPr="00862C8C">
              <w:rPr>
                <w:rFonts w:eastAsia="Times New Roman"/>
                <w:color w:val="000000"/>
                <w:sz w:val="18"/>
                <w:szCs w:val="16"/>
                <w:lang w:val="en-US"/>
              </w:rPr>
              <w:t>No further action</w:t>
            </w:r>
          </w:p>
        </w:tc>
        <w:tc>
          <w:tcPr>
            <w:tcW w:w="1380" w:type="pct"/>
            <w:shd w:val="clear" w:color="auto" w:fill="auto"/>
            <w:noWrap/>
            <w:vAlign w:val="bottom"/>
            <w:hideMark/>
          </w:tcPr>
          <w:p w:rsidR="00974489" w:rsidRPr="00862C8C" w:rsidRDefault="00974489" w:rsidP="00DE2F86">
            <w:pPr>
              <w:spacing w:after="0"/>
              <w:jc w:val="center"/>
              <w:rPr>
                <w:rFonts w:eastAsia="Times New Roman"/>
                <w:color w:val="000000"/>
                <w:sz w:val="18"/>
                <w:szCs w:val="16"/>
                <w:lang w:val="en-US"/>
              </w:rPr>
            </w:pPr>
            <w:r w:rsidRPr="00862C8C">
              <w:rPr>
                <w:rFonts w:eastAsia="Times New Roman"/>
                <w:color w:val="000000"/>
                <w:sz w:val="18"/>
                <w:szCs w:val="16"/>
                <w:lang w:val="en-US"/>
              </w:rPr>
              <w:t>202</w:t>
            </w:r>
          </w:p>
        </w:tc>
        <w:tc>
          <w:tcPr>
            <w:tcW w:w="1261" w:type="pct"/>
            <w:shd w:val="clear" w:color="auto" w:fill="auto"/>
            <w:noWrap/>
            <w:vAlign w:val="bottom"/>
            <w:hideMark/>
          </w:tcPr>
          <w:p w:rsidR="00974489" w:rsidRPr="00862C8C" w:rsidRDefault="00974489" w:rsidP="00DE2F86">
            <w:pPr>
              <w:spacing w:after="0"/>
              <w:jc w:val="center"/>
              <w:rPr>
                <w:rFonts w:eastAsia="Times New Roman"/>
                <w:color w:val="000000"/>
                <w:sz w:val="18"/>
                <w:szCs w:val="16"/>
                <w:lang w:val="en-US"/>
              </w:rPr>
            </w:pPr>
            <w:r w:rsidRPr="00862C8C">
              <w:rPr>
                <w:rFonts w:eastAsia="Times New Roman"/>
                <w:color w:val="000000"/>
                <w:sz w:val="18"/>
                <w:szCs w:val="16"/>
                <w:lang w:val="en-US"/>
              </w:rPr>
              <w:t>222</w:t>
            </w:r>
          </w:p>
        </w:tc>
      </w:tr>
      <w:tr w:rsidR="00974489" w:rsidRPr="00862C8C" w:rsidTr="00862C8C">
        <w:trPr>
          <w:trHeight w:val="300"/>
        </w:trPr>
        <w:tc>
          <w:tcPr>
            <w:tcW w:w="2359" w:type="pct"/>
            <w:shd w:val="clear" w:color="auto" w:fill="auto"/>
            <w:noWrap/>
            <w:vAlign w:val="bottom"/>
            <w:hideMark/>
          </w:tcPr>
          <w:p w:rsidR="00974489" w:rsidRPr="00862C8C" w:rsidRDefault="00974489" w:rsidP="00DE2F86">
            <w:pPr>
              <w:spacing w:after="0"/>
              <w:rPr>
                <w:rFonts w:eastAsia="Times New Roman"/>
                <w:color w:val="000000"/>
                <w:sz w:val="18"/>
                <w:szCs w:val="16"/>
                <w:lang w:val="en-US"/>
              </w:rPr>
            </w:pPr>
            <w:r w:rsidRPr="00862C8C">
              <w:rPr>
                <w:rFonts w:eastAsia="Times New Roman"/>
                <w:color w:val="000000"/>
                <w:sz w:val="18"/>
                <w:szCs w:val="16"/>
                <w:lang w:val="en-US"/>
              </w:rPr>
              <w:t>Refer all of the notification to another body</w:t>
            </w:r>
          </w:p>
        </w:tc>
        <w:tc>
          <w:tcPr>
            <w:tcW w:w="1380" w:type="pct"/>
            <w:shd w:val="clear" w:color="auto" w:fill="auto"/>
            <w:noWrap/>
            <w:vAlign w:val="bottom"/>
            <w:hideMark/>
          </w:tcPr>
          <w:p w:rsidR="00974489" w:rsidRPr="00862C8C" w:rsidRDefault="00974489" w:rsidP="00DE2F86">
            <w:pPr>
              <w:spacing w:after="0"/>
              <w:jc w:val="center"/>
              <w:rPr>
                <w:rFonts w:eastAsia="Times New Roman"/>
                <w:color w:val="000000"/>
                <w:sz w:val="18"/>
                <w:szCs w:val="16"/>
                <w:lang w:val="en-US"/>
              </w:rPr>
            </w:pPr>
            <w:r w:rsidRPr="00862C8C">
              <w:rPr>
                <w:rFonts w:eastAsia="Times New Roman"/>
                <w:color w:val="000000"/>
                <w:sz w:val="18"/>
                <w:szCs w:val="16"/>
                <w:lang w:val="en-US"/>
              </w:rPr>
              <w:t>1</w:t>
            </w:r>
          </w:p>
        </w:tc>
        <w:tc>
          <w:tcPr>
            <w:tcW w:w="1261" w:type="pct"/>
            <w:shd w:val="clear" w:color="auto" w:fill="auto"/>
            <w:noWrap/>
            <w:vAlign w:val="bottom"/>
            <w:hideMark/>
          </w:tcPr>
          <w:p w:rsidR="00974489" w:rsidRPr="00862C8C" w:rsidRDefault="00974489" w:rsidP="00DE2F86">
            <w:pPr>
              <w:spacing w:after="0"/>
              <w:jc w:val="center"/>
              <w:rPr>
                <w:rFonts w:eastAsia="Times New Roman"/>
                <w:color w:val="000000"/>
                <w:sz w:val="18"/>
                <w:szCs w:val="16"/>
                <w:lang w:val="en-US"/>
              </w:rPr>
            </w:pPr>
            <w:r w:rsidRPr="00862C8C">
              <w:rPr>
                <w:rFonts w:eastAsia="Times New Roman"/>
                <w:color w:val="000000"/>
                <w:sz w:val="18"/>
                <w:szCs w:val="16"/>
                <w:lang w:val="en-US"/>
              </w:rPr>
              <w:t>1</w:t>
            </w:r>
          </w:p>
        </w:tc>
      </w:tr>
      <w:tr w:rsidR="00974489" w:rsidRPr="00862C8C" w:rsidTr="00862C8C">
        <w:trPr>
          <w:trHeight w:val="300"/>
        </w:trPr>
        <w:tc>
          <w:tcPr>
            <w:tcW w:w="2359" w:type="pct"/>
            <w:shd w:val="clear" w:color="auto" w:fill="auto"/>
            <w:noWrap/>
            <w:vAlign w:val="bottom"/>
            <w:hideMark/>
          </w:tcPr>
          <w:p w:rsidR="00974489" w:rsidRPr="00862C8C" w:rsidRDefault="00974489" w:rsidP="00DE2F86">
            <w:pPr>
              <w:spacing w:after="0"/>
              <w:rPr>
                <w:rFonts w:eastAsia="Times New Roman"/>
                <w:color w:val="000000"/>
                <w:sz w:val="18"/>
                <w:szCs w:val="16"/>
                <w:lang w:val="en-US"/>
              </w:rPr>
            </w:pPr>
            <w:r w:rsidRPr="00862C8C">
              <w:rPr>
                <w:rFonts w:eastAsia="Times New Roman"/>
                <w:color w:val="000000"/>
                <w:sz w:val="18"/>
                <w:szCs w:val="16"/>
                <w:lang w:val="en-US"/>
              </w:rPr>
              <w:t>Refer part of the notification to another body</w:t>
            </w:r>
          </w:p>
        </w:tc>
        <w:tc>
          <w:tcPr>
            <w:tcW w:w="1380" w:type="pct"/>
            <w:shd w:val="clear" w:color="auto" w:fill="auto"/>
            <w:noWrap/>
            <w:vAlign w:val="bottom"/>
            <w:hideMark/>
          </w:tcPr>
          <w:p w:rsidR="00974489" w:rsidRPr="00862C8C" w:rsidRDefault="00974489" w:rsidP="00DE2F86">
            <w:pPr>
              <w:spacing w:after="0"/>
              <w:jc w:val="center"/>
              <w:rPr>
                <w:rFonts w:eastAsia="Times New Roman"/>
                <w:color w:val="000000"/>
                <w:sz w:val="18"/>
                <w:szCs w:val="16"/>
                <w:lang w:val="en-US"/>
              </w:rPr>
            </w:pPr>
            <w:r w:rsidRPr="00862C8C">
              <w:rPr>
                <w:rFonts w:eastAsia="Times New Roman"/>
                <w:color w:val="000000"/>
                <w:sz w:val="18"/>
                <w:szCs w:val="16"/>
                <w:lang w:val="en-US"/>
              </w:rPr>
              <w:t> </w:t>
            </w:r>
          </w:p>
        </w:tc>
        <w:tc>
          <w:tcPr>
            <w:tcW w:w="1261" w:type="pct"/>
            <w:shd w:val="clear" w:color="auto" w:fill="auto"/>
            <w:noWrap/>
            <w:vAlign w:val="bottom"/>
            <w:hideMark/>
          </w:tcPr>
          <w:p w:rsidR="00974489" w:rsidRPr="00862C8C" w:rsidRDefault="00974489" w:rsidP="00DE2F86">
            <w:pPr>
              <w:spacing w:after="0"/>
              <w:jc w:val="center"/>
              <w:rPr>
                <w:rFonts w:eastAsia="Times New Roman"/>
                <w:color w:val="000000"/>
                <w:sz w:val="18"/>
                <w:szCs w:val="16"/>
                <w:lang w:val="en-US"/>
              </w:rPr>
            </w:pPr>
            <w:r w:rsidRPr="00862C8C">
              <w:rPr>
                <w:rFonts w:eastAsia="Times New Roman"/>
                <w:color w:val="000000"/>
                <w:sz w:val="18"/>
                <w:szCs w:val="16"/>
                <w:lang w:val="en-US"/>
              </w:rPr>
              <w:t> </w:t>
            </w:r>
          </w:p>
        </w:tc>
      </w:tr>
      <w:tr w:rsidR="00974489" w:rsidRPr="00862C8C" w:rsidTr="00862C8C">
        <w:trPr>
          <w:trHeight w:val="300"/>
        </w:trPr>
        <w:tc>
          <w:tcPr>
            <w:tcW w:w="2359" w:type="pct"/>
            <w:shd w:val="clear" w:color="auto" w:fill="auto"/>
            <w:noWrap/>
            <w:vAlign w:val="bottom"/>
            <w:hideMark/>
          </w:tcPr>
          <w:p w:rsidR="00974489" w:rsidRPr="00862C8C" w:rsidRDefault="00974489" w:rsidP="00DE2F86">
            <w:pPr>
              <w:spacing w:after="0"/>
              <w:rPr>
                <w:rFonts w:eastAsia="Times New Roman"/>
                <w:color w:val="000000"/>
                <w:sz w:val="18"/>
                <w:szCs w:val="16"/>
                <w:lang w:val="en-US"/>
              </w:rPr>
            </w:pPr>
            <w:r w:rsidRPr="00862C8C">
              <w:rPr>
                <w:rFonts w:eastAsia="Times New Roman"/>
                <w:color w:val="000000"/>
                <w:sz w:val="18"/>
                <w:szCs w:val="16"/>
                <w:lang w:val="en-US"/>
              </w:rPr>
              <w:t>Health complaints entity to retain</w:t>
            </w:r>
          </w:p>
        </w:tc>
        <w:tc>
          <w:tcPr>
            <w:tcW w:w="1380" w:type="pct"/>
            <w:shd w:val="clear" w:color="auto" w:fill="auto"/>
            <w:noWrap/>
            <w:vAlign w:val="bottom"/>
            <w:hideMark/>
          </w:tcPr>
          <w:p w:rsidR="00974489" w:rsidRPr="00862C8C" w:rsidRDefault="00974489" w:rsidP="00DE2F86">
            <w:pPr>
              <w:spacing w:after="0"/>
              <w:jc w:val="center"/>
              <w:rPr>
                <w:rFonts w:eastAsia="Times New Roman"/>
                <w:color w:val="000000"/>
                <w:sz w:val="18"/>
                <w:szCs w:val="16"/>
                <w:lang w:val="en-US"/>
              </w:rPr>
            </w:pPr>
            <w:r w:rsidRPr="00862C8C">
              <w:rPr>
                <w:rFonts w:eastAsia="Times New Roman"/>
                <w:color w:val="000000"/>
                <w:sz w:val="18"/>
                <w:szCs w:val="16"/>
                <w:lang w:val="en-US"/>
              </w:rPr>
              <w:t>4</w:t>
            </w:r>
          </w:p>
        </w:tc>
        <w:tc>
          <w:tcPr>
            <w:tcW w:w="1261" w:type="pct"/>
            <w:shd w:val="clear" w:color="auto" w:fill="auto"/>
            <w:noWrap/>
            <w:vAlign w:val="bottom"/>
            <w:hideMark/>
          </w:tcPr>
          <w:p w:rsidR="00974489" w:rsidRPr="00862C8C" w:rsidRDefault="00974489" w:rsidP="00DE2F86">
            <w:pPr>
              <w:spacing w:after="0"/>
              <w:jc w:val="center"/>
              <w:rPr>
                <w:rFonts w:eastAsia="Times New Roman"/>
                <w:color w:val="000000"/>
                <w:sz w:val="18"/>
                <w:szCs w:val="16"/>
                <w:lang w:val="en-US"/>
              </w:rPr>
            </w:pPr>
            <w:r w:rsidRPr="00862C8C">
              <w:rPr>
                <w:rFonts w:eastAsia="Times New Roman"/>
                <w:color w:val="000000"/>
                <w:sz w:val="18"/>
                <w:szCs w:val="16"/>
                <w:lang w:val="en-US"/>
              </w:rPr>
              <w:t>14</w:t>
            </w:r>
          </w:p>
        </w:tc>
      </w:tr>
      <w:tr w:rsidR="00974489" w:rsidRPr="00862C8C" w:rsidTr="00862C8C">
        <w:trPr>
          <w:trHeight w:val="300"/>
        </w:trPr>
        <w:tc>
          <w:tcPr>
            <w:tcW w:w="2359" w:type="pct"/>
            <w:shd w:val="clear" w:color="auto" w:fill="auto"/>
            <w:noWrap/>
            <w:vAlign w:val="bottom"/>
            <w:hideMark/>
          </w:tcPr>
          <w:p w:rsidR="00974489" w:rsidRPr="00862C8C" w:rsidRDefault="00974489" w:rsidP="00DE2F86">
            <w:pPr>
              <w:spacing w:after="0"/>
              <w:rPr>
                <w:rFonts w:eastAsia="Times New Roman"/>
                <w:color w:val="000000"/>
                <w:sz w:val="18"/>
                <w:szCs w:val="16"/>
                <w:lang w:val="en-US"/>
              </w:rPr>
            </w:pPr>
            <w:r w:rsidRPr="00862C8C">
              <w:rPr>
                <w:rFonts w:eastAsia="Times New Roman"/>
                <w:color w:val="000000"/>
                <w:sz w:val="18"/>
                <w:szCs w:val="16"/>
                <w:lang w:val="en-US"/>
              </w:rPr>
              <w:t>Caution</w:t>
            </w:r>
          </w:p>
        </w:tc>
        <w:tc>
          <w:tcPr>
            <w:tcW w:w="1380" w:type="pct"/>
            <w:shd w:val="clear" w:color="auto" w:fill="auto"/>
            <w:noWrap/>
            <w:vAlign w:val="bottom"/>
            <w:hideMark/>
          </w:tcPr>
          <w:p w:rsidR="00974489" w:rsidRPr="00862C8C" w:rsidRDefault="00974489" w:rsidP="00DE2F86">
            <w:pPr>
              <w:spacing w:after="0"/>
              <w:jc w:val="center"/>
              <w:rPr>
                <w:rFonts w:eastAsia="Times New Roman"/>
                <w:color w:val="000000"/>
                <w:sz w:val="18"/>
                <w:szCs w:val="16"/>
                <w:lang w:val="en-US"/>
              </w:rPr>
            </w:pPr>
            <w:r w:rsidRPr="00862C8C">
              <w:rPr>
                <w:rFonts w:eastAsia="Times New Roman"/>
                <w:color w:val="000000"/>
                <w:sz w:val="18"/>
                <w:szCs w:val="16"/>
                <w:lang w:val="en-US"/>
              </w:rPr>
              <w:t>40</w:t>
            </w:r>
          </w:p>
        </w:tc>
        <w:tc>
          <w:tcPr>
            <w:tcW w:w="1261" w:type="pct"/>
            <w:shd w:val="clear" w:color="auto" w:fill="auto"/>
            <w:noWrap/>
            <w:vAlign w:val="bottom"/>
            <w:hideMark/>
          </w:tcPr>
          <w:p w:rsidR="00974489" w:rsidRPr="00862C8C" w:rsidRDefault="00974489" w:rsidP="00DE2F86">
            <w:pPr>
              <w:spacing w:after="0"/>
              <w:jc w:val="center"/>
              <w:rPr>
                <w:rFonts w:eastAsia="Times New Roman"/>
                <w:color w:val="000000"/>
                <w:sz w:val="18"/>
                <w:szCs w:val="16"/>
                <w:lang w:val="en-US"/>
              </w:rPr>
            </w:pPr>
            <w:r w:rsidRPr="00862C8C">
              <w:rPr>
                <w:rFonts w:eastAsia="Times New Roman"/>
                <w:color w:val="000000"/>
                <w:sz w:val="18"/>
                <w:szCs w:val="16"/>
                <w:lang w:val="en-US"/>
              </w:rPr>
              <w:t>29</w:t>
            </w:r>
          </w:p>
        </w:tc>
      </w:tr>
      <w:tr w:rsidR="00974489" w:rsidRPr="00862C8C" w:rsidTr="00862C8C">
        <w:trPr>
          <w:trHeight w:val="300"/>
        </w:trPr>
        <w:tc>
          <w:tcPr>
            <w:tcW w:w="2359" w:type="pct"/>
            <w:shd w:val="clear" w:color="auto" w:fill="auto"/>
            <w:noWrap/>
            <w:vAlign w:val="bottom"/>
            <w:hideMark/>
          </w:tcPr>
          <w:p w:rsidR="00974489" w:rsidRPr="00862C8C" w:rsidRDefault="00974489" w:rsidP="00DE2F86">
            <w:pPr>
              <w:spacing w:after="0"/>
              <w:rPr>
                <w:rFonts w:eastAsia="Times New Roman"/>
                <w:color w:val="000000"/>
                <w:sz w:val="18"/>
                <w:szCs w:val="16"/>
                <w:lang w:val="en-US"/>
              </w:rPr>
            </w:pPr>
            <w:r w:rsidRPr="00862C8C">
              <w:rPr>
                <w:rFonts w:eastAsia="Times New Roman"/>
                <w:color w:val="000000"/>
                <w:sz w:val="18"/>
                <w:szCs w:val="16"/>
                <w:lang w:val="en-US"/>
              </w:rPr>
              <w:t>Reprimand</w:t>
            </w:r>
          </w:p>
        </w:tc>
        <w:tc>
          <w:tcPr>
            <w:tcW w:w="1380" w:type="pct"/>
            <w:shd w:val="clear" w:color="auto" w:fill="auto"/>
            <w:noWrap/>
            <w:vAlign w:val="bottom"/>
            <w:hideMark/>
          </w:tcPr>
          <w:p w:rsidR="00974489" w:rsidRPr="00862C8C" w:rsidRDefault="00974489" w:rsidP="00DE2F86">
            <w:pPr>
              <w:spacing w:after="0"/>
              <w:jc w:val="center"/>
              <w:rPr>
                <w:rFonts w:eastAsia="Times New Roman"/>
                <w:color w:val="000000"/>
                <w:sz w:val="18"/>
                <w:szCs w:val="16"/>
                <w:lang w:val="en-US"/>
              </w:rPr>
            </w:pPr>
            <w:r w:rsidRPr="00862C8C">
              <w:rPr>
                <w:rFonts w:eastAsia="Times New Roman"/>
                <w:color w:val="000000"/>
                <w:sz w:val="18"/>
                <w:szCs w:val="16"/>
                <w:lang w:val="en-US"/>
              </w:rPr>
              <w:t>1</w:t>
            </w:r>
          </w:p>
        </w:tc>
        <w:tc>
          <w:tcPr>
            <w:tcW w:w="1261" w:type="pct"/>
            <w:shd w:val="clear" w:color="auto" w:fill="auto"/>
            <w:noWrap/>
            <w:vAlign w:val="bottom"/>
            <w:hideMark/>
          </w:tcPr>
          <w:p w:rsidR="00974489" w:rsidRPr="00862C8C" w:rsidRDefault="00974489" w:rsidP="00DE2F86">
            <w:pPr>
              <w:spacing w:after="0"/>
              <w:jc w:val="center"/>
              <w:rPr>
                <w:rFonts w:eastAsia="Times New Roman"/>
                <w:color w:val="000000"/>
                <w:sz w:val="18"/>
                <w:szCs w:val="16"/>
                <w:lang w:val="en-US"/>
              </w:rPr>
            </w:pPr>
            <w:r w:rsidRPr="00862C8C">
              <w:rPr>
                <w:rFonts w:eastAsia="Times New Roman"/>
                <w:color w:val="000000"/>
                <w:sz w:val="18"/>
                <w:szCs w:val="16"/>
                <w:lang w:val="en-US"/>
              </w:rPr>
              <w:t>2</w:t>
            </w:r>
          </w:p>
        </w:tc>
      </w:tr>
      <w:tr w:rsidR="00974489" w:rsidRPr="00862C8C" w:rsidTr="00862C8C">
        <w:trPr>
          <w:trHeight w:val="300"/>
        </w:trPr>
        <w:tc>
          <w:tcPr>
            <w:tcW w:w="2359" w:type="pct"/>
            <w:shd w:val="clear" w:color="auto" w:fill="auto"/>
            <w:noWrap/>
            <w:vAlign w:val="bottom"/>
            <w:hideMark/>
          </w:tcPr>
          <w:p w:rsidR="00974489" w:rsidRPr="00862C8C" w:rsidRDefault="00974489" w:rsidP="00DE2F86">
            <w:pPr>
              <w:spacing w:after="0"/>
              <w:rPr>
                <w:rFonts w:eastAsia="Times New Roman"/>
                <w:color w:val="000000"/>
                <w:sz w:val="18"/>
                <w:szCs w:val="16"/>
                <w:lang w:val="en-US"/>
              </w:rPr>
            </w:pPr>
            <w:r w:rsidRPr="00862C8C">
              <w:rPr>
                <w:rFonts w:eastAsia="Times New Roman"/>
                <w:color w:val="000000"/>
                <w:sz w:val="18"/>
                <w:szCs w:val="16"/>
                <w:lang w:val="en-US"/>
              </w:rPr>
              <w:t>Accept undertaking</w:t>
            </w:r>
          </w:p>
        </w:tc>
        <w:tc>
          <w:tcPr>
            <w:tcW w:w="1380" w:type="pct"/>
            <w:shd w:val="clear" w:color="auto" w:fill="auto"/>
            <w:noWrap/>
            <w:vAlign w:val="bottom"/>
            <w:hideMark/>
          </w:tcPr>
          <w:p w:rsidR="00974489" w:rsidRPr="00862C8C" w:rsidRDefault="00974489" w:rsidP="00DE2F86">
            <w:pPr>
              <w:spacing w:after="0"/>
              <w:jc w:val="center"/>
              <w:rPr>
                <w:rFonts w:eastAsia="Times New Roman"/>
                <w:color w:val="000000"/>
                <w:sz w:val="18"/>
                <w:szCs w:val="16"/>
                <w:lang w:val="en-US"/>
              </w:rPr>
            </w:pPr>
            <w:r w:rsidRPr="00862C8C">
              <w:rPr>
                <w:rFonts w:eastAsia="Times New Roman"/>
                <w:color w:val="000000"/>
                <w:sz w:val="18"/>
                <w:szCs w:val="16"/>
                <w:lang w:val="en-US"/>
              </w:rPr>
              <w:t>12</w:t>
            </w:r>
          </w:p>
        </w:tc>
        <w:tc>
          <w:tcPr>
            <w:tcW w:w="1261" w:type="pct"/>
            <w:shd w:val="clear" w:color="auto" w:fill="auto"/>
            <w:noWrap/>
            <w:vAlign w:val="bottom"/>
            <w:hideMark/>
          </w:tcPr>
          <w:p w:rsidR="00974489" w:rsidRPr="00862C8C" w:rsidRDefault="00974489" w:rsidP="00DE2F86">
            <w:pPr>
              <w:spacing w:after="0"/>
              <w:jc w:val="center"/>
              <w:rPr>
                <w:rFonts w:eastAsia="Times New Roman"/>
                <w:color w:val="000000"/>
                <w:sz w:val="18"/>
                <w:szCs w:val="16"/>
                <w:lang w:val="en-US"/>
              </w:rPr>
            </w:pPr>
            <w:r w:rsidRPr="00862C8C">
              <w:rPr>
                <w:rFonts w:eastAsia="Times New Roman"/>
                <w:color w:val="000000"/>
                <w:sz w:val="18"/>
                <w:szCs w:val="16"/>
                <w:lang w:val="en-US"/>
              </w:rPr>
              <w:t>8</w:t>
            </w:r>
          </w:p>
        </w:tc>
      </w:tr>
      <w:tr w:rsidR="00974489" w:rsidRPr="00862C8C" w:rsidTr="00862C8C">
        <w:trPr>
          <w:trHeight w:val="300"/>
        </w:trPr>
        <w:tc>
          <w:tcPr>
            <w:tcW w:w="2359" w:type="pct"/>
            <w:shd w:val="clear" w:color="auto" w:fill="auto"/>
            <w:noWrap/>
            <w:vAlign w:val="bottom"/>
            <w:hideMark/>
          </w:tcPr>
          <w:p w:rsidR="00974489" w:rsidRPr="00862C8C" w:rsidRDefault="00974489" w:rsidP="00DE2F86">
            <w:pPr>
              <w:spacing w:after="0"/>
              <w:rPr>
                <w:rFonts w:eastAsia="Times New Roman"/>
                <w:color w:val="000000"/>
                <w:sz w:val="18"/>
                <w:szCs w:val="16"/>
                <w:lang w:val="en-US"/>
              </w:rPr>
            </w:pPr>
            <w:r w:rsidRPr="00862C8C">
              <w:rPr>
                <w:rFonts w:eastAsia="Times New Roman"/>
                <w:color w:val="000000"/>
                <w:sz w:val="18"/>
                <w:szCs w:val="16"/>
                <w:lang w:val="en-US"/>
              </w:rPr>
              <w:t>Impose conditions</w:t>
            </w:r>
          </w:p>
        </w:tc>
        <w:tc>
          <w:tcPr>
            <w:tcW w:w="1380" w:type="pct"/>
            <w:shd w:val="clear" w:color="auto" w:fill="auto"/>
            <w:noWrap/>
            <w:vAlign w:val="bottom"/>
            <w:hideMark/>
          </w:tcPr>
          <w:p w:rsidR="00974489" w:rsidRPr="00862C8C" w:rsidRDefault="00974489" w:rsidP="00DE2F86">
            <w:pPr>
              <w:spacing w:after="0"/>
              <w:jc w:val="center"/>
              <w:rPr>
                <w:rFonts w:eastAsia="Times New Roman"/>
                <w:color w:val="000000"/>
                <w:sz w:val="18"/>
                <w:szCs w:val="16"/>
                <w:lang w:val="en-US"/>
              </w:rPr>
            </w:pPr>
            <w:r w:rsidRPr="00862C8C">
              <w:rPr>
                <w:rFonts w:eastAsia="Times New Roman"/>
                <w:color w:val="000000"/>
                <w:sz w:val="18"/>
                <w:szCs w:val="16"/>
                <w:lang w:val="en-US"/>
              </w:rPr>
              <w:t>40</w:t>
            </w:r>
          </w:p>
        </w:tc>
        <w:tc>
          <w:tcPr>
            <w:tcW w:w="1261" w:type="pct"/>
            <w:shd w:val="clear" w:color="auto" w:fill="auto"/>
            <w:noWrap/>
            <w:vAlign w:val="bottom"/>
            <w:hideMark/>
          </w:tcPr>
          <w:p w:rsidR="00974489" w:rsidRPr="00862C8C" w:rsidRDefault="00974489" w:rsidP="00DE2F86">
            <w:pPr>
              <w:spacing w:after="0"/>
              <w:jc w:val="center"/>
              <w:rPr>
                <w:rFonts w:eastAsia="Times New Roman"/>
                <w:color w:val="000000"/>
                <w:sz w:val="18"/>
                <w:szCs w:val="16"/>
                <w:lang w:val="en-US"/>
              </w:rPr>
            </w:pPr>
            <w:r w:rsidRPr="00862C8C">
              <w:rPr>
                <w:rFonts w:eastAsia="Times New Roman"/>
                <w:color w:val="000000"/>
                <w:sz w:val="18"/>
                <w:szCs w:val="16"/>
                <w:lang w:val="en-US"/>
              </w:rPr>
              <w:t>41</w:t>
            </w:r>
          </w:p>
        </w:tc>
      </w:tr>
      <w:tr w:rsidR="00974489" w:rsidRPr="00862C8C" w:rsidTr="00862C8C">
        <w:trPr>
          <w:trHeight w:val="300"/>
        </w:trPr>
        <w:tc>
          <w:tcPr>
            <w:tcW w:w="2359" w:type="pct"/>
            <w:shd w:val="clear" w:color="auto" w:fill="auto"/>
            <w:noWrap/>
            <w:vAlign w:val="bottom"/>
            <w:hideMark/>
          </w:tcPr>
          <w:p w:rsidR="00974489" w:rsidRPr="00862C8C" w:rsidRDefault="00974489" w:rsidP="00DE2F86">
            <w:pPr>
              <w:spacing w:after="0"/>
              <w:rPr>
                <w:rFonts w:eastAsia="Times New Roman"/>
                <w:color w:val="000000"/>
                <w:sz w:val="18"/>
                <w:szCs w:val="16"/>
                <w:lang w:val="en-US"/>
              </w:rPr>
            </w:pPr>
            <w:r w:rsidRPr="00862C8C">
              <w:rPr>
                <w:rFonts w:eastAsia="Times New Roman"/>
                <w:color w:val="000000"/>
                <w:sz w:val="18"/>
                <w:szCs w:val="16"/>
                <w:lang w:val="en-US"/>
              </w:rPr>
              <w:t>Fine registrant</w:t>
            </w:r>
          </w:p>
        </w:tc>
        <w:tc>
          <w:tcPr>
            <w:tcW w:w="1380" w:type="pct"/>
            <w:shd w:val="clear" w:color="auto" w:fill="auto"/>
            <w:noWrap/>
            <w:vAlign w:val="bottom"/>
            <w:hideMark/>
          </w:tcPr>
          <w:p w:rsidR="00974489" w:rsidRPr="00862C8C" w:rsidRDefault="00974489" w:rsidP="00DE2F86">
            <w:pPr>
              <w:spacing w:after="0"/>
              <w:jc w:val="center"/>
              <w:rPr>
                <w:rFonts w:eastAsia="Times New Roman"/>
                <w:color w:val="000000"/>
                <w:sz w:val="18"/>
                <w:szCs w:val="16"/>
                <w:lang w:val="en-US"/>
              </w:rPr>
            </w:pPr>
            <w:r w:rsidRPr="00862C8C">
              <w:rPr>
                <w:rFonts w:eastAsia="Times New Roman"/>
                <w:color w:val="000000"/>
                <w:sz w:val="18"/>
                <w:szCs w:val="16"/>
                <w:lang w:val="en-US"/>
              </w:rPr>
              <w:t> </w:t>
            </w:r>
          </w:p>
        </w:tc>
        <w:tc>
          <w:tcPr>
            <w:tcW w:w="1261" w:type="pct"/>
            <w:shd w:val="clear" w:color="auto" w:fill="auto"/>
            <w:noWrap/>
            <w:vAlign w:val="bottom"/>
            <w:hideMark/>
          </w:tcPr>
          <w:p w:rsidR="00974489" w:rsidRPr="00862C8C" w:rsidRDefault="00974489" w:rsidP="00DE2F86">
            <w:pPr>
              <w:spacing w:after="0"/>
              <w:jc w:val="center"/>
              <w:rPr>
                <w:rFonts w:eastAsia="Times New Roman"/>
                <w:color w:val="000000"/>
                <w:sz w:val="18"/>
                <w:szCs w:val="16"/>
                <w:lang w:val="en-US"/>
              </w:rPr>
            </w:pPr>
            <w:r w:rsidRPr="00862C8C">
              <w:rPr>
                <w:rFonts w:eastAsia="Times New Roman"/>
                <w:color w:val="000000"/>
                <w:sz w:val="18"/>
                <w:szCs w:val="16"/>
                <w:lang w:val="en-US"/>
              </w:rPr>
              <w:t>1</w:t>
            </w:r>
          </w:p>
        </w:tc>
      </w:tr>
      <w:tr w:rsidR="00974489" w:rsidRPr="00862C8C" w:rsidTr="00862C8C">
        <w:trPr>
          <w:trHeight w:val="300"/>
        </w:trPr>
        <w:tc>
          <w:tcPr>
            <w:tcW w:w="2359" w:type="pct"/>
            <w:shd w:val="clear" w:color="auto" w:fill="auto"/>
            <w:noWrap/>
            <w:vAlign w:val="bottom"/>
            <w:hideMark/>
          </w:tcPr>
          <w:p w:rsidR="00974489" w:rsidRPr="00862C8C" w:rsidRDefault="00974489" w:rsidP="00DE2F86">
            <w:pPr>
              <w:spacing w:after="0"/>
              <w:rPr>
                <w:rFonts w:eastAsia="Times New Roman"/>
                <w:color w:val="000000"/>
                <w:sz w:val="18"/>
                <w:szCs w:val="16"/>
                <w:lang w:val="en-US"/>
              </w:rPr>
            </w:pPr>
            <w:r w:rsidRPr="00862C8C">
              <w:rPr>
                <w:rFonts w:eastAsia="Times New Roman"/>
                <w:color w:val="000000"/>
                <w:sz w:val="18"/>
                <w:szCs w:val="16"/>
                <w:lang w:val="en-US"/>
              </w:rPr>
              <w:t>Suspend registration</w:t>
            </w:r>
          </w:p>
        </w:tc>
        <w:tc>
          <w:tcPr>
            <w:tcW w:w="1380" w:type="pct"/>
            <w:shd w:val="clear" w:color="auto" w:fill="auto"/>
            <w:noWrap/>
            <w:vAlign w:val="bottom"/>
            <w:hideMark/>
          </w:tcPr>
          <w:p w:rsidR="00974489" w:rsidRPr="00862C8C" w:rsidRDefault="00974489" w:rsidP="00DE2F86">
            <w:pPr>
              <w:spacing w:after="0"/>
              <w:jc w:val="center"/>
              <w:rPr>
                <w:rFonts w:eastAsia="Times New Roman"/>
                <w:color w:val="000000"/>
                <w:sz w:val="18"/>
                <w:szCs w:val="16"/>
                <w:lang w:val="en-US"/>
              </w:rPr>
            </w:pPr>
            <w:r w:rsidRPr="00862C8C">
              <w:rPr>
                <w:rFonts w:eastAsia="Times New Roman"/>
                <w:color w:val="000000"/>
                <w:sz w:val="18"/>
                <w:szCs w:val="16"/>
                <w:lang w:val="en-US"/>
              </w:rPr>
              <w:t>4</w:t>
            </w:r>
          </w:p>
        </w:tc>
        <w:tc>
          <w:tcPr>
            <w:tcW w:w="1261" w:type="pct"/>
            <w:shd w:val="clear" w:color="auto" w:fill="auto"/>
            <w:noWrap/>
            <w:vAlign w:val="bottom"/>
            <w:hideMark/>
          </w:tcPr>
          <w:p w:rsidR="00974489" w:rsidRPr="00862C8C" w:rsidRDefault="00974489" w:rsidP="00DE2F86">
            <w:pPr>
              <w:spacing w:after="0"/>
              <w:jc w:val="center"/>
              <w:rPr>
                <w:rFonts w:eastAsia="Times New Roman"/>
                <w:color w:val="000000"/>
                <w:sz w:val="18"/>
                <w:szCs w:val="16"/>
                <w:lang w:val="en-US"/>
              </w:rPr>
            </w:pPr>
            <w:r w:rsidRPr="00862C8C">
              <w:rPr>
                <w:rFonts w:eastAsia="Times New Roman"/>
                <w:color w:val="000000"/>
                <w:sz w:val="18"/>
                <w:szCs w:val="16"/>
                <w:lang w:val="en-US"/>
              </w:rPr>
              <w:t>2</w:t>
            </w:r>
          </w:p>
        </w:tc>
      </w:tr>
      <w:tr w:rsidR="00974489" w:rsidRPr="00862C8C" w:rsidTr="00862C8C">
        <w:trPr>
          <w:trHeight w:val="300"/>
        </w:trPr>
        <w:tc>
          <w:tcPr>
            <w:tcW w:w="2359" w:type="pct"/>
            <w:shd w:val="clear" w:color="auto" w:fill="auto"/>
            <w:noWrap/>
            <w:vAlign w:val="bottom"/>
            <w:hideMark/>
          </w:tcPr>
          <w:p w:rsidR="00974489" w:rsidRPr="00862C8C" w:rsidRDefault="00974489" w:rsidP="00DE2F86">
            <w:pPr>
              <w:spacing w:after="0"/>
              <w:rPr>
                <w:rFonts w:eastAsia="Times New Roman"/>
                <w:color w:val="000000"/>
                <w:sz w:val="18"/>
                <w:szCs w:val="16"/>
                <w:lang w:val="en-US"/>
              </w:rPr>
            </w:pPr>
            <w:r w:rsidRPr="00862C8C">
              <w:rPr>
                <w:rFonts w:eastAsia="Times New Roman"/>
                <w:color w:val="000000"/>
                <w:sz w:val="18"/>
                <w:szCs w:val="16"/>
                <w:lang w:val="en-US"/>
              </w:rPr>
              <w:t>Cancel registration</w:t>
            </w:r>
          </w:p>
        </w:tc>
        <w:tc>
          <w:tcPr>
            <w:tcW w:w="1380" w:type="pct"/>
            <w:shd w:val="clear" w:color="auto" w:fill="auto"/>
            <w:noWrap/>
            <w:vAlign w:val="bottom"/>
            <w:hideMark/>
          </w:tcPr>
          <w:p w:rsidR="00974489" w:rsidRPr="00862C8C" w:rsidRDefault="00974489" w:rsidP="00DE2F86">
            <w:pPr>
              <w:spacing w:after="0"/>
              <w:jc w:val="center"/>
              <w:rPr>
                <w:rFonts w:eastAsia="Times New Roman"/>
                <w:color w:val="000000"/>
                <w:sz w:val="18"/>
                <w:szCs w:val="16"/>
                <w:lang w:val="en-US"/>
              </w:rPr>
            </w:pPr>
            <w:r w:rsidRPr="00862C8C">
              <w:rPr>
                <w:rFonts w:eastAsia="Times New Roman"/>
                <w:color w:val="000000"/>
                <w:sz w:val="18"/>
                <w:szCs w:val="16"/>
                <w:lang w:val="en-US"/>
              </w:rPr>
              <w:t>7</w:t>
            </w:r>
          </w:p>
        </w:tc>
        <w:tc>
          <w:tcPr>
            <w:tcW w:w="1261" w:type="pct"/>
            <w:shd w:val="clear" w:color="auto" w:fill="auto"/>
            <w:noWrap/>
            <w:vAlign w:val="bottom"/>
            <w:hideMark/>
          </w:tcPr>
          <w:p w:rsidR="00974489" w:rsidRPr="00862C8C" w:rsidRDefault="00974489" w:rsidP="00DE2F86">
            <w:pPr>
              <w:spacing w:after="0"/>
              <w:jc w:val="center"/>
              <w:rPr>
                <w:rFonts w:eastAsia="Times New Roman"/>
                <w:color w:val="000000"/>
                <w:sz w:val="18"/>
                <w:szCs w:val="16"/>
                <w:lang w:val="en-US"/>
              </w:rPr>
            </w:pPr>
            <w:r w:rsidRPr="00862C8C">
              <w:rPr>
                <w:rFonts w:eastAsia="Times New Roman"/>
                <w:color w:val="000000"/>
                <w:sz w:val="18"/>
                <w:szCs w:val="16"/>
                <w:lang w:val="en-US"/>
              </w:rPr>
              <w:t> </w:t>
            </w:r>
          </w:p>
        </w:tc>
      </w:tr>
      <w:tr w:rsidR="00974489" w:rsidRPr="00862C8C" w:rsidTr="00862C8C">
        <w:trPr>
          <w:trHeight w:val="300"/>
        </w:trPr>
        <w:tc>
          <w:tcPr>
            <w:tcW w:w="2359" w:type="pct"/>
            <w:shd w:val="clear" w:color="auto" w:fill="auto"/>
            <w:noWrap/>
            <w:vAlign w:val="bottom"/>
            <w:hideMark/>
          </w:tcPr>
          <w:p w:rsidR="00974489" w:rsidRPr="00862C8C" w:rsidRDefault="00974489" w:rsidP="00DE2F86">
            <w:pPr>
              <w:spacing w:after="0"/>
              <w:rPr>
                <w:rFonts w:eastAsia="Times New Roman"/>
                <w:color w:val="000000"/>
                <w:sz w:val="18"/>
                <w:szCs w:val="16"/>
                <w:lang w:val="en-US"/>
              </w:rPr>
            </w:pPr>
            <w:r w:rsidRPr="00862C8C">
              <w:rPr>
                <w:rFonts w:eastAsia="Times New Roman"/>
                <w:color w:val="000000"/>
                <w:sz w:val="18"/>
                <w:szCs w:val="16"/>
                <w:lang w:val="en-US"/>
              </w:rPr>
              <w:t>Practitioner surrendered registration</w:t>
            </w:r>
          </w:p>
        </w:tc>
        <w:tc>
          <w:tcPr>
            <w:tcW w:w="1380" w:type="pct"/>
            <w:shd w:val="clear" w:color="auto" w:fill="auto"/>
            <w:noWrap/>
            <w:vAlign w:val="bottom"/>
            <w:hideMark/>
          </w:tcPr>
          <w:p w:rsidR="00974489" w:rsidRPr="00862C8C" w:rsidRDefault="00974489" w:rsidP="00DE2F86">
            <w:pPr>
              <w:spacing w:after="0"/>
              <w:jc w:val="center"/>
              <w:rPr>
                <w:rFonts w:eastAsia="Times New Roman"/>
                <w:color w:val="000000"/>
                <w:sz w:val="18"/>
                <w:szCs w:val="16"/>
                <w:lang w:val="en-US"/>
              </w:rPr>
            </w:pPr>
            <w:r w:rsidRPr="00862C8C">
              <w:rPr>
                <w:rFonts w:eastAsia="Times New Roman"/>
                <w:color w:val="000000"/>
                <w:sz w:val="18"/>
                <w:szCs w:val="16"/>
                <w:lang w:val="en-US"/>
              </w:rPr>
              <w:t>1</w:t>
            </w:r>
          </w:p>
        </w:tc>
        <w:tc>
          <w:tcPr>
            <w:tcW w:w="1261" w:type="pct"/>
            <w:shd w:val="clear" w:color="auto" w:fill="auto"/>
            <w:noWrap/>
            <w:vAlign w:val="bottom"/>
            <w:hideMark/>
          </w:tcPr>
          <w:p w:rsidR="00974489" w:rsidRPr="00862C8C" w:rsidRDefault="00974489" w:rsidP="00DE2F86">
            <w:pPr>
              <w:spacing w:after="0"/>
              <w:jc w:val="center"/>
              <w:rPr>
                <w:rFonts w:eastAsia="Times New Roman"/>
                <w:color w:val="000000"/>
                <w:sz w:val="18"/>
                <w:szCs w:val="16"/>
                <w:lang w:val="en-US"/>
              </w:rPr>
            </w:pPr>
            <w:r w:rsidRPr="00862C8C">
              <w:rPr>
                <w:rFonts w:eastAsia="Times New Roman"/>
                <w:color w:val="000000"/>
                <w:sz w:val="18"/>
                <w:szCs w:val="16"/>
                <w:lang w:val="en-US"/>
              </w:rPr>
              <w:t>2</w:t>
            </w:r>
          </w:p>
        </w:tc>
      </w:tr>
      <w:tr w:rsidR="00974489" w:rsidRPr="00862C8C" w:rsidTr="00862C8C">
        <w:trPr>
          <w:trHeight w:val="300"/>
        </w:trPr>
        <w:tc>
          <w:tcPr>
            <w:tcW w:w="2359" w:type="pct"/>
            <w:shd w:val="clear" w:color="auto" w:fill="auto"/>
            <w:noWrap/>
            <w:vAlign w:val="bottom"/>
            <w:hideMark/>
          </w:tcPr>
          <w:p w:rsidR="00974489" w:rsidRPr="00862C8C" w:rsidRDefault="00974489" w:rsidP="00DE2F86">
            <w:pPr>
              <w:spacing w:after="0"/>
              <w:rPr>
                <w:rFonts w:eastAsia="Times New Roman"/>
                <w:color w:val="000000"/>
                <w:sz w:val="18"/>
                <w:szCs w:val="16"/>
                <w:lang w:val="en-US"/>
              </w:rPr>
            </w:pPr>
            <w:r w:rsidRPr="00862C8C">
              <w:rPr>
                <w:rFonts w:eastAsia="Times New Roman"/>
                <w:color w:val="000000"/>
                <w:sz w:val="18"/>
                <w:szCs w:val="16"/>
                <w:lang w:val="en-US"/>
              </w:rPr>
              <w:t>Not permitted to reapply for registration for 12 months or more</w:t>
            </w:r>
          </w:p>
        </w:tc>
        <w:tc>
          <w:tcPr>
            <w:tcW w:w="1380" w:type="pct"/>
            <w:shd w:val="clear" w:color="auto" w:fill="auto"/>
            <w:noWrap/>
            <w:vAlign w:val="bottom"/>
            <w:hideMark/>
          </w:tcPr>
          <w:p w:rsidR="00974489" w:rsidRPr="00862C8C" w:rsidRDefault="00974489" w:rsidP="00DE2F86">
            <w:pPr>
              <w:spacing w:after="0"/>
              <w:jc w:val="center"/>
              <w:rPr>
                <w:rFonts w:eastAsia="Times New Roman"/>
                <w:color w:val="000000"/>
                <w:sz w:val="18"/>
                <w:szCs w:val="16"/>
                <w:lang w:val="en-US"/>
              </w:rPr>
            </w:pPr>
            <w:r w:rsidRPr="00862C8C">
              <w:rPr>
                <w:rFonts w:eastAsia="Times New Roman"/>
                <w:color w:val="000000"/>
                <w:sz w:val="18"/>
                <w:szCs w:val="16"/>
                <w:lang w:val="en-US"/>
              </w:rPr>
              <w:t>1</w:t>
            </w:r>
          </w:p>
        </w:tc>
        <w:tc>
          <w:tcPr>
            <w:tcW w:w="1261" w:type="pct"/>
            <w:shd w:val="clear" w:color="auto" w:fill="auto"/>
            <w:noWrap/>
            <w:vAlign w:val="bottom"/>
            <w:hideMark/>
          </w:tcPr>
          <w:p w:rsidR="00974489" w:rsidRPr="00862C8C" w:rsidRDefault="00974489" w:rsidP="00DE2F86">
            <w:pPr>
              <w:spacing w:after="0"/>
              <w:jc w:val="center"/>
              <w:rPr>
                <w:rFonts w:eastAsia="Times New Roman"/>
                <w:color w:val="000000"/>
                <w:sz w:val="18"/>
                <w:szCs w:val="16"/>
                <w:lang w:val="en-US"/>
              </w:rPr>
            </w:pPr>
            <w:r w:rsidRPr="00862C8C">
              <w:rPr>
                <w:rFonts w:eastAsia="Times New Roman"/>
                <w:color w:val="000000"/>
                <w:sz w:val="18"/>
                <w:szCs w:val="16"/>
                <w:lang w:val="en-US"/>
              </w:rPr>
              <w:t> </w:t>
            </w:r>
          </w:p>
        </w:tc>
      </w:tr>
      <w:tr w:rsidR="00974489" w:rsidRPr="00862C8C" w:rsidTr="00862C8C">
        <w:trPr>
          <w:trHeight w:val="300"/>
        </w:trPr>
        <w:tc>
          <w:tcPr>
            <w:tcW w:w="2359" w:type="pct"/>
            <w:shd w:val="clear" w:color="auto" w:fill="auto"/>
            <w:noWrap/>
            <w:vAlign w:val="bottom"/>
            <w:hideMark/>
          </w:tcPr>
          <w:p w:rsidR="00974489" w:rsidRPr="00862C8C" w:rsidRDefault="00974489" w:rsidP="00DE2F86">
            <w:pPr>
              <w:spacing w:after="0"/>
              <w:rPr>
                <w:rFonts w:eastAsia="Times New Roman"/>
                <w:b/>
                <w:bCs/>
                <w:color w:val="000000"/>
                <w:sz w:val="18"/>
                <w:szCs w:val="16"/>
                <w:lang w:val="en-US"/>
              </w:rPr>
            </w:pPr>
            <w:r w:rsidRPr="00862C8C">
              <w:rPr>
                <w:rFonts w:eastAsia="Times New Roman"/>
                <w:b/>
                <w:bCs/>
                <w:color w:val="000000"/>
                <w:sz w:val="18"/>
                <w:szCs w:val="16"/>
                <w:lang w:val="en-US"/>
              </w:rPr>
              <w:t>Total</w:t>
            </w:r>
          </w:p>
        </w:tc>
        <w:tc>
          <w:tcPr>
            <w:tcW w:w="1380" w:type="pct"/>
            <w:shd w:val="clear" w:color="auto" w:fill="auto"/>
            <w:noWrap/>
            <w:vAlign w:val="bottom"/>
            <w:hideMark/>
          </w:tcPr>
          <w:p w:rsidR="00974489" w:rsidRPr="00862C8C" w:rsidRDefault="00974489" w:rsidP="00DE2F86">
            <w:pPr>
              <w:spacing w:after="0"/>
              <w:jc w:val="center"/>
              <w:rPr>
                <w:rFonts w:eastAsia="Times New Roman"/>
                <w:b/>
                <w:bCs/>
                <w:color w:val="000000"/>
                <w:sz w:val="18"/>
                <w:szCs w:val="16"/>
                <w:lang w:val="en-US"/>
              </w:rPr>
            </w:pPr>
            <w:r w:rsidRPr="00862C8C">
              <w:rPr>
                <w:rFonts w:eastAsia="Times New Roman"/>
                <w:b/>
                <w:bCs/>
                <w:color w:val="000000"/>
                <w:sz w:val="18"/>
                <w:szCs w:val="16"/>
                <w:lang w:val="en-US"/>
              </w:rPr>
              <w:t>313</w:t>
            </w:r>
          </w:p>
        </w:tc>
        <w:tc>
          <w:tcPr>
            <w:tcW w:w="1261" w:type="pct"/>
            <w:shd w:val="clear" w:color="auto" w:fill="auto"/>
            <w:noWrap/>
            <w:vAlign w:val="bottom"/>
            <w:hideMark/>
          </w:tcPr>
          <w:p w:rsidR="00974489" w:rsidRPr="00862C8C" w:rsidRDefault="00974489" w:rsidP="00DE2F86">
            <w:pPr>
              <w:spacing w:after="0"/>
              <w:jc w:val="center"/>
              <w:rPr>
                <w:rFonts w:eastAsia="Times New Roman"/>
                <w:b/>
                <w:bCs/>
                <w:color w:val="000000"/>
                <w:sz w:val="18"/>
                <w:szCs w:val="16"/>
                <w:lang w:val="en-US"/>
              </w:rPr>
            </w:pPr>
            <w:r w:rsidRPr="00862C8C">
              <w:rPr>
                <w:rFonts w:eastAsia="Times New Roman"/>
                <w:b/>
                <w:bCs/>
                <w:color w:val="000000"/>
                <w:sz w:val="18"/>
                <w:szCs w:val="16"/>
                <w:lang w:val="en-US"/>
              </w:rPr>
              <w:t>322</w:t>
            </w:r>
          </w:p>
        </w:tc>
      </w:tr>
    </w:tbl>
    <w:p w:rsidR="00974489" w:rsidRPr="003871AF" w:rsidRDefault="00974489" w:rsidP="00974489">
      <w:pPr>
        <w:pStyle w:val="AHPRAbodybold"/>
        <w:rPr>
          <w:b w:val="0"/>
          <w:sz w:val="16"/>
          <w:szCs w:val="16"/>
        </w:rPr>
      </w:pPr>
    </w:p>
    <w:p w:rsidR="00862C8C" w:rsidRDefault="00862C8C" w:rsidP="00862C8C">
      <w:pPr>
        <w:pStyle w:val="Caption"/>
      </w:pPr>
      <w:bookmarkStart w:id="32" w:name="_Toc453007268"/>
      <w:r>
        <w:t>Table PSY</w:t>
      </w:r>
      <w:r w:rsidR="003A7386">
        <w:fldChar w:fldCharType="begin"/>
      </w:r>
      <w:r w:rsidR="003A7386">
        <w:instrText xml:space="preserve"> SEQ Table \* ARABIC </w:instrText>
      </w:r>
      <w:r w:rsidR="003A7386">
        <w:fldChar w:fldCharType="separate"/>
      </w:r>
      <w:r w:rsidR="00A57A1D">
        <w:rPr>
          <w:noProof/>
        </w:rPr>
        <w:t>9</w:t>
      </w:r>
      <w:r w:rsidR="003A7386">
        <w:rPr>
          <w:noProof/>
        </w:rPr>
        <w:fldChar w:fldCharType="end"/>
      </w:r>
      <w:r>
        <w:t xml:space="preserve">: </w:t>
      </w:r>
      <w:r w:rsidRPr="00594BEA">
        <w:t>Nature of area of practice endorsements held by psychologists</w:t>
      </w:r>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2551"/>
        <w:gridCol w:w="2331"/>
      </w:tblGrid>
      <w:tr w:rsidR="00974489" w:rsidRPr="00862C8C" w:rsidTr="00862C8C">
        <w:trPr>
          <w:trHeight w:val="454"/>
        </w:trPr>
        <w:tc>
          <w:tcPr>
            <w:tcW w:w="2359" w:type="pct"/>
            <w:shd w:val="clear" w:color="000000" w:fill="DBE5F1"/>
            <w:noWrap/>
            <w:vAlign w:val="bottom"/>
            <w:hideMark/>
          </w:tcPr>
          <w:p w:rsidR="00974489" w:rsidRPr="00862C8C" w:rsidRDefault="00974489" w:rsidP="00DE2F86">
            <w:pPr>
              <w:spacing w:after="0"/>
              <w:rPr>
                <w:rFonts w:eastAsia="Times New Roman"/>
                <w:b/>
                <w:bCs/>
                <w:color w:val="000000"/>
                <w:sz w:val="18"/>
                <w:szCs w:val="16"/>
                <w:lang w:val="en-US"/>
              </w:rPr>
            </w:pPr>
            <w:r w:rsidRPr="00862C8C">
              <w:rPr>
                <w:rFonts w:eastAsia="Times New Roman"/>
                <w:b/>
                <w:bCs/>
                <w:color w:val="000000"/>
                <w:sz w:val="18"/>
                <w:szCs w:val="16"/>
                <w:lang w:val="en-US"/>
              </w:rPr>
              <w:t>Area of practice subtype</w:t>
            </w:r>
          </w:p>
        </w:tc>
        <w:tc>
          <w:tcPr>
            <w:tcW w:w="1380" w:type="pct"/>
            <w:shd w:val="clear" w:color="000000" w:fill="DBE5F1"/>
            <w:vAlign w:val="bottom"/>
            <w:hideMark/>
          </w:tcPr>
          <w:p w:rsidR="00974489" w:rsidRPr="00862C8C" w:rsidRDefault="00862C8C" w:rsidP="00862C8C">
            <w:pPr>
              <w:spacing w:after="0"/>
              <w:jc w:val="center"/>
              <w:rPr>
                <w:rFonts w:eastAsia="Times New Roman"/>
                <w:b/>
                <w:bCs/>
                <w:color w:val="000000"/>
                <w:sz w:val="18"/>
                <w:szCs w:val="16"/>
                <w:lang w:val="en-US"/>
              </w:rPr>
            </w:pPr>
            <w:r w:rsidRPr="00862C8C">
              <w:rPr>
                <w:rFonts w:eastAsia="Times New Roman"/>
                <w:b/>
                <w:bCs/>
                <w:color w:val="000000"/>
                <w:sz w:val="18"/>
                <w:szCs w:val="16"/>
                <w:lang w:val="en-US"/>
              </w:rPr>
              <w:t xml:space="preserve">Endorsements </w:t>
            </w:r>
            <w:r w:rsidRPr="00862C8C">
              <w:rPr>
                <w:rFonts w:eastAsia="Times New Roman"/>
                <w:b/>
                <w:bCs/>
                <w:color w:val="000000"/>
                <w:sz w:val="18"/>
                <w:szCs w:val="16"/>
                <w:lang w:val="en-US"/>
              </w:rPr>
              <w:br/>
            </w:r>
            <w:r w:rsidR="00974489" w:rsidRPr="00862C8C">
              <w:rPr>
                <w:rFonts w:eastAsia="Times New Roman"/>
                <w:b/>
                <w:bCs/>
                <w:color w:val="000000"/>
                <w:sz w:val="18"/>
                <w:szCs w:val="16"/>
                <w:lang w:val="en-US"/>
              </w:rPr>
              <w:t>Total 2014/15</w:t>
            </w:r>
          </w:p>
        </w:tc>
        <w:tc>
          <w:tcPr>
            <w:tcW w:w="1261" w:type="pct"/>
            <w:shd w:val="clear" w:color="000000" w:fill="DBE5F1"/>
            <w:vAlign w:val="bottom"/>
            <w:hideMark/>
          </w:tcPr>
          <w:p w:rsidR="00974489" w:rsidRPr="00862C8C" w:rsidRDefault="00862C8C" w:rsidP="00862C8C">
            <w:pPr>
              <w:spacing w:after="0"/>
              <w:jc w:val="center"/>
              <w:rPr>
                <w:rFonts w:eastAsia="Times New Roman"/>
                <w:b/>
                <w:bCs/>
                <w:color w:val="000000"/>
                <w:sz w:val="18"/>
                <w:szCs w:val="16"/>
                <w:lang w:val="en-US"/>
              </w:rPr>
            </w:pPr>
            <w:r w:rsidRPr="00862C8C">
              <w:rPr>
                <w:rFonts w:eastAsia="Times New Roman"/>
                <w:b/>
                <w:bCs/>
                <w:color w:val="000000"/>
                <w:sz w:val="18"/>
                <w:szCs w:val="16"/>
                <w:lang w:val="en-US"/>
              </w:rPr>
              <w:t>Endorsements</w:t>
            </w:r>
            <w:r w:rsidRPr="00862C8C">
              <w:rPr>
                <w:rFonts w:eastAsia="Times New Roman"/>
                <w:b/>
                <w:bCs/>
                <w:color w:val="000000"/>
                <w:sz w:val="18"/>
                <w:szCs w:val="16"/>
                <w:lang w:val="en-US"/>
              </w:rPr>
              <w:br/>
            </w:r>
            <w:r w:rsidR="00974489" w:rsidRPr="00862C8C">
              <w:rPr>
                <w:rFonts w:eastAsia="Times New Roman"/>
                <w:b/>
                <w:bCs/>
                <w:color w:val="000000"/>
                <w:sz w:val="18"/>
                <w:szCs w:val="16"/>
                <w:lang w:val="en-US"/>
              </w:rPr>
              <w:t>Total 2013/14</w:t>
            </w:r>
          </w:p>
        </w:tc>
      </w:tr>
      <w:tr w:rsidR="00974489" w:rsidRPr="00862C8C" w:rsidTr="00862C8C">
        <w:trPr>
          <w:trHeight w:val="300"/>
        </w:trPr>
        <w:tc>
          <w:tcPr>
            <w:tcW w:w="2359" w:type="pct"/>
            <w:shd w:val="clear" w:color="auto" w:fill="auto"/>
            <w:noWrap/>
            <w:vAlign w:val="bottom"/>
            <w:hideMark/>
          </w:tcPr>
          <w:p w:rsidR="00974489" w:rsidRPr="00862C8C" w:rsidRDefault="00974489" w:rsidP="00DE2F86">
            <w:pPr>
              <w:spacing w:after="0"/>
              <w:rPr>
                <w:rFonts w:eastAsia="Times New Roman"/>
                <w:color w:val="000000"/>
                <w:sz w:val="18"/>
                <w:szCs w:val="16"/>
                <w:lang w:val="en-US"/>
              </w:rPr>
            </w:pPr>
            <w:r w:rsidRPr="00862C8C">
              <w:rPr>
                <w:rFonts w:eastAsia="Times New Roman"/>
                <w:color w:val="000000"/>
                <w:sz w:val="18"/>
                <w:szCs w:val="16"/>
                <w:lang w:val="en-US"/>
              </w:rPr>
              <w:t>Clinical Neuropsychology</w:t>
            </w:r>
          </w:p>
        </w:tc>
        <w:tc>
          <w:tcPr>
            <w:tcW w:w="1380" w:type="pct"/>
            <w:shd w:val="clear" w:color="auto" w:fill="auto"/>
            <w:noWrap/>
            <w:vAlign w:val="bottom"/>
            <w:hideMark/>
          </w:tcPr>
          <w:p w:rsidR="00974489" w:rsidRPr="00862C8C" w:rsidRDefault="00974489" w:rsidP="00862C8C">
            <w:pPr>
              <w:spacing w:after="0"/>
              <w:jc w:val="center"/>
              <w:rPr>
                <w:rFonts w:eastAsia="Times New Roman"/>
                <w:color w:val="000000"/>
                <w:sz w:val="18"/>
                <w:szCs w:val="16"/>
                <w:lang w:val="en-US"/>
              </w:rPr>
            </w:pPr>
            <w:r w:rsidRPr="00862C8C">
              <w:rPr>
                <w:rFonts w:eastAsia="Times New Roman"/>
                <w:color w:val="000000"/>
                <w:sz w:val="18"/>
                <w:szCs w:val="16"/>
                <w:lang w:val="en-US"/>
              </w:rPr>
              <w:t>587</w:t>
            </w:r>
          </w:p>
        </w:tc>
        <w:tc>
          <w:tcPr>
            <w:tcW w:w="1261" w:type="pct"/>
            <w:shd w:val="clear" w:color="auto" w:fill="auto"/>
            <w:noWrap/>
            <w:vAlign w:val="bottom"/>
            <w:hideMark/>
          </w:tcPr>
          <w:p w:rsidR="00974489" w:rsidRPr="00862C8C" w:rsidRDefault="00974489" w:rsidP="00862C8C">
            <w:pPr>
              <w:spacing w:after="0"/>
              <w:jc w:val="center"/>
              <w:rPr>
                <w:rFonts w:eastAsia="Times New Roman"/>
                <w:color w:val="000000"/>
                <w:sz w:val="18"/>
                <w:szCs w:val="16"/>
                <w:lang w:val="en-US"/>
              </w:rPr>
            </w:pPr>
            <w:r w:rsidRPr="00862C8C">
              <w:rPr>
                <w:rFonts w:eastAsia="Times New Roman"/>
                <w:color w:val="000000"/>
                <w:sz w:val="18"/>
                <w:szCs w:val="16"/>
                <w:lang w:val="en-US"/>
              </w:rPr>
              <w:t>565</w:t>
            </w:r>
          </w:p>
        </w:tc>
      </w:tr>
      <w:tr w:rsidR="00974489" w:rsidRPr="00862C8C" w:rsidTr="00862C8C">
        <w:trPr>
          <w:trHeight w:val="300"/>
        </w:trPr>
        <w:tc>
          <w:tcPr>
            <w:tcW w:w="2359" w:type="pct"/>
            <w:shd w:val="clear" w:color="auto" w:fill="auto"/>
            <w:noWrap/>
            <w:vAlign w:val="bottom"/>
            <w:hideMark/>
          </w:tcPr>
          <w:p w:rsidR="00974489" w:rsidRPr="00862C8C" w:rsidRDefault="00974489" w:rsidP="00DE2F86">
            <w:pPr>
              <w:spacing w:after="0"/>
              <w:rPr>
                <w:rFonts w:eastAsia="Times New Roman"/>
                <w:color w:val="000000"/>
                <w:sz w:val="18"/>
                <w:szCs w:val="16"/>
                <w:lang w:val="en-US"/>
              </w:rPr>
            </w:pPr>
            <w:r w:rsidRPr="00862C8C">
              <w:rPr>
                <w:rFonts w:eastAsia="Times New Roman"/>
                <w:color w:val="000000"/>
                <w:sz w:val="18"/>
                <w:szCs w:val="16"/>
                <w:lang w:val="en-US"/>
              </w:rPr>
              <w:t>Clinical Psychology</w:t>
            </w:r>
          </w:p>
        </w:tc>
        <w:tc>
          <w:tcPr>
            <w:tcW w:w="1380" w:type="pct"/>
            <w:shd w:val="clear" w:color="auto" w:fill="auto"/>
            <w:noWrap/>
            <w:vAlign w:val="bottom"/>
            <w:hideMark/>
          </w:tcPr>
          <w:p w:rsidR="00974489" w:rsidRPr="00862C8C" w:rsidRDefault="00974489" w:rsidP="00862C8C">
            <w:pPr>
              <w:spacing w:after="0"/>
              <w:jc w:val="center"/>
              <w:rPr>
                <w:rFonts w:eastAsia="Times New Roman"/>
                <w:color w:val="000000"/>
                <w:sz w:val="18"/>
                <w:szCs w:val="16"/>
                <w:lang w:val="en-US"/>
              </w:rPr>
            </w:pPr>
            <w:r w:rsidRPr="00862C8C">
              <w:rPr>
                <w:rFonts w:eastAsia="Times New Roman"/>
                <w:color w:val="000000"/>
                <w:sz w:val="18"/>
                <w:szCs w:val="16"/>
                <w:lang w:val="en-US"/>
              </w:rPr>
              <w:t>7,028</w:t>
            </w:r>
          </w:p>
        </w:tc>
        <w:tc>
          <w:tcPr>
            <w:tcW w:w="1261" w:type="pct"/>
            <w:shd w:val="clear" w:color="auto" w:fill="auto"/>
            <w:noWrap/>
            <w:vAlign w:val="bottom"/>
            <w:hideMark/>
          </w:tcPr>
          <w:p w:rsidR="00974489" w:rsidRPr="00862C8C" w:rsidRDefault="00974489" w:rsidP="00862C8C">
            <w:pPr>
              <w:spacing w:after="0"/>
              <w:jc w:val="center"/>
              <w:rPr>
                <w:rFonts w:eastAsia="Times New Roman"/>
                <w:color w:val="000000"/>
                <w:sz w:val="18"/>
                <w:szCs w:val="16"/>
                <w:lang w:val="en-US"/>
              </w:rPr>
            </w:pPr>
            <w:r w:rsidRPr="00862C8C">
              <w:rPr>
                <w:rFonts w:eastAsia="Times New Roman"/>
                <w:color w:val="000000"/>
                <w:sz w:val="18"/>
                <w:szCs w:val="16"/>
                <w:lang w:val="en-US"/>
              </w:rPr>
              <w:t>6,716</w:t>
            </w:r>
          </w:p>
        </w:tc>
      </w:tr>
      <w:tr w:rsidR="00974489" w:rsidRPr="00862C8C" w:rsidTr="00862C8C">
        <w:trPr>
          <w:trHeight w:val="300"/>
        </w:trPr>
        <w:tc>
          <w:tcPr>
            <w:tcW w:w="2359" w:type="pct"/>
            <w:shd w:val="clear" w:color="auto" w:fill="auto"/>
            <w:noWrap/>
            <w:vAlign w:val="bottom"/>
            <w:hideMark/>
          </w:tcPr>
          <w:p w:rsidR="00974489" w:rsidRPr="00862C8C" w:rsidRDefault="00974489" w:rsidP="00DE2F86">
            <w:pPr>
              <w:spacing w:after="0"/>
              <w:rPr>
                <w:rFonts w:eastAsia="Times New Roman"/>
                <w:color w:val="000000"/>
                <w:sz w:val="18"/>
                <w:szCs w:val="16"/>
                <w:lang w:val="en-US"/>
              </w:rPr>
            </w:pPr>
            <w:r w:rsidRPr="00862C8C">
              <w:rPr>
                <w:rFonts w:eastAsia="Times New Roman"/>
                <w:color w:val="000000"/>
                <w:sz w:val="18"/>
                <w:szCs w:val="16"/>
                <w:lang w:val="en-US"/>
              </w:rPr>
              <w:t>Community Psychology</w:t>
            </w:r>
          </w:p>
        </w:tc>
        <w:tc>
          <w:tcPr>
            <w:tcW w:w="1380" w:type="pct"/>
            <w:shd w:val="clear" w:color="auto" w:fill="auto"/>
            <w:noWrap/>
            <w:vAlign w:val="bottom"/>
            <w:hideMark/>
          </w:tcPr>
          <w:p w:rsidR="00974489" w:rsidRPr="00862C8C" w:rsidRDefault="00974489" w:rsidP="00862C8C">
            <w:pPr>
              <w:spacing w:after="0"/>
              <w:jc w:val="center"/>
              <w:rPr>
                <w:rFonts w:eastAsia="Times New Roman"/>
                <w:color w:val="000000"/>
                <w:sz w:val="18"/>
                <w:szCs w:val="16"/>
                <w:lang w:val="en-US"/>
              </w:rPr>
            </w:pPr>
            <w:r w:rsidRPr="00862C8C">
              <w:rPr>
                <w:rFonts w:eastAsia="Times New Roman"/>
                <w:color w:val="000000"/>
                <w:sz w:val="18"/>
                <w:szCs w:val="16"/>
                <w:lang w:val="en-US"/>
              </w:rPr>
              <w:t>56</w:t>
            </w:r>
          </w:p>
        </w:tc>
        <w:tc>
          <w:tcPr>
            <w:tcW w:w="1261" w:type="pct"/>
            <w:shd w:val="clear" w:color="auto" w:fill="auto"/>
            <w:noWrap/>
            <w:vAlign w:val="bottom"/>
            <w:hideMark/>
          </w:tcPr>
          <w:p w:rsidR="00974489" w:rsidRPr="00862C8C" w:rsidRDefault="00974489" w:rsidP="00862C8C">
            <w:pPr>
              <w:spacing w:after="0"/>
              <w:jc w:val="center"/>
              <w:rPr>
                <w:rFonts w:eastAsia="Times New Roman"/>
                <w:color w:val="000000"/>
                <w:sz w:val="18"/>
                <w:szCs w:val="16"/>
                <w:lang w:val="en-US"/>
              </w:rPr>
            </w:pPr>
            <w:r w:rsidRPr="00862C8C">
              <w:rPr>
                <w:rFonts w:eastAsia="Times New Roman"/>
                <w:color w:val="000000"/>
                <w:sz w:val="18"/>
                <w:szCs w:val="16"/>
                <w:lang w:val="en-US"/>
              </w:rPr>
              <w:t>56</w:t>
            </w:r>
          </w:p>
        </w:tc>
      </w:tr>
      <w:tr w:rsidR="00974489" w:rsidRPr="00862C8C" w:rsidTr="00862C8C">
        <w:trPr>
          <w:trHeight w:val="300"/>
        </w:trPr>
        <w:tc>
          <w:tcPr>
            <w:tcW w:w="2359" w:type="pct"/>
            <w:shd w:val="clear" w:color="auto" w:fill="auto"/>
            <w:noWrap/>
            <w:vAlign w:val="bottom"/>
            <w:hideMark/>
          </w:tcPr>
          <w:p w:rsidR="00974489" w:rsidRPr="00862C8C" w:rsidRDefault="00974489" w:rsidP="00DE2F86">
            <w:pPr>
              <w:spacing w:after="0"/>
              <w:rPr>
                <w:rFonts w:eastAsia="Times New Roman"/>
                <w:color w:val="000000"/>
                <w:sz w:val="18"/>
                <w:szCs w:val="16"/>
                <w:lang w:val="en-US"/>
              </w:rPr>
            </w:pPr>
            <w:r w:rsidRPr="00862C8C">
              <w:rPr>
                <w:rFonts w:eastAsia="Times New Roman"/>
                <w:color w:val="000000"/>
                <w:sz w:val="18"/>
                <w:szCs w:val="16"/>
                <w:lang w:val="en-US"/>
              </w:rPr>
              <w:t>Counselling Psychology</w:t>
            </w:r>
          </w:p>
        </w:tc>
        <w:tc>
          <w:tcPr>
            <w:tcW w:w="1380" w:type="pct"/>
            <w:shd w:val="clear" w:color="auto" w:fill="auto"/>
            <w:noWrap/>
            <w:vAlign w:val="bottom"/>
            <w:hideMark/>
          </w:tcPr>
          <w:p w:rsidR="00974489" w:rsidRPr="00862C8C" w:rsidRDefault="00974489" w:rsidP="00862C8C">
            <w:pPr>
              <w:spacing w:after="0"/>
              <w:jc w:val="center"/>
              <w:rPr>
                <w:rFonts w:eastAsia="Times New Roman"/>
                <w:color w:val="000000"/>
                <w:sz w:val="18"/>
                <w:szCs w:val="16"/>
                <w:lang w:val="en-US"/>
              </w:rPr>
            </w:pPr>
            <w:r w:rsidRPr="00862C8C">
              <w:rPr>
                <w:rFonts w:eastAsia="Times New Roman"/>
                <w:color w:val="000000"/>
                <w:sz w:val="18"/>
                <w:szCs w:val="16"/>
                <w:lang w:val="en-US"/>
              </w:rPr>
              <w:t>944</w:t>
            </w:r>
          </w:p>
        </w:tc>
        <w:tc>
          <w:tcPr>
            <w:tcW w:w="1261" w:type="pct"/>
            <w:shd w:val="clear" w:color="auto" w:fill="auto"/>
            <w:noWrap/>
            <w:vAlign w:val="bottom"/>
            <w:hideMark/>
          </w:tcPr>
          <w:p w:rsidR="00974489" w:rsidRPr="00862C8C" w:rsidRDefault="00974489" w:rsidP="00862C8C">
            <w:pPr>
              <w:spacing w:after="0"/>
              <w:jc w:val="center"/>
              <w:rPr>
                <w:rFonts w:eastAsia="Times New Roman"/>
                <w:color w:val="000000"/>
                <w:sz w:val="18"/>
                <w:szCs w:val="16"/>
                <w:lang w:val="en-US"/>
              </w:rPr>
            </w:pPr>
            <w:r w:rsidRPr="00862C8C">
              <w:rPr>
                <w:rFonts w:eastAsia="Times New Roman"/>
                <w:color w:val="000000"/>
                <w:sz w:val="18"/>
                <w:szCs w:val="16"/>
                <w:lang w:val="en-US"/>
              </w:rPr>
              <w:t>941</w:t>
            </w:r>
          </w:p>
        </w:tc>
      </w:tr>
      <w:tr w:rsidR="00974489" w:rsidRPr="00862C8C" w:rsidTr="00862C8C">
        <w:trPr>
          <w:trHeight w:val="300"/>
        </w:trPr>
        <w:tc>
          <w:tcPr>
            <w:tcW w:w="2359" w:type="pct"/>
            <w:shd w:val="clear" w:color="auto" w:fill="auto"/>
            <w:noWrap/>
            <w:vAlign w:val="bottom"/>
            <w:hideMark/>
          </w:tcPr>
          <w:p w:rsidR="00974489" w:rsidRPr="00862C8C" w:rsidRDefault="00974489" w:rsidP="00DE2F86">
            <w:pPr>
              <w:spacing w:after="0"/>
              <w:rPr>
                <w:rFonts w:eastAsia="Times New Roman"/>
                <w:color w:val="000000"/>
                <w:sz w:val="18"/>
                <w:szCs w:val="16"/>
                <w:lang w:val="en-US"/>
              </w:rPr>
            </w:pPr>
            <w:r w:rsidRPr="00862C8C">
              <w:rPr>
                <w:rFonts w:eastAsia="Times New Roman"/>
                <w:color w:val="000000"/>
                <w:sz w:val="18"/>
                <w:szCs w:val="16"/>
                <w:lang w:val="en-US"/>
              </w:rPr>
              <w:t>Educational and Developmental Psychology</w:t>
            </w:r>
          </w:p>
        </w:tc>
        <w:tc>
          <w:tcPr>
            <w:tcW w:w="1380" w:type="pct"/>
            <w:shd w:val="clear" w:color="auto" w:fill="auto"/>
            <w:noWrap/>
            <w:vAlign w:val="bottom"/>
            <w:hideMark/>
          </w:tcPr>
          <w:p w:rsidR="00974489" w:rsidRPr="00862C8C" w:rsidRDefault="00974489" w:rsidP="00862C8C">
            <w:pPr>
              <w:spacing w:after="0"/>
              <w:jc w:val="center"/>
              <w:rPr>
                <w:rFonts w:eastAsia="Times New Roman"/>
                <w:color w:val="000000"/>
                <w:sz w:val="18"/>
                <w:szCs w:val="16"/>
                <w:lang w:val="en-US"/>
              </w:rPr>
            </w:pPr>
            <w:r w:rsidRPr="00862C8C">
              <w:rPr>
                <w:rFonts w:eastAsia="Times New Roman"/>
                <w:color w:val="000000"/>
                <w:sz w:val="18"/>
                <w:szCs w:val="16"/>
                <w:lang w:val="en-US"/>
              </w:rPr>
              <w:t>610</w:t>
            </w:r>
          </w:p>
        </w:tc>
        <w:tc>
          <w:tcPr>
            <w:tcW w:w="1261" w:type="pct"/>
            <w:shd w:val="clear" w:color="auto" w:fill="auto"/>
            <w:noWrap/>
            <w:vAlign w:val="bottom"/>
            <w:hideMark/>
          </w:tcPr>
          <w:p w:rsidR="00974489" w:rsidRPr="00862C8C" w:rsidRDefault="00974489" w:rsidP="00862C8C">
            <w:pPr>
              <w:spacing w:after="0"/>
              <w:jc w:val="center"/>
              <w:rPr>
                <w:rFonts w:eastAsia="Times New Roman"/>
                <w:color w:val="000000"/>
                <w:sz w:val="18"/>
                <w:szCs w:val="16"/>
                <w:lang w:val="en-US"/>
              </w:rPr>
            </w:pPr>
            <w:r w:rsidRPr="00862C8C">
              <w:rPr>
                <w:rFonts w:eastAsia="Times New Roman"/>
                <w:color w:val="000000"/>
                <w:sz w:val="18"/>
                <w:szCs w:val="16"/>
                <w:lang w:val="en-US"/>
              </w:rPr>
              <w:t>599</w:t>
            </w:r>
          </w:p>
        </w:tc>
      </w:tr>
      <w:tr w:rsidR="00974489" w:rsidRPr="00862C8C" w:rsidTr="00862C8C">
        <w:trPr>
          <w:trHeight w:val="300"/>
        </w:trPr>
        <w:tc>
          <w:tcPr>
            <w:tcW w:w="2359" w:type="pct"/>
            <w:shd w:val="clear" w:color="auto" w:fill="auto"/>
            <w:noWrap/>
            <w:vAlign w:val="bottom"/>
            <w:hideMark/>
          </w:tcPr>
          <w:p w:rsidR="00974489" w:rsidRPr="00862C8C" w:rsidRDefault="00974489" w:rsidP="00DE2F86">
            <w:pPr>
              <w:spacing w:after="0"/>
              <w:rPr>
                <w:rFonts w:eastAsia="Times New Roman"/>
                <w:color w:val="000000"/>
                <w:sz w:val="18"/>
                <w:szCs w:val="16"/>
                <w:lang w:val="en-US"/>
              </w:rPr>
            </w:pPr>
            <w:r w:rsidRPr="00862C8C">
              <w:rPr>
                <w:rFonts w:eastAsia="Times New Roman"/>
                <w:color w:val="000000"/>
                <w:sz w:val="18"/>
                <w:szCs w:val="16"/>
                <w:lang w:val="en-US"/>
              </w:rPr>
              <w:t>Forensic Psychology</w:t>
            </w:r>
          </w:p>
        </w:tc>
        <w:tc>
          <w:tcPr>
            <w:tcW w:w="1380" w:type="pct"/>
            <w:shd w:val="clear" w:color="auto" w:fill="auto"/>
            <w:noWrap/>
            <w:vAlign w:val="bottom"/>
            <w:hideMark/>
          </w:tcPr>
          <w:p w:rsidR="00974489" w:rsidRPr="00862C8C" w:rsidRDefault="00974489" w:rsidP="00862C8C">
            <w:pPr>
              <w:spacing w:after="0"/>
              <w:jc w:val="center"/>
              <w:rPr>
                <w:rFonts w:eastAsia="Times New Roman"/>
                <w:color w:val="000000"/>
                <w:sz w:val="18"/>
                <w:szCs w:val="16"/>
                <w:lang w:val="en-US"/>
              </w:rPr>
            </w:pPr>
            <w:r w:rsidRPr="00862C8C">
              <w:rPr>
                <w:rFonts w:eastAsia="Times New Roman"/>
                <w:color w:val="000000"/>
                <w:sz w:val="18"/>
                <w:szCs w:val="16"/>
                <w:lang w:val="en-US"/>
              </w:rPr>
              <w:t>541</w:t>
            </w:r>
          </w:p>
        </w:tc>
        <w:tc>
          <w:tcPr>
            <w:tcW w:w="1261" w:type="pct"/>
            <w:shd w:val="clear" w:color="auto" w:fill="auto"/>
            <w:noWrap/>
            <w:vAlign w:val="bottom"/>
            <w:hideMark/>
          </w:tcPr>
          <w:p w:rsidR="00974489" w:rsidRPr="00862C8C" w:rsidRDefault="00974489" w:rsidP="00862C8C">
            <w:pPr>
              <w:spacing w:after="0"/>
              <w:jc w:val="center"/>
              <w:rPr>
                <w:rFonts w:eastAsia="Times New Roman"/>
                <w:color w:val="000000"/>
                <w:sz w:val="18"/>
                <w:szCs w:val="16"/>
                <w:lang w:val="en-US"/>
              </w:rPr>
            </w:pPr>
            <w:r w:rsidRPr="00862C8C">
              <w:rPr>
                <w:rFonts w:eastAsia="Times New Roman"/>
                <w:color w:val="000000"/>
                <w:sz w:val="18"/>
                <w:szCs w:val="16"/>
                <w:lang w:val="en-US"/>
              </w:rPr>
              <w:t>528</w:t>
            </w:r>
          </w:p>
        </w:tc>
      </w:tr>
      <w:tr w:rsidR="00974489" w:rsidRPr="00862C8C" w:rsidTr="00862C8C">
        <w:trPr>
          <w:trHeight w:val="300"/>
        </w:trPr>
        <w:tc>
          <w:tcPr>
            <w:tcW w:w="2359" w:type="pct"/>
            <w:shd w:val="clear" w:color="auto" w:fill="auto"/>
            <w:noWrap/>
            <w:vAlign w:val="bottom"/>
            <w:hideMark/>
          </w:tcPr>
          <w:p w:rsidR="00974489" w:rsidRPr="00862C8C" w:rsidRDefault="00974489" w:rsidP="00DE2F86">
            <w:pPr>
              <w:spacing w:after="0"/>
              <w:rPr>
                <w:rFonts w:eastAsia="Times New Roman"/>
                <w:color w:val="000000"/>
                <w:sz w:val="18"/>
                <w:szCs w:val="16"/>
                <w:lang w:val="en-US"/>
              </w:rPr>
            </w:pPr>
            <w:r w:rsidRPr="00862C8C">
              <w:rPr>
                <w:rFonts w:eastAsia="Times New Roman"/>
                <w:color w:val="000000"/>
                <w:sz w:val="18"/>
                <w:szCs w:val="16"/>
                <w:lang w:val="en-US"/>
              </w:rPr>
              <w:t>Health Psychology</w:t>
            </w:r>
          </w:p>
        </w:tc>
        <w:tc>
          <w:tcPr>
            <w:tcW w:w="1380" w:type="pct"/>
            <w:shd w:val="clear" w:color="auto" w:fill="auto"/>
            <w:noWrap/>
            <w:vAlign w:val="bottom"/>
            <w:hideMark/>
          </w:tcPr>
          <w:p w:rsidR="00974489" w:rsidRPr="00862C8C" w:rsidRDefault="00974489" w:rsidP="00862C8C">
            <w:pPr>
              <w:spacing w:after="0"/>
              <w:jc w:val="center"/>
              <w:rPr>
                <w:rFonts w:eastAsia="Times New Roman"/>
                <w:color w:val="000000"/>
                <w:sz w:val="18"/>
                <w:szCs w:val="16"/>
                <w:lang w:val="en-US"/>
              </w:rPr>
            </w:pPr>
            <w:r w:rsidRPr="00862C8C">
              <w:rPr>
                <w:rFonts w:eastAsia="Times New Roman"/>
                <w:color w:val="000000"/>
                <w:sz w:val="18"/>
                <w:szCs w:val="16"/>
                <w:lang w:val="en-US"/>
              </w:rPr>
              <w:t>316</w:t>
            </w:r>
          </w:p>
        </w:tc>
        <w:tc>
          <w:tcPr>
            <w:tcW w:w="1261" w:type="pct"/>
            <w:shd w:val="clear" w:color="auto" w:fill="auto"/>
            <w:noWrap/>
            <w:vAlign w:val="bottom"/>
            <w:hideMark/>
          </w:tcPr>
          <w:p w:rsidR="00974489" w:rsidRPr="00862C8C" w:rsidRDefault="00974489" w:rsidP="00862C8C">
            <w:pPr>
              <w:spacing w:after="0"/>
              <w:jc w:val="center"/>
              <w:rPr>
                <w:rFonts w:eastAsia="Times New Roman"/>
                <w:color w:val="000000"/>
                <w:sz w:val="18"/>
                <w:szCs w:val="16"/>
                <w:lang w:val="en-US"/>
              </w:rPr>
            </w:pPr>
            <w:r w:rsidRPr="00862C8C">
              <w:rPr>
                <w:rFonts w:eastAsia="Times New Roman"/>
                <w:color w:val="000000"/>
                <w:sz w:val="18"/>
                <w:szCs w:val="16"/>
                <w:lang w:val="en-US"/>
              </w:rPr>
              <w:t>312</w:t>
            </w:r>
          </w:p>
        </w:tc>
      </w:tr>
      <w:tr w:rsidR="00974489" w:rsidRPr="00862C8C" w:rsidTr="00862C8C">
        <w:trPr>
          <w:trHeight w:val="300"/>
        </w:trPr>
        <w:tc>
          <w:tcPr>
            <w:tcW w:w="2359" w:type="pct"/>
            <w:shd w:val="clear" w:color="auto" w:fill="auto"/>
            <w:noWrap/>
            <w:vAlign w:val="bottom"/>
            <w:hideMark/>
          </w:tcPr>
          <w:p w:rsidR="00974489" w:rsidRPr="00862C8C" w:rsidRDefault="00974489" w:rsidP="00DE2F86">
            <w:pPr>
              <w:spacing w:after="0"/>
              <w:rPr>
                <w:rFonts w:eastAsia="Times New Roman"/>
                <w:color w:val="000000"/>
                <w:sz w:val="18"/>
                <w:szCs w:val="16"/>
                <w:lang w:val="en-US"/>
              </w:rPr>
            </w:pPr>
            <w:r w:rsidRPr="00862C8C">
              <w:rPr>
                <w:rFonts w:eastAsia="Times New Roman"/>
                <w:color w:val="000000"/>
                <w:sz w:val="18"/>
                <w:szCs w:val="16"/>
                <w:lang w:val="en-US"/>
              </w:rPr>
              <w:t>Organisational Psychology</w:t>
            </w:r>
          </w:p>
        </w:tc>
        <w:tc>
          <w:tcPr>
            <w:tcW w:w="1380" w:type="pct"/>
            <w:shd w:val="clear" w:color="auto" w:fill="auto"/>
            <w:noWrap/>
            <w:vAlign w:val="bottom"/>
            <w:hideMark/>
          </w:tcPr>
          <w:p w:rsidR="00974489" w:rsidRPr="00862C8C" w:rsidRDefault="00974489" w:rsidP="00862C8C">
            <w:pPr>
              <w:spacing w:after="0"/>
              <w:jc w:val="center"/>
              <w:rPr>
                <w:rFonts w:eastAsia="Times New Roman"/>
                <w:color w:val="000000"/>
                <w:sz w:val="18"/>
                <w:szCs w:val="16"/>
                <w:lang w:val="en-US"/>
              </w:rPr>
            </w:pPr>
            <w:r w:rsidRPr="00862C8C">
              <w:rPr>
                <w:rFonts w:eastAsia="Times New Roman"/>
                <w:color w:val="000000"/>
                <w:sz w:val="18"/>
                <w:szCs w:val="16"/>
                <w:lang w:val="en-US"/>
              </w:rPr>
              <w:t>469</w:t>
            </w:r>
          </w:p>
        </w:tc>
        <w:tc>
          <w:tcPr>
            <w:tcW w:w="1261" w:type="pct"/>
            <w:shd w:val="clear" w:color="auto" w:fill="auto"/>
            <w:noWrap/>
            <w:vAlign w:val="bottom"/>
            <w:hideMark/>
          </w:tcPr>
          <w:p w:rsidR="00974489" w:rsidRPr="00862C8C" w:rsidRDefault="00974489" w:rsidP="00862C8C">
            <w:pPr>
              <w:spacing w:after="0"/>
              <w:jc w:val="center"/>
              <w:rPr>
                <w:rFonts w:eastAsia="Times New Roman"/>
                <w:color w:val="000000"/>
                <w:sz w:val="18"/>
                <w:szCs w:val="16"/>
                <w:lang w:val="en-US"/>
              </w:rPr>
            </w:pPr>
            <w:r w:rsidRPr="00862C8C">
              <w:rPr>
                <w:rFonts w:eastAsia="Times New Roman"/>
                <w:color w:val="000000"/>
                <w:sz w:val="18"/>
                <w:szCs w:val="16"/>
                <w:lang w:val="en-US"/>
              </w:rPr>
              <w:t>463</w:t>
            </w:r>
          </w:p>
        </w:tc>
      </w:tr>
      <w:tr w:rsidR="00974489" w:rsidRPr="00862C8C" w:rsidTr="00862C8C">
        <w:trPr>
          <w:trHeight w:val="300"/>
        </w:trPr>
        <w:tc>
          <w:tcPr>
            <w:tcW w:w="2359" w:type="pct"/>
            <w:shd w:val="clear" w:color="auto" w:fill="auto"/>
            <w:noWrap/>
            <w:vAlign w:val="bottom"/>
            <w:hideMark/>
          </w:tcPr>
          <w:p w:rsidR="00974489" w:rsidRPr="00862C8C" w:rsidRDefault="00974489" w:rsidP="00DE2F86">
            <w:pPr>
              <w:spacing w:after="0"/>
              <w:rPr>
                <w:rFonts w:eastAsia="Times New Roman"/>
                <w:color w:val="000000"/>
                <w:sz w:val="18"/>
                <w:szCs w:val="16"/>
                <w:lang w:val="en-US"/>
              </w:rPr>
            </w:pPr>
            <w:r w:rsidRPr="00862C8C">
              <w:rPr>
                <w:rFonts w:eastAsia="Times New Roman"/>
                <w:color w:val="000000"/>
                <w:sz w:val="18"/>
                <w:szCs w:val="16"/>
                <w:lang w:val="en-US"/>
              </w:rPr>
              <w:t>Sport and Exercise Psychology</w:t>
            </w:r>
          </w:p>
        </w:tc>
        <w:tc>
          <w:tcPr>
            <w:tcW w:w="1380" w:type="pct"/>
            <w:shd w:val="clear" w:color="auto" w:fill="auto"/>
            <w:noWrap/>
            <w:vAlign w:val="bottom"/>
            <w:hideMark/>
          </w:tcPr>
          <w:p w:rsidR="00974489" w:rsidRPr="00862C8C" w:rsidRDefault="00974489" w:rsidP="00862C8C">
            <w:pPr>
              <w:spacing w:after="0"/>
              <w:jc w:val="center"/>
              <w:rPr>
                <w:rFonts w:eastAsia="Times New Roman"/>
                <w:color w:val="000000"/>
                <w:sz w:val="18"/>
                <w:szCs w:val="16"/>
                <w:lang w:val="en-US"/>
              </w:rPr>
            </w:pPr>
            <w:r w:rsidRPr="00862C8C">
              <w:rPr>
                <w:rFonts w:eastAsia="Times New Roman"/>
                <w:color w:val="000000"/>
                <w:sz w:val="18"/>
                <w:szCs w:val="16"/>
                <w:lang w:val="en-US"/>
              </w:rPr>
              <w:t>92</w:t>
            </w:r>
          </w:p>
        </w:tc>
        <w:tc>
          <w:tcPr>
            <w:tcW w:w="1261" w:type="pct"/>
            <w:shd w:val="clear" w:color="auto" w:fill="auto"/>
            <w:noWrap/>
            <w:vAlign w:val="bottom"/>
            <w:hideMark/>
          </w:tcPr>
          <w:p w:rsidR="00974489" w:rsidRPr="00862C8C" w:rsidRDefault="00974489" w:rsidP="00862C8C">
            <w:pPr>
              <w:spacing w:after="0"/>
              <w:jc w:val="center"/>
              <w:rPr>
                <w:rFonts w:eastAsia="Times New Roman"/>
                <w:color w:val="000000"/>
                <w:sz w:val="18"/>
                <w:szCs w:val="16"/>
                <w:lang w:val="en-US"/>
              </w:rPr>
            </w:pPr>
            <w:r w:rsidRPr="00862C8C">
              <w:rPr>
                <w:rFonts w:eastAsia="Times New Roman"/>
                <w:color w:val="000000"/>
                <w:sz w:val="18"/>
                <w:szCs w:val="16"/>
                <w:lang w:val="en-US"/>
              </w:rPr>
              <w:t>94</w:t>
            </w:r>
          </w:p>
        </w:tc>
      </w:tr>
      <w:tr w:rsidR="00974489" w:rsidRPr="00862C8C" w:rsidTr="00862C8C">
        <w:trPr>
          <w:trHeight w:val="340"/>
        </w:trPr>
        <w:tc>
          <w:tcPr>
            <w:tcW w:w="2359" w:type="pct"/>
            <w:shd w:val="clear" w:color="000000" w:fill="DBE5F1"/>
            <w:noWrap/>
            <w:vAlign w:val="bottom"/>
            <w:hideMark/>
          </w:tcPr>
          <w:p w:rsidR="00974489" w:rsidRPr="00862C8C" w:rsidRDefault="00974489" w:rsidP="00DE2F86">
            <w:pPr>
              <w:spacing w:after="0"/>
              <w:rPr>
                <w:rFonts w:eastAsia="Times New Roman"/>
                <w:b/>
                <w:bCs/>
                <w:color w:val="000000"/>
                <w:sz w:val="18"/>
                <w:szCs w:val="16"/>
                <w:lang w:val="en-US"/>
              </w:rPr>
            </w:pPr>
            <w:r w:rsidRPr="00862C8C">
              <w:rPr>
                <w:rFonts w:eastAsia="Times New Roman"/>
                <w:b/>
                <w:bCs/>
                <w:color w:val="000000"/>
                <w:sz w:val="18"/>
                <w:szCs w:val="16"/>
                <w:lang w:val="en-US"/>
              </w:rPr>
              <w:t>Total</w:t>
            </w:r>
            <w:r w:rsidR="00862C8C" w:rsidRPr="00862C8C">
              <w:rPr>
                <w:rStyle w:val="FootnoteReference"/>
                <w:rFonts w:eastAsia="Times New Roman"/>
                <w:b/>
                <w:bCs/>
                <w:color w:val="000000"/>
                <w:sz w:val="18"/>
                <w:szCs w:val="16"/>
                <w:lang w:val="en-US"/>
              </w:rPr>
              <w:footnoteReference w:id="1"/>
            </w:r>
          </w:p>
        </w:tc>
        <w:tc>
          <w:tcPr>
            <w:tcW w:w="1380" w:type="pct"/>
            <w:shd w:val="clear" w:color="000000" w:fill="DBE5F1"/>
            <w:noWrap/>
            <w:vAlign w:val="bottom"/>
            <w:hideMark/>
          </w:tcPr>
          <w:p w:rsidR="00974489" w:rsidRPr="00862C8C" w:rsidRDefault="00974489" w:rsidP="00862C8C">
            <w:pPr>
              <w:spacing w:after="0"/>
              <w:jc w:val="center"/>
              <w:rPr>
                <w:rFonts w:eastAsia="Times New Roman"/>
                <w:b/>
                <w:bCs/>
                <w:color w:val="000000"/>
                <w:sz w:val="18"/>
                <w:szCs w:val="16"/>
                <w:lang w:val="en-US"/>
              </w:rPr>
            </w:pPr>
            <w:r w:rsidRPr="00862C8C">
              <w:rPr>
                <w:rFonts w:eastAsia="Times New Roman"/>
                <w:b/>
                <w:bCs/>
                <w:color w:val="000000"/>
                <w:sz w:val="18"/>
                <w:szCs w:val="16"/>
                <w:lang w:val="en-US"/>
              </w:rPr>
              <w:t>10,643</w:t>
            </w:r>
          </w:p>
        </w:tc>
        <w:tc>
          <w:tcPr>
            <w:tcW w:w="1261" w:type="pct"/>
            <w:shd w:val="clear" w:color="000000" w:fill="DDEBF7"/>
            <w:noWrap/>
            <w:vAlign w:val="bottom"/>
            <w:hideMark/>
          </w:tcPr>
          <w:p w:rsidR="00974489" w:rsidRPr="00862C8C" w:rsidRDefault="00974489" w:rsidP="00862C8C">
            <w:pPr>
              <w:spacing w:after="0"/>
              <w:jc w:val="center"/>
              <w:rPr>
                <w:rFonts w:eastAsia="Times New Roman"/>
                <w:b/>
                <w:bCs/>
                <w:color w:val="000000"/>
                <w:sz w:val="18"/>
                <w:szCs w:val="16"/>
                <w:lang w:val="en-US"/>
              </w:rPr>
            </w:pPr>
            <w:r w:rsidRPr="00862C8C">
              <w:rPr>
                <w:rFonts w:eastAsia="Times New Roman"/>
                <w:b/>
                <w:bCs/>
                <w:color w:val="000000"/>
                <w:sz w:val="18"/>
                <w:szCs w:val="16"/>
                <w:lang w:val="en-US"/>
              </w:rPr>
              <w:t>10,274</w:t>
            </w:r>
          </w:p>
        </w:tc>
      </w:tr>
    </w:tbl>
    <w:p w:rsidR="00862C8C" w:rsidRDefault="00862C8C" w:rsidP="00974489">
      <w:pPr>
        <w:pStyle w:val="AHPRAbodybold"/>
        <w:rPr>
          <w:b w:val="0"/>
          <w:sz w:val="16"/>
          <w:szCs w:val="16"/>
        </w:rPr>
      </w:pPr>
    </w:p>
    <w:p w:rsidR="00A57A1D" w:rsidRDefault="00A57A1D" w:rsidP="00DE2F86">
      <w:pPr>
        <w:spacing w:after="0"/>
        <w:jc w:val="center"/>
        <w:rPr>
          <w:rFonts w:eastAsia="Times New Roman"/>
          <w:b/>
          <w:bCs/>
          <w:color w:val="000000"/>
          <w:sz w:val="16"/>
          <w:szCs w:val="16"/>
          <w:lang w:val="en-US"/>
        </w:rPr>
        <w:sectPr w:rsidR="00A57A1D" w:rsidSect="00605F99">
          <w:pgSz w:w="11906" w:h="16838"/>
          <w:pgMar w:top="1440" w:right="1440" w:bottom="1440" w:left="1440" w:header="708" w:footer="708" w:gutter="0"/>
          <w:cols w:space="708"/>
          <w:docGrid w:linePitch="360"/>
        </w:sectPr>
      </w:pPr>
    </w:p>
    <w:p w:rsidR="00A57A1D" w:rsidRDefault="00A57A1D" w:rsidP="00A57A1D">
      <w:pPr>
        <w:pStyle w:val="Caption"/>
      </w:pPr>
      <w:bookmarkStart w:id="33" w:name="_Toc453007269"/>
      <w:r>
        <w:t>Table PSY</w:t>
      </w:r>
      <w:r w:rsidR="003A7386">
        <w:fldChar w:fldCharType="begin"/>
      </w:r>
      <w:r w:rsidR="003A7386">
        <w:instrText xml:space="preserve"> SEQ Table \* ARABIC </w:instrText>
      </w:r>
      <w:r w:rsidR="003A7386">
        <w:fldChar w:fldCharType="separate"/>
      </w:r>
      <w:r>
        <w:rPr>
          <w:noProof/>
        </w:rPr>
        <w:t>10</w:t>
      </w:r>
      <w:r w:rsidR="003A7386">
        <w:rPr>
          <w:noProof/>
        </w:rPr>
        <w:fldChar w:fldCharType="end"/>
      </w:r>
      <w:r>
        <w:t xml:space="preserve">: </w:t>
      </w:r>
      <w:r w:rsidRPr="00BF18F5">
        <w:t>Outcome of assessments finalised for mandatory notifications for psychology practitioners, by grounds for the notification (excluding NSW)</w:t>
      </w:r>
      <w:bookmarkEnd w:id="33"/>
    </w:p>
    <w:tbl>
      <w:tblPr>
        <w:tblW w:w="5000" w:type="pct"/>
        <w:tblLook w:val="04A0" w:firstRow="1" w:lastRow="0" w:firstColumn="1" w:lastColumn="0" w:noHBand="0" w:noVBand="1"/>
      </w:tblPr>
      <w:tblGrid>
        <w:gridCol w:w="3661"/>
        <w:gridCol w:w="973"/>
        <w:gridCol w:w="973"/>
        <w:gridCol w:w="1247"/>
        <w:gridCol w:w="1126"/>
        <w:gridCol w:w="1247"/>
        <w:gridCol w:w="1327"/>
        <w:gridCol w:w="1307"/>
        <w:gridCol w:w="966"/>
        <w:gridCol w:w="1347"/>
      </w:tblGrid>
      <w:tr w:rsidR="00974489" w:rsidRPr="00A57A1D" w:rsidTr="00A57A1D">
        <w:trPr>
          <w:trHeight w:val="340"/>
          <w:tblHeader/>
        </w:trPr>
        <w:tc>
          <w:tcPr>
            <w:tcW w:w="1345" w:type="pct"/>
            <w:tcBorders>
              <w:top w:val="single" w:sz="4" w:space="0" w:color="auto"/>
              <w:left w:val="single" w:sz="4" w:space="0" w:color="auto"/>
              <w:bottom w:val="single" w:sz="4" w:space="0" w:color="auto"/>
              <w:right w:val="single" w:sz="4" w:space="0" w:color="auto"/>
            </w:tcBorders>
            <w:shd w:val="clear" w:color="DDEBF7" w:fill="DDEBF7"/>
            <w:vAlign w:val="bottom"/>
            <w:hideMark/>
          </w:tcPr>
          <w:p w:rsidR="00974489" w:rsidRPr="00A57A1D" w:rsidRDefault="00974489" w:rsidP="00A57A1D">
            <w:pPr>
              <w:spacing w:after="0"/>
              <w:rPr>
                <w:rFonts w:eastAsia="Times New Roman"/>
                <w:b/>
                <w:bCs/>
                <w:color w:val="000000"/>
                <w:sz w:val="18"/>
                <w:szCs w:val="18"/>
                <w:lang w:val="en-US"/>
              </w:rPr>
            </w:pPr>
            <w:r w:rsidRPr="00A57A1D">
              <w:rPr>
                <w:rFonts w:eastAsia="Times New Roman"/>
                <w:b/>
                <w:bCs/>
                <w:color w:val="000000"/>
                <w:sz w:val="18"/>
                <w:szCs w:val="18"/>
                <w:lang w:val="en-US"/>
              </w:rPr>
              <w:t> </w:t>
            </w:r>
          </w:p>
        </w:tc>
        <w:tc>
          <w:tcPr>
            <w:tcW w:w="1587" w:type="pct"/>
            <w:gridSpan w:val="4"/>
            <w:tcBorders>
              <w:top w:val="single" w:sz="4" w:space="0" w:color="auto"/>
              <w:left w:val="nil"/>
              <w:bottom w:val="single" w:sz="4" w:space="0" w:color="auto"/>
              <w:right w:val="single" w:sz="4" w:space="0" w:color="auto"/>
            </w:tcBorders>
            <w:shd w:val="clear" w:color="DDEBF7" w:fill="DDEBF7"/>
            <w:hideMark/>
          </w:tcPr>
          <w:p w:rsidR="00974489" w:rsidRPr="00A57A1D" w:rsidRDefault="00974489" w:rsidP="00A57A1D">
            <w:pPr>
              <w:spacing w:after="0"/>
              <w:jc w:val="center"/>
              <w:rPr>
                <w:rFonts w:eastAsia="Times New Roman"/>
                <w:b/>
                <w:bCs/>
                <w:color w:val="000000"/>
                <w:sz w:val="18"/>
                <w:szCs w:val="18"/>
                <w:lang w:val="en-US"/>
              </w:rPr>
            </w:pPr>
            <w:r w:rsidRPr="00A57A1D">
              <w:rPr>
                <w:rFonts w:eastAsia="Times New Roman"/>
                <w:b/>
                <w:bCs/>
                <w:color w:val="000000"/>
                <w:sz w:val="18"/>
                <w:szCs w:val="18"/>
                <w:lang w:val="en-US"/>
              </w:rPr>
              <w:t>End matter</w:t>
            </w:r>
          </w:p>
        </w:tc>
        <w:tc>
          <w:tcPr>
            <w:tcW w:w="400" w:type="pct"/>
            <w:vMerge w:val="restart"/>
            <w:tcBorders>
              <w:top w:val="single" w:sz="4" w:space="0" w:color="auto"/>
              <w:left w:val="single" w:sz="4" w:space="0" w:color="auto"/>
              <w:bottom w:val="single" w:sz="4" w:space="0" w:color="auto"/>
              <w:right w:val="single" w:sz="4" w:space="0" w:color="auto"/>
            </w:tcBorders>
            <w:shd w:val="clear" w:color="DDEBF7" w:fill="DDEBF7"/>
            <w:vAlign w:val="bottom"/>
            <w:hideMark/>
          </w:tcPr>
          <w:p w:rsidR="00974489" w:rsidRPr="00A57A1D" w:rsidRDefault="00974489" w:rsidP="00A57A1D">
            <w:pPr>
              <w:spacing w:after="0"/>
              <w:jc w:val="center"/>
              <w:rPr>
                <w:rFonts w:eastAsia="Times New Roman"/>
                <w:b/>
                <w:bCs/>
                <w:color w:val="000000"/>
                <w:sz w:val="18"/>
                <w:szCs w:val="18"/>
                <w:lang w:val="en-US"/>
              </w:rPr>
            </w:pPr>
            <w:r w:rsidRPr="00A57A1D">
              <w:rPr>
                <w:rFonts w:eastAsia="Times New Roman"/>
                <w:b/>
                <w:bCs/>
                <w:color w:val="000000"/>
                <w:sz w:val="18"/>
                <w:szCs w:val="18"/>
                <w:lang w:val="en-US"/>
              </w:rPr>
              <w:t>Total closed after assessment</w:t>
            </w:r>
          </w:p>
        </w:tc>
        <w:tc>
          <w:tcPr>
            <w:tcW w:w="843" w:type="pct"/>
            <w:gridSpan w:val="2"/>
            <w:tcBorders>
              <w:top w:val="single" w:sz="4" w:space="0" w:color="auto"/>
              <w:left w:val="nil"/>
              <w:bottom w:val="single" w:sz="4" w:space="0" w:color="auto"/>
              <w:right w:val="single" w:sz="4" w:space="0" w:color="auto"/>
            </w:tcBorders>
            <w:shd w:val="clear" w:color="DDEBF7" w:fill="DDEBF7"/>
            <w:vAlign w:val="bottom"/>
            <w:hideMark/>
          </w:tcPr>
          <w:p w:rsidR="00974489" w:rsidRPr="00A57A1D" w:rsidRDefault="00974489" w:rsidP="00A57A1D">
            <w:pPr>
              <w:spacing w:after="0"/>
              <w:jc w:val="center"/>
              <w:rPr>
                <w:rFonts w:eastAsia="Times New Roman"/>
                <w:b/>
                <w:bCs/>
                <w:color w:val="000000"/>
                <w:sz w:val="18"/>
                <w:szCs w:val="18"/>
                <w:lang w:val="en-US"/>
              </w:rPr>
            </w:pPr>
            <w:r w:rsidRPr="00A57A1D">
              <w:rPr>
                <w:rFonts w:eastAsia="Times New Roman"/>
                <w:b/>
                <w:bCs/>
                <w:color w:val="000000"/>
                <w:sz w:val="18"/>
                <w:szCs w:val="18"/>
                <w:lang w:val="en-US"/>
              </w:rPr>
              <w:t>Refer to further stage</w:t>
            </w:r>
          </w:p>
        </w:tc>
        <w:tc>
          <w:tcPr>
            <w:tcW w:w="394" w:type="pct"/>
            <w:vMerge w:val="restart"/>
            <w:tcBorders>
              <w:top w:val="single" w:sz="4" w:space="0" w:color="auto"/>
              <w:left w:val="single" w:sz="4" w:space="0" w:color="auto"/>
              <w:bottom w:val="single" w:sz="4" w:space="0" w:color="auto"/>
              <w:right w:val="single" w:sz="4" w:space="0" w:color="auto"/>
            </w:tcBorders>
            <w:shd w:val="clear" w:color="DDEBF7" w:fill="DDEBF7"/>
            <w:vAlign w:val="bottom"/>
            <w:hideMark/>
          </w:tcPr>
          <w:p w:rsidR="00974489" w:rsidRPr="00A57A1D" w:rsidRDefault="00974489" w:rsidP="00A57A1D">
            <w:pPr>
              <w:spacing w:after="0"/>
              <w:jc w:val="center"/>
              <w:rPr>
                <w:rFonts w:eastAsia="Times New Roman"/>
                <w:b/>
                <w:bCs/>
                <w:color w:val="000000"/>
                <w:sz w:val="18"/>
                <w:szCs w:val="18"/>
                <w:lang w:val="en-US"/>
              </w:rPr>
            </w:pPr>
            <w:r w:rsidRPr="00A57A1D">
              <w:rPr>
                <w:rFonts w:eastAsia="Times New Roman"/>
                <w:b/>
                <w:bCs/>
                <w:color w:val="000000"/>
                <w:sz w:val="18"/>
                <w:szCs w:val="18"/>
                <w:lang w:val="en-US"/>
              </w:rPr>
              <w:t>Total referred to further stage</w:t>
            </w:r>
          </w:p>
        </w:tc>
        <w:tc>
          <w:tcPr>
            <w:tcW w:w="431" w:type="pct"/>
            <w:vMerge w:val="restart"/>
            <w:tcBorders>
              <w:top w:val="single" w:sz="4" w:space="0" w:color="auto"/>
              <w:left w:val="single" w:sz="4" w:space="0" w:color="auto"/>
              <w:bottom w:val="single" w:sz="4" w:space="0" w:color="auto"/>
              <w:right w:val="single" w:sz="4" w:space="0" w:color="auto"/>
            </w:tcBorders>
            <w:shd w:val="clear" w:color="DDEBF7" w:fill="DDEBF7"/>
            <w:vAlign w:val="bottom"/>
            <w:hideMark/>
          </w:tcPr>
          <w:p w:rsidR="00974489" w:rsidRPr="00A57A1D" w:rsidRDefault="00974489" w:rsidP="00A57A1D">
            <w:pPr>
              <w:spacing w:after="0"/>
              <w:jc w:val="center"/>
              <w:rPr>
                <w:rFonts w:eastAsia="Times New Roman"/>
                <w:b/>
                <w:bCs/>
                <w:color w:val="000000"/>
                <w:sz w:val="18"/>
                <w:szCs w:val="18"/>
                <w:lang w:val="en-US"/>
              </w:rPr>
            </w:pPr>
            <w:r w:rsidRPr="00A57A1D">
              <w:rPr>
                <w:rFonts w:eastAsia="Times New Roman"/>
                <w:b/>
                <w:bCs/>
                <w:color w:val="000000"/>
                <w:sz w:val="18"/>
                <w:szCs w:val="18"/>
                <w:lang w:val="en-US"/>
              </w:rPr>
              <w:t>Total assessments finalised 2014/15</w:t>
            </w:r>
          </w:p>
        </w:tc>
      </w:tr>
      <w:tr w:rsidR="00974489" w:rsidRPr="00A57A1D" w:rsidTr="00A57A1D">
        <w:trPr>
          <w:trHeight w:val="340"/>
          <w:tblHeader/>
        </w:trPr>
        <w:tc>
          <w:tcPr>
            <w:tcW w:w="1345" w:type="pct"/>
            <w:tcBorders>
              <w:top w:val="nil"/>
              <w:left w:val="single" w:sz="4" w:space="0" w:color="auto"/>
              <w:bottom w:val="single" w:sz="4" w:space="0" w:color="auto"/>
              <w:right w:val="single" w:sz="4" w:space="0" w:color="auto"/>
            </w:tcBorders>
            <w:shd w:val="clear" w:color="DDEBF7" w:fill="DDEBF7"/>
            <w:vAlign w:val="bottom"/>
            <w:hideMark/>
          </w:tcPr>
          <w:p w:rsidR="00974489" w:rsidRPr="00A57A1D" w:rsidRDefault="00974489" w:rsidP="00A57A1D">
            <w:pPr>
              <w:spacing w:after="0"/>
              <w:rPr>
                <w:rFonts w:eastAsia="Times New Roman"/>
                <w:b/>
                <w:bCs/>
                <w:color w:val="000000"/>
                <w:sz w:val="18"/>
                <w:szCs w:val="18"/>
                <w:lang w:val="en-US"/>
              </w:rPr>
            </w:pPr>
            <w:r w:rsidRPr="00A57A1D">
              <w:rPr>
                <w:rFonts w:eastAsia="Times New Roman"/>
                <w:b/>
                <w:bCs/>
                <w:color w:val="000000"/>
                <w:sz w:val="18"/>
                <w:szCs w:val="18"/>
                <w:lang w:val="en-US"/>
              </w:rPr>
              <w:t>Grounds for notification</w:t>
            </w:r>
          </w:p>
        </w:tc>
        <w:tc>
          <w:tcPr>
            <w:tcW w:w="397" w:type="pct"/>
            <w:tcBorders>
              <w:top w:val="nil"/>
              <w:left w:val="nil"/>
              <w:bottom w:val="single" w:sz="4" w:space="0" w:color="auto"/>
              <w:right w:val="single" w:sz="4" w:space="0" w:color="auto"/>
            </w:tcBorders>
            <w:shd w:val="clear" w:color="DDEBF7" w:fill="DDEBF7"/>
            <w:vAlign w:val="bottom"/>
            <w:hideMark/>
          </w:tcPr>
          <w:p w:rsidR="00974489" w:rsidRPr="00A57A1D" w:rsidRDefault="00974489" w:rsidP="00A57A1D">
            <w:pPr>
              <w:spacing w:after="0"/>
              <w:jc w:val="center"/>
              <w:rPr>
                <w:rFonts w:eastAsia="Times New Roman"/>
                <w:b/>
                <w:bCs/>
                <w:color w:val="000000"/>
                <w:sz w:val="18"/>
                <w:szCs w:val="18"/>
                <w:lang w:val="en-US"/>
              </w:rPr>
            </w:pPr>
            <w:r w:rsidRPr="00A57A1D">
              <w:rPr>
                <w:rFonts w:eastAsia="Times New Roman"/>
                <w:b/>
                <w:bCs/>
                <w:color w:val="000000"/>
                <w:sz w:val="18"/>
                <w:szCs w:val="18"/>
                <w:lang w:val="en-US"/>
              </w:rPr>
              <w:t>No further action</w:t>
            </w:r>
          </w:p>
        </w:tc>
        <w:tc>
          <w:tcPr>
            <w:tcW w:w="397" w:type="pct"/>
            <w:tcBorders>
              <w:top w:val="nil"/>
              <w:left w:val="nil"/>
              <w:bottom w:val="single" w:sz="4" w:space="0" w:color="auto"/>
              <w:right w:val="single" w:sz="4" w:space="0" w:color="auto"/>
            </w:tcBorders>
            <w:shd w:val="clear" w:color="DDEBF7" w:fill="DDEBF7"/>
            <w:vAlign w:val="bottom"/>
            <w:hideMark/>
          </w:tcPr>
          <w:p w:rsidR="00974489" w:rsidRPr="00A57A1D" w:rsidRDefault="00974489" w:rsidP="00A57A1D">
            <w:pPr>
              <w:spacing w:after="0"/>
              <w:jc w:val="center"/>
              <w:rPr>
                <w:rFonts w:eastAsia="Times New Roman"/>
                <w:b/>
                <w:bCs/>
                <w:color w:val="000000"/>
                <w:sz w:val="18"/>
                <w:szCs w:val="18"/>
                <w:lang w:val="en-US"/>
              </w:rPr>
            </w:pPr>
            <w:r w:rsidRPr="00A57A1D">
              <w:rPr>
                <w:rFonts w:eastAsia="Times New Roman"/>
                <w:b/>
                <w:bCs/>
                <w:color w:val="000000"/>
                <w:sz w:val="18"/>
                <w:szCs w:val="18"/>
                <w:lang w:val="en-US"/>
              </w:rPr>
              <w:t>Caution</w:t>
            </w:r>
          </w:p>
        </w:tc>
        <w:tc>
          <w:tcPr>
            <w:tcW w:w="399" w:type="pct"/>
            <w:tcBorders>
              <w:top w:val="nil"/>
              <w:left w:val="nil"/>
              <w:bottom w:val="single" w:sz="4" w:space="0" w:color="auto"/>
              <w:right w:val="single" w:sz="4" w:space="0" w:color="auto"/>
            </w:tcBorders>
            <w:shd w:val="clear" w:color="DDEBF7" w:fill="DDEBF7"/>
            <w:vAlign w:val="bottom"/>
            <w:hideMark/>
          </w:tcPr>
          <w:p w:rsidR="00974489" w:rsidRPr="00A57A1D" w:rsidRDefault="00974489" w:rsidP="00A57A1D">
            <w:pPr>
              <w:spacing w:after="0"/>
              <w:jc w:val="center"/>
              <w:rPr>
                <w:rFonts w:eastAsia="Times New Roman"/>
                <w:b/>
                <w:bCs/>
                <w:color w:val="000000"/>
                <w:sz w:val="18"/>
                <w:szCs w:val="18"/>
                <w:lang w:val="en-US"/>
              </w:rPr>
            </w:pPr>
            <w:r w:rsidRPr="00A57A1D">
              <w:rPr>
                <w:rFonts w:eastAsia="Times New Roman"/>
                <w:b/>
                <w:bCs/>
                <w:color w:val="000000"/>
                <w:sz w:val="18"/>
                <w:szCs w:val="18"/>
                <w:lang w:val="en-US"/>
              </w:rPr>
              <w:t>Accept undertaking</w:t>
            </w:r>
          </w:p>
        </w:tc>
        <w:tc>
          <w:tcPr>
            <w:tcW w:w="394" w:type="pct"/>
            <w:tcBorders>
              <w:top w:val="nil"/>
              <w:left w:val="nil"/>
              <w:bottom w:val="single" w:sz="4" w:space="0" w:color="auto"/>
              <w:right w:val="single" w:sz="4" w:space="0" w:color="auto"/>
            </w:tcBorders>
            <w:shd w:val="clear" w:color="DDEBF7" w:fill="DDEBF7"/>
            <w:vAlign w:val="bottom"/>
            <w:hideMark/>
          </w:tcPr>
          <w:p w:rsidR="00974489" w:rsidRPr="00A57A1D" w:rsidRDefault="00974489" w:rsidP="00A57A1D">
            <w:pPr>
              <w:spacing w:after="0"/>
              <w:jc w:val="center"/>
              <w:rPr>
                <w:rFonts w:eastAsia="Times New Roman"/>
                <w:b/>
                <w:bCs/>
                <w:color w:val="000000"/>
                <w:sz w:val="18"/>
                <w:szCs w:val="18"/>
                <w:lang w:val="en-US"/>
              </w:rPr>
            </w:pPr>
            <w:r w:rsidRPr="00A57A1D">
              <w:rPr>
                <w:rFonts w:eastAsia="Times New Roman"/>
                <w:b/>
                <w:bCs/>
                <w:color w:val="000000"/>
                <w:sz w:val="18"/>
                <w:szCs w:val="18"/>
                <w:lang w:val="en-US"/>
              </w:rPr>
              <w:t>Impose conditions</w:t>
            </w:r>
          </w:p>
        </w:tc>
        <w:tc>
          <w:tcPr>
            <w:tcW w:w="400" w:type="pct"/>
            <w:vMerge/>
            <w:tcBorders>
              <w:top w:val="single" w:sz="4" w:space="0" w:color="auto"/>
              <w:left w:val="single" w:sz="4" w:space="0" w:color="auto"/>
              <w:bottom w:val="single" w:sz="4" w:space="0" w:color="auto"/>
              <w:right w:val="single" w:sz="4" w:space="0" w:color="auto"/>
            </w:tcBorders>
            <w:vAlign w:val="center"/>
            <w:hideMark/>
          </w:tcPr>
          <w:p w:rsidR="00974489" w:rsidRPr="00A57A1D" w:rsidRDefault="00974489" w:rsidP="00A57A1D">
            <w:pPr>
              <w:spacing w:after="0"/>
              <w:rPr>
                <w:rFonts w:eastAsia="Times New Roman"/>
                <w:b/>
                <w:bCs/>
                <w:color w:val="000000"/>
                <w:sz w:val="18"/>
                <w:szCs w:val="18"/>
                <w:lang w:val="en-US"/>
              </w:rPr>
            </w:pPr>
          </w:p>
        </w:tc>
        <w:tc>
          <w:tcPr>
            <w:tcW w:w="424" w:type="pct"/>
            <w:tcBorders>
              <w:top w:val="nil"/>
              <w:left w:val="nil"/>
              <w:bottom w:val="single" w:sz="4" w:space="0" w:color="auto"/>
              <w:right w:val="single" w:sz="4" w:space="0" w:color="auto"/>
            </w:tcBorders>
            <w:shd w:val="clear" w:color="DDEBF7" w:fill="DDEBF7"/>
            <w:vAlign w:val="bottom"/>
            <w:hideMark/>
          </w:tcPr>
          <w:p w:rsidR="00974489" w:rsidRPr="00A57A1D" w:rsidRDefault="00974489" w:rsidP="00A57A1D">
            <w:pPr>
              <w:spacing w:after="0"/>
              <w:jc w:val="center"/>
              <w:rPr>
                <w:rFonts w:eastAsia="Times New Roman"/>
                <w:b/>
                <w:bCs/>
                <w:color w:val="000000"/>
                <w:sz w:val="18"/>
                <w:szCs w:val="18"/>
                <w:lang w:val="en-US"/>
              </w:rPr>
            </w:pPr>
            <w:r w:rsidRPr="00A57A1D">
              <w:rPr>
                <w:rFonts w:eastAsia="Times New Roman"/>
                <w:b/>
                <w:bCs/>
                <w:color w:val="000000"/>
                <w:sz w:val="18"/>
                <w:szCs w:val="18"/>
                <w:lang w:val="en-US"/>
              </w:rPr>
              <w:t>Investigation</w:t>
            </w:r>
          </w:p>
        </w:tc>
        <w:tc>
          <w:tcPr>
            <w:tcW w:w="419" w:type="pct"/>
            <w:tcBorders>
              <w:top w:val="nil"/>
              <w:left w:val="nil"/>
              <w:bottom w:val="single" w:sz="4" w:space="0" w:color="auto"/>
              <w:right w:val="single" w:sz="4" w:space="0" w:color="auto"/>
            </w:tcBorders>
            <w:shd w:val="clear" w:color="DDEBF7" w:fill="DDEBF7"/>
            <w:vAlign w:val="bottom"/>
            <w:hideMark/>
          </w:tcPr>
          <w:p w:rsidR="00974489" w:rsidRPr="00A57A1D" w:rsidRDefault="00974489" w:rsidP="00A57A1D">
            <w:pPr>
              <w:spacing w:after="0"/>
              <w:jc w:val="center"/>
              <w:rPr>
                <w:rFonts w:eastAsia="Times New Roman"/>
                <w:b/>
                <w:bCs/>
                <w:color w:val="000000"/>
                <w:sz w:val="18"/>
                <w:szCs w:val="18"/>
                <w:lang w:val="en-US"/>
              </w:rPr>
            </w:pPr>
            <w:r w:rsidRPr="00A57A1D">
              <w:rPr>
                <w:rFonts w:eastAsia="Times New Roman"/>
                <w:b/>
                <w:bCs/>
                <w:color w:val="000000"/>
                <w:sz w:val="18"/>
                <w:szCs w:val="18"/>
                <w:lang w:val="en-US"/>
              </w:rPr>
              <w:t>Health or performance assessment</w:t>
            </w:r>
          </w:p>
        </w:tc>
        <w:tc>
          <w:tcPr>
            <w:tcW w:w="394" w:type="pct"/>
            <w:vMerge/>
            <w:tcBorders>
              <w:top w:val="single" w:sz="4" w:space="0" w:color="auto"/>
              <w:left w:val="single" w:sz="4" w:space="0" w:color="auto"/>
              <w:bottom w:val="single" w:sz="4" w:space="0" w:color="auto"/>
              <w:right w:val="single" w:sz="4" w:space="0" w:color="auto"/>
            </w:tcBorders>
            <w:vAlign w:val="center"/>
            <w:hideMark/>
          </w:tcPr>
          <w:p w:rsidR="00974489" w:rsidRPr="00A57A1D" w:rsidRDefault="00974489" w:rsidP="00A57A1D">
            <w:pPr>
              <w:spacing w:after="0"/>
              <w:rPr>
                <w:rFonts w:eastAsia="Times New Roman"/>
                <w:b/>
                <w:bCs/>
                <w:color w:val="000000"/>
                <w:sz w:val="18"/>
                <w:szCs w:val="18"/>
                <w:lang w:val="en-US"/>
              </w:rPr>
            </w:pPr>
          </w:p>
        </w:tc>
        <w:tc>
          <w:tcPr>
            <w:tcW w:w="431" w:type="pct"/>
            <w:vMerge/>
            <w:tcBorders>
              <w:top w:val="single" w:sz="4" w:space="0" w:color="auto"/>
              <w:left w:val="single" w:sz="4" w:space="0" w:color="auto"/>
              <w:bottom w:val="single" w:sz="4" w:space="0" w:color="auto"/>
              <w:right w:val="single" w:sz="4" w:space="0" w:color="auto"/>
            </w:tcBorders>
            <w:vAlign w:val="center"/>
            <w:hideMark/>
          </w:tcPr>
          <w:p w:rsidR="00974489" w:rsidRPr="00A57A1D" w:rsidRDefault="00974489" w:rsidP="00A57A1D">
            <w:pPr>
              <w:spacing w:after="0"/>
              <w:rPr>
                <w:rFonts w:eastAsia="Times New Roman"/>
                <w:b/>
                <w:bCs/>
                <w:color w:val="000000"/>
                <w:sz w:val="18"/>
                <w:szCs w:val="18"/>
                <w:lang w:val="en-US"/>
              </w:rPr>
            </w:pPr>
          </w:p>
        </w:tc>
      </w:tr>
      <w:tr w:rsidR="00974489" w:rsidRPr="00A57A1D" w:rsidTr="00A57A1D">
        <w:trPr>
          <w:cantSplit/>
          <w:trHeight w:val="340"/>
        </w:trPr>
        <w:tc>
          <w:tcPr>
            <w:tcW w:w="1345" w:type="pct"/>
            <w:tcBorders>
              <w:top w:val="nil"/>
              <w:left w:val="single" w:sz="4" w:space="0" w:color="auto"/>
              <w:bottom w:val="single" w:sz="4" w:space="0" w:color="auto"/>
              <w:right w:val="single" w:sz="4" w:space="0" w:color="auto"/>
            </w:tcBorders>
            <w:shd w:val="clear" w:color="auto" w:fill="auto"/>
            <w:noWrap/>
            <w:vAlign w:val="bottom"/>
            <w:hideMark/>
          </w:tcPr>
          <w:p w:rsidR="00974489" w:rsidRPr="00A57A1D" w:rsidRDefault="00974489" w:rsidP="00A57A1D">
            <w:pPr>
              <w:spacing w:after="0"/>
              <w:rPr>
                <w:rFonts w:eastAsia="Times New Roman"/>
                <w:color w:val="000000"/>
                <w:sz w:val="18"/>
                <w:szCs w:val="18"/>
                <w:lang w:val="en-US"/>
              </w:rPr>
            </w:pPr>
            <w:r w:rsidRPr="00A57A1D">
              <w:rPr>
                <w:rFonts w:eastAsia="Times New Roman"/>
                <w:color w:val="000000"/>
                <w:sz w:val="18"/>
                <w:szCs w:val="18"/>
                <w:lang w:val="en-US"/>
              </w:rPr>
              <w:t>Standards</w:t>
            </w:r>
          </w:p>
        </w:tc>
        <w:tc>
          <w:tcPr>
            <w:tcW w:w="397" w:type="pct"/>
            <w:tcBorders>
              <w:top w:val="nil"/>
              <w:left w:val="nil"/>
              <w:bottom w:val="single" w:sz="4" w:space="0" w:color="auto"/>
              <w:right w:val="single" w:sz="4" w:space="0" w:color="auto"/>
            </w:tcBorders>
            <w:shd w:val="clear" w:color="auto" w:fill="auto"/>
            <w:noWrap/>
            <w:vAlign w:val="bottom"/>
            <w:hideMark/>
          </w:tcPr>
          <w:p w:rsidR="00974489" w:rsidRPr="00A57A1D" w:rsidRDefault="00974489" w:rsidP="00A57A1D">
            <w:pPr>
              <w:spacing w:after="0"/>
              <w:jc w:val="center"/>
              <w:rPr>
                <w:rFonts w:eastAsia="Times New Roman"/>
                <w:color w:val="000000"/>
                <w:sz w:val="18"/>
                <w:szCs w:val="18"/>
                <w:lang w:val="en-US"/>
              </w:rPr>
            </w:pPr>
            <w:r w:rsidRPr="00A57A1D">
              <w:rPr>
                <w:rFonts w:eastAsia="Times New Roman"/>
                <w:color w:val="000000"/>
                <w:sz w:val="18"/>
                <w:szCs w:val="18"/>
                <w:lang w:val="en-US"/>
              </w:rPr>
              <w:t>7</w:t>
            </w:r>
          </w:p>
        </w:tc>
        <w:tc>
          <w:tcPr>
            <w:tcW w:w="397" w:type="pct"/>
            <w:tcBorders>
              <w:top w:val="nil"/>
              <w:left w:val="nil"/>
              <w:bottom w:val="single" w:sz="4" w:space="0" w:color="auto"/>
              <w:right w:val="single" w:sz="4" w:space="0" w:color="auto"/>
            </w:tcBorders>
            <w:shd w:val="clear" w:color="auto" w:fill="auto"/>
            <w:noWrap/>
            <w:vAlign w:val="bottom"/>
            <w:hideMark/>
          </w:tcPr>
          <w:p w:rsidR="00974489" w:rsidRPr="00A57A1D" w:rsidRDefault="00974489" w:rsidP="00A57A1D">
            <w:pPr>
              <w:spacing w:after="0"/>
              <w:jc w:val="center"/>
              <w:rPr>
                <w:rFonts w:eastAsia="Times New Roman"/>
                <w:color w:val="000000"/>
                <w:sz w:val="18"/>
                <w:szCs w:val="18"/>
                <w:lang w:val="en-US"/>
              </w:rPr>
            </w:pPr>
            <w:r w:rsidRPr="00A57A1D">
              <w:rPr>
                <w:rFonts w:eastAsia="Times New Roman"/>
                <w:color w:val="000000"/>
                <w:sz w:val="18"/>
                <w:szCs w:val="18"/>
                <w:lang w:val="en-US"/>
              </w:rPr>
              <w:t>3</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489" w:rsidRPr="00A57A1D" w:rsidRDefault="00974489" w:rsidP="00A57A1D">
            <w:pPr>
              <w:spacing w:after="0"/>
              <w:jc w:val="center"/>
              <w:rPr>
                <w:rFonts w:eastAsia="Times New Roman"/>
                <w:color w:val="FFFFFF"/>
                <w:sz w:val="18"/>
                <w:szCs w:val="18"/>
                <w:lang w:val="en-US"/>
              </w:rPr>
            </w:pPr>
            <w:r w:rsidRPr="00A57A1D">
              <w:rPr>
                <w:rFonts w:eastAsia="Times New Roman"/>
                <w:color w:val="FFFFFF"/>
                <w:sz w:val="18"/>
                <w:szCs w:val="18"/>
                <w:lang w:val="en-US"/>
              </w:rPr>
              <w:t>0</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489" w:rsidRPr="00A57A1D" w:rsidRDefault="00974489" w:rsidP="00A57A1D">
            <w:pPr>
              <w:spacing w:after="0"/>
              <w:jc w:val="center"/>
              <w:rPr>
                <w:rFonts w:eastAsia="Times New Roman"/>
                <w:color w:val="FFFFFF"/>
                <w:sz w:val="18"/>
                <w:szCs w:val="18"/>
                <w:lang w:val="en-US"/>
              </w:rPr>
            </w:pPr>
            <w:r w:rsidRPr="00A57A1D">
              <w:rPr>
                <w:rFonts w:eastAsia="Times New Roman"/>
                <w:color w:val="FFFFFF"/>
                <w:sz w:val="18"/>
                <w:szCs w:val="18"/>
                <w:lang w:val="en-US"/>
              </w:rPr>
              <w:t>0</w:t>
            </w:r>
          </w:p>
        </w:tc>
        <w:tc>
          <w:tcPr>
            <w:tcW w:w="400" w:type="pct"/>
            <w:tcBorders>
              <w:top w:val="nil"/>
              <w:left w:val="nil"/>
              <w:bottom w:val="single" w:sz="4" w:space="0" w:color="auto"/>
              <w:right w:val="single" w:sz="4" w:space="0" w:color="auto"/>
            </w:tcBorders>
            <w:shd w:val="clear" w:color="auto" w:fill="auto"/>
            <w:noWrap/>
            <w:vAlign w:val="bottom"/>
            <w:hideMark/>
          </w:tcPr>
          <w:p w:rsidR="00974489" w:rsidRPr="00A57A1D" w:rsidRDefault="00974489" w:rsidP="00A57A1D">
            <w:pPr>
              <w:spacing w:after="0"/>
              <w:jc w:val="center"/>
              <w:rPr>
                <w:rFonts w:eastAsia="Times New Roman"/>
                <w:b/>
                <w:bCs/>
                <w:color w:val="000000"/>
                <w:sz w:val="18"/>
                <w:szCs w:val="18"/>
                <w:lang w:val="en-US"/>
              </w:rPr>
            </w:pPr>
            <w:r w:rsidRPr="00A57A1D">
              <w:rPr>
                <w:rFonts w:eastAsia="Times New Roman"/>
                <w:b/>
                <w:bCs/>
                <w:color w:val="000000"/>
                <w:sz w:val="18"/>
                <w:szCs w:val="18"/>
                <w:lang w:val="en-US"/>
              </w:rPr>
              <w:t>10</w:t>
            </w:r>
          </w:p>
        </w:tc>
        <w:tc>
          <w:tcPr>
            <w:tcW w:w="424" w:type="pct"/>
            <w:tcBorders>
              <w:top w:val="nil"/>
              <w:left w:val="nil"/>
              <w:bottom w:val="single" w:sz="4" w:space="0" w:color="auto"/>
              <w:right w:val="single" w:sz="4" w:space="0" w:color="auto"/>
            </w:tcBorders>
            <w:shd w:val="clear" w:color="auto" w:fill="auto"/>
            <w:noWrap/>
            <w:vAlign w:val="bottom"/>
            <w:hideMark/>
          </w:tcPr>
          <w:p w:rsidR="00974489" w:rsidRPr="00A57A1D" w:rsidRDefault="00974489" w:rsidP="00A57A1D">
            <w:pPr>
              <w:spacing w:after="0"/>
              <w:jc w:val="center"/>
              <w:rPr>
                <w:rFonts w:eastAsia="Times New Roman"/>
                <w:color w:val="000000"/>
                <w:sz w:val="18"/>
                <w:szCs w:val="18"/>
                <w:lang w:val="en-US"/>
              </w:rPr>
            </w:pPr>
            <w:r w:rsidRPr="00A57A1D">
              <w:rPr>
                <w:rFonts w:eastAsia="Times New Roman"/>
                <w:color w:val="000000"/>
                <w:sz w:val="18"/>
                <w:szCs w:val="18"/>
                <w:lang w:val="en-US"/>
              </w:rPr>
              <w:t>10</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489" w:rsidRPr="00A57A1D" w:rsidRDefault="00974489" w:rsidP="00A57A1D">
            <w:pPr>
              <w:spacing w:after="0"/>
              <w:jc w:val="center"/>
              <w:rPr>
                <w:rFonts w:eastAsia="Times New Roman"/>
                <w:color w:val="FFFFFF"/>
                <w:sz w:val="18"/>
                <w:szCs w:val="18"/>
                <w:lang w:val="en-US"/>
              </w:rPr>
            </w:pPr>
            <w:r w:rsidRPr="00A57A1D">
              <w:rPr>
                <w:rFonts w:eastAsia="Times New Roman"/>
                <w:color w:val="FFFFFF"/>
                <w:sz w:val="18"/>
                <w:szCs w:val="18"/>
                <w:lang w:val="en-US"/>
              </w:rPr>
              <w:t>0</w:t>
            </w:r>
          </w:p>
        </w:tc>
        <w:tc>
          <w:tcPr>
            <w:tcW w:w="394" w:type="pct"/>
            <w:tcBorders>
              <w:top w:val="nil"/>
              <w:left w:val="nil"/>
              <w:bottom w:val="single" w:sz="4" w:space="0" w:color="auto"/>
              <w:right w:val="single" w:sz="4" w:space="0" w:color="auto"/>
            </w:tcBorders>
            <w:shd w:val="clear" w:color="auto" w:fill="auto"/>
            <w:noWrap/>
            <w:vAlign w:val="bottom"/>
            <w:hideMark/>
          </w:tcPr>
          <w:p w:rsidR="00974489" w:rsidRPr="00A57A1D" w:rsidRDefault="00974489" w:rsidP="00A57A1D">
            <w:pPr>
              <w:spacing w:after="0"/>
              <w:jc w:val="center"/>
              <w:rPr>
                <w:rFonts w:eastAsia="Times New Roman"/>
                <w:b/>
                <w:bCs/>
                <w:color w:val="000000"/>
                <w:sz w:val="18"/>
                <w:szCs w:val="18"/>
                <w:lang w:val="en-US"/>
              </w:rPr>
            </w:pPr>
            <w:r w:rsidRPr="00A57A1D">
              <w:rPr>
                <w:rFonts w:eastAsia="Times New Roman"/>
                <w:b/>
                <w:bCs/>
                <w:color w:val="000000"/>
                <w:sz w:val="18"/>
                <w:szCs w:val="18"/>
                <w:lang w:val="en-US"/>
              </w:rPr>
              <w:t>10</w:t>
            </w:r>
          </w:p>
        </w:tc>
        <w:tc>
          <w:tcPr>
            <w:tcW w:w="431" w:type="pct"/>
            <w:tcBorders>
              <w:top w:val="nil"/>
              <w:left w:val="nil"/>
              <w:bottom w:val="single" w:sz="4" w:space="0" w:color="auto"/>
              <w:right w:val="single" w:sz="4" w:space="0" w:color="auto"/>
            </w:tcBorders>
            <w:shd w:val="clear" w:color="auto" w:fill="auto"/>
            <w:noWrap/>
            <w:vAlign w:val="bottom"/>
            <w:hideMark/>
          </w:tcPr>
          <w:p w:rsidR="00974489" w:rsidRPr="00A57A1D" w:rsidRDefault="00974489" w:rsidP="00A57A1D">
            <w:pPr>
              <w:spacing w:after="0"/>
              <w:jc w:val="center"/>
              <w:rPr>
                <w:rFonts w:eastAsia="Times New Roman"/>
                <w:b/>
                <w:bCs/>
                <w:color w:val="000000"/>
                <w:sz w:val="18"/>
                <w:szCs w:val="18"/>
                <w:lang w:val="en-US"/>
              </w:rPr>
            </w:pPr>
            <w:r w:rsidRPr="00A57A1D">
              <w:rPr>
                <w:rFonts w:eastAsia="Times New Roman"/>
                <w:b/>
                <w:bCs/>
                <w:color w:val="000000"/>
                <w:sz w:val="18"/>
                <w:szCs w:val="18"/>
                <w:lang w:val="en-US"/>
              </w:rPr>
              <w:t>20</w:t>
            </w:r>
          </w:p>
        </w:tc>
      </w:tr>
      <w:tr w:rsidR="00974489" w:rsidRPr="00A57A1D" w:rsidTr="00A57A1D">
        <w:trPr>
          <w:cantSplit/>
          <w:trHeight w:val="340"/>
        </w:trPr>
        <w:tc>
          <w:tcPr>
            <w:tcW w:w="1345" w:type="pct"/>
            <w:tcBorders>
              <w:top w:val="nil"/>
              <w:left w:val="single" w:sz="4" w:space="0" w:color="auto"/>
              <w:bottom w:val="single" w:sz="4" w:space="0" w:color="auto"/>
              <w:right w:val="single" w:sz="4" w:space="0" w:color="auto"/>
            </w:tcBorders>
            <w:shd w:val="clear" w:color="auto" w:fill="auto"/>
            <w:noWrap/>
            <w:vAlign w:val="bottom"/>
            <w:hideMark/>
          </w:tcPr>
          <w:p w:rsidR="00974489" w:rsidRPr="00A57A1D" w:rsidRDefault="00974489" w:rsidP="00A57A1D">
            <w:pPr>
              <w:spacing w:after="0"/>
              <w:rPr>
                <w:rFonts w:eastAsia="Times New Roman"/>
                <w:color w:val="000000"/>
                <w:sz w:val="18"/>
                <w:szCs w:val="18"/>
                <w:lang w:val="en-US"/>
              </w:rPr>
            </w:pPr>
            <w:r w:rsidRPr="00A57A1D">
              <w:rPr>
                <w:rFonts w:eastAsia="Times New Roman"/>
                <w:color w:val="000000"/>
                <w:sz w:val="18"/>
                <w:szCs w:val="18"/>
                <w:lang w:val="en-US"/>
              </w:rPr>
              <w:t>Impairment</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489" w:rsidRPr="00A57A1D" w:rsidRDefault="00974489" w:rsidP="00A57A1D">
            <w:pPr>
              <w:spacing w:after="0"/>
              <w:jc w:val="center"/>
              <w:rPr>
                <w:rFonts w:eastAsia="Times New Roman"/>
                <w:color w:val="FFFFFF"/>
                <w:sz w:val="18"/>
                <w:szCs w:val="18"/>
                <w:lang w:val="en-US"/>
              </w:rPr>
            </w:pPr>
            <w:r w:rsidRPr="00A57A1D">
              <w:rPr>
                <w:rFonts w:eastAsia="Times New Roman"/>
                <w:color w:val="FFFFFF"/>
                <w:sz w:val="18"/>
                <w:szCs w:val="18"/>
                <w:lang w:val="en-US"/>
              </w:rPr>
              <w:t>0</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489" w:rsidRPr="00A57A1D" w:rsidRDefault="00974489" w:rsidP="00A57A1D">
            <w:pPr>
              <w:spacing w:after="0"/>
              <w:jc w:val="center"/>
              <w:rPr>
                <w:rFonts w:eastAsia="Times New Roman"/>
                <w:color w:val="FFFFFF"/>
                <w:sz w:val="18"/>
                <w:szCs w:val="18"/>
                <w:lang w:val="en-US"/>
              </w:rPr>
            </w:pPr>
            <w:r w:rsidRPr="00A57A1D">
              <w:rPr>
                <w:rFonts w:eastAsia="Times New Roman"/>
                <w:color w:val="FFFFFF"/>
                <w:sz w:val="18"/>
                <w:szCs w:val="18"/>
                <w:lang w:val="en-US"/>
              </w:rPr>
              <w:t>0</w:t>
            </w:r>
          </w:p>
        </w:tc>
        <w:tc>
          <w:tcPr>
            <w:tcW w:w="399" w:type="pct"/>
            <w:tcBorders>
              <w:top w:val="nil"/>
              <w:left w:val="nil"/>
              <w:bottom w:val="single" w:sz="4" w:space="0" w:color="auto"/>
              <w:right w:val="single" w:sz="4" w:space="0" w:color="auto"/>
            </w:tcBorders>
            <w:shd w:val="clear" w:color="auto" w:fill="auto"/>
            <w:noWrap/>
            <w:vAlign w:val="bottom"/>
            <w:hideMark/>
          </w:tcPr>
          <w:p w:rsidR="00974489" w:rsidRPr="00A57A1D" w:rsidRDefault="00974489" w:rsidP="00A57A1D">
            <w:pPr>
              <w:spacing w:after="0"/>
              <w:jc w:val="center"/>
              <w:rPr>
                <w:rFonts w:eastAsia="Times New Roman"/>
                <w:color w:val="000000"/>
                <w:sz w:val="18"/>
                <w:szCs w:val="18"/>
                <w:lang w:val="en-US"/>
              </w:rPr>
            </w:pPr>
            <w:r w:rsidRPr="00A57A1D">
              <w:rPr>
                <w:rFonts w:eastAsia="Times New Roman"/>
                <w:color w:val="000000"/>
                <w:sz w:val="18"/>
                <w:szCs w:val="18"/>
                <w:lang w:val="en-US"/>
              </w:rPr>
              <w:t>1</w:t>
            </w:r>
          </w:p>
        </w:tc>
        <w:tc>
          <w:tcPr>
            <w:tcW w:w="394" w:type="pct"/>
            <w:tcBorders>
              <w:top w:val="nil"/>
              <w:left w:val="nil"/>
              <w:bottom w:val="single" w:sz="4" w:space="0" w:color="auto"/>
              <w:right w:val="single" w:sz="4" w:space="0" w:color="auto"/>
            </w:tcBorders>
            <w:shd w:val="clear" w:color="auto" w:fill="auto"/>
            <w:noWrap/>
            <w:vAlign w:val="bottom"/>
            <w:hideMark/>
          </w:tcPr>
          <w:p w:rsidR="00974489" w:rsidRPr="00A57A1D" w:rsidRDefault="00974489" w:rsidP="00A57A1D">
            <w:pPr>
              <w:spacing w:after="0"/>
              <w:jc w:val="center"/>
              <w:rPr>
                <w:rFonts w:eastAsia="Times New Roman"/>
                <w:color w:val="000000"/>
                <w:sz w:val="18"/>
                <w:szCs w:val="18"/>
                <w:lang w:val="en-US"/>
              </w:rPr>
            </w:pPr>
            <w:r w:rsidRPr="00A57A1D">
              <w:rPr>
                <w:rFonts w:eastAsia="Times New Roman"/>
                <w:color w:val="000000"/>
                <w:sz w:val="18"/>
                <w:szCs w:val="18"/>
                <w:lang w:val="en-US"/>
              </w:rPr>
              <w:t>1</w:t>
            </w:r>
          </w:p>
        </w:tc>
        <w:tc>
          <w:tcPr>
            <w:tcW w:w="400" w:type="pct"/>
            <w:tcBorders>
              <w:top w:val="nil"/>
              <w:left w:val="nil"/>
              <w:bottom w:val="single" w:sz="4" w:space="0" w:color="auto"/>
              <w:right w:val="single" w:sz="4" w:space="0" w:color="auto"/>
            </w:tcBorders>
            <w:shd w:val="clear" w:color="auto" w:fill="auto"/>
            <w:noWrap/>
            <w:vAlign w:val="bottom"/>
            <w:hideMark/>
          </w:tcPr>
          <w:p w:rsidR="00974489" w:rsidRPr="00A57A1D" w:rsidRDefault="00974489" w:rsidP="00A57A1D">
            <w:pPr>
              <w:spacing w:after="0"/>
              <w:jc w:val="center"/>
              <w:rPr>
                <w:rFonts w:eastAsia="Times New Roman"/>
                <w:b/>
                <w:bCs/>
                <w:color w:val="000000"/>
                <w:sz w:val="18"/>
                <w:szCs w:val="18"/>
                <w:lang w:val="en-US"/>
              </w:rPr>
            </w:pPr>
            <w:r w:rsidRPr="00A57A1D">
              <w:rPr>
                <w:rFonts w:eastAsia="Times New Roman"/>
                <w:b/>
                <w:bCs/>
                <w:color w:val="000000"/>
                <w:sz w:val="18"/>
                <w:szCs w:val="18"/>
                <w:lang w:val="en-US"/>
              </w:rPr>
              <w:t>2</w:t>
            </w:r>
          </w:p>
        </w:tc>
        <w:tc>
          <w:tcPr>
            <w:tcW w:w="424" w:type="pct"/>
            <w:tcBorders>
              <w:top w:val="nil"/>
              <w:left w:val="nil"/>
              <w:bottom w:val="single" w:sz="4" w:space="0" w:color="auto"/>
              <w:right w:val="single" w:sz="4" w:space="0" w:color="auto"/>
            </w:tcBorders>
            <w:shd w:val="clear" w:color="auto" w:fill="auto"/>
            <w:noWrap/>
            <w:vAlign w:val="bottom"/>
            <w:hideMark/>
          </w:tcPr>
          <w:p w:rsidR="00974489" w:rsidRPr="00A57A1D" w:rsidRDefault="00974489" w:rsidP="00A57A1D">
            <w:pPr>
              <w:spacing w:after="0"/>
              <w:jc w:val="center"/>
              <w:rPr>
                <w:rFonts w:eastAsia="Times New Roman"/>
                <w:color w:val="000000"/>
                <w:sz w:val="18"/>
                <w:szCs w:val="18"/>
                <w:lang w:val="en-US"/>
              </w:rPr>
            </w:pPr>
            <w:r w:rsidRPr="00A57A1D">
              <w:rPr>
                <w:rFonts w:eastAsia="Times New Roman"/>
                <w:color w:val="000000"/>
                <w:sz w:val="18"/>
                <w:szCs w:val="18"/>
                <w:lang w:val="en-US"/>
              </w:rPr>
              <w:t>2</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489" w:rsidRPr="00A57A1D" w:rsidRDefault="00974489" w:rsidP="00A57A1D">
            <w:pPr>
              <w:spacing w:after="0"/>
              <w:jc w:val="center"/>
              <w:rPr>
                <w:rFonts w:eastAsia="Times New Roman"/>
                <w:color w:val="FFFFFF"/>
                <w:sz w:val="18"/>
                <w:szCs w:val="18"/>
                <w:lang w:val="en-US"/>
              </w:rPr>
            </w:pPr>
            <w:r w:rsidRPr="00A57A1D">
              <w:rPr>
                <w:rFonts w:eastAsia="Times New Roman"/>
                <w:color w:val="FFFFFF"/>
                <w:sz w:val="18"/>
                <w:szCs w:val="18"/>
                <w:lang w:val="en-US"/>
              </w:rPr>
              <w:t>0</w:t>
            </w:r>
          </w:p>
        </w:tc>
        <w:tc>
          <w:tcPr>
            <w:tcW w:w="394" w:type="pct"/>
            <w:tcBorders>
              <w:top w:val="nil"/>
              <w:left w:val="nil"/>
              <w:bottom w:val="single" w:sz="4" w:space="0" w:color="auto"/>
              <w:right w:val="single" w:sz="4" w:space="0" w:color="auto"/>
            </w:tcBorders>
            <w:shd w:val="clear" w:color="auto" w:fill="auto"/>
            <w:noWrap/>
            <w:vAlign w:val="bottom"/>
            <w:hideMark/>
          </w:tcPr>
          <w:p w:rsidR="00974489" w:rsidRPr="00A57A1D" w:rsidRDefault="00974489" w:rsidP="00A57A1D">
            <w:pPr>
              <w:spacing w:after="0"/>
              <w:jc w:val="center"/>
              <w:rPr>
                <w:rFonts w:eastAsia="Times New Roman"/>
                <w:b/>
                <w:bCs/>
                <w:color w:val="000000"/>
                <w:sz w:val="18"/>
                <w:szCs w:val="18"/>
                <w:lang w:val="en-US"/>
              </w:rPr>
            </w:pPr>
            <w:r w:rsidRPr="00A57A1D">
              <w:rPr>
                <w:rFonts w:eastAsia="Times New Roman"/>
                <w:b/>
                <w:bCs/>
                <w:color w:val="000000"/>
                <w:sz w:val="18"/>
                <w:szCs w:val="18"/>
                <w:lang w:val="en-US"/>
              </w:rPr>
              <w:t>2</w:t>
            </w:r>
          </w:p>
        </w:tc>
        <w:tc>
          <w:tcPr>
            <w:tcW w:w="431" w:type="pct"/>
            <w:tcBorders>
              <w:top w:val="nil"/>
              <w:left w:val="nil"/>
              <w:bottom w:val="single" w:sz="4" w:space="0" w:color="auto"/>
              <w:right w:val="single" w:sz="4" w:space="0" w:color="auto"/>
            </w:tcBorders>
            <w:shd w:val="clear" w:color="auto" w:fill="auto"/>
            <w:noWrap/>
            <w:vAlign w:val="bottom"/>
            <w:hideMark/>
          </w:tcPr>
          <w:p w:rsidR="00974489" w:rsidRPr="00A57A1D" w:rsidRDefault="00974489" w:rsidP="00A57A1D">
            <w:pPr>
              <w:spacing w:after="0"/>
              <w:jc w:val="center"/>
              <w:rPr>
                <w:rFonts w:eastAsia="Times New Roman"/>
                <w:b/>
                <w:bCs/>
                <w:color w:val="000000"/>
                <w:sz w:val="18"/>
                <w:szCs w:val="18"/>
                <w:lang w:val="en-US"/>
              </w:rPr>
            </w:pPr>
            <w:r w:rsidRPr="00A57A1D">
              <w:rPr>
                <w:rFonts w:eastAsia="Times New Roman"/>
                <w:b/>
                <w:bCs/>
                <w:color w:val="000000"/>
                <w:sz w:val="18"/>
                <w:szCs w:val="18"/>
                <w:lang w:val="en-US"/>
              </w:rPr>
              <w:t>4</w:t>
            </w:r>
          </w:p>
        </w:tc>
      </w:tr>
      <w:tr w:rsidR="00974489" w:rsidRPr="00A57A1D" w:rsidTr="00A57A1D">
        <w:trPr>
          <w:cantSplit/>
          <w:trHeight w:val="340"/>
        </w:trPr>
        <w:tc>
          <w:tcPr>
            <w:tcW w:w="1345" w:type="pct"/>
            <w:tcBorders>
              <w:top w:val="nil"/>
              <w:left w:val="single" w:sz="4" w:space="0" w:color="auto"/>
              <w:bottom w:val="single" w:sz="4" w:space="0" w:color="auto"/>
              <w:right w:val="single" w:sz="4" w:space="0" w:color="auto"/>
            </w:tcBorders>
            <w:shd w:val="clear" w:color="auto" w:fill="auto"/>
            <w:noWrap/>
            <w:vAlign w:val="bottom"/>
            <w:hideMark/>
          </w:tcPr>
          <w:p w:rsidR="00974489" w:rsidRPr="00A57A1D" w:rsidRDefault="00974489" w:rsidP="00A57A1D">
            <w:pPr>
              <w:spacing w:after="0"/>
              <w:rPr>
                <w:rFonts w:eastAsia="Times New Roman"/>
                <w:color w:val="000000"/>
                <w:sz w:val="18"/>
                <w:szCs w:val="18"/>
                <w:lang w:val="en-US"/>
              </w:rPr>
            </w:pPr>
            <w:r w:rsidRPr="00A57A1D">
              <w:rPr>
                <w:rFonts w:eastAsia="Times New Roman"/>
                <w:color w:val="000000"/>
                <w:sz w:val="18"/>
                <w:szCs w:val="18"/>
                <w:lang w:val="en-US"/>
              </w:rPr>
              <w:t>Sexual misconduct</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489" w:rsidRPr="00A57A1D" w:rsidRDefault="00974489" w:rsidP="00A57A1D">
            <w:pPr>
              <w:spacing w:after="0"/>
              <w:jc w:val="center"/>
              <w:rPr>
                <w:rFonts w:eastAsia="Times New Roman"/>
                <w:color w:val="FFFFFF"/>
                <w:sz w:val="18"/>
                <w:szCs w:val="18"/>
                <w:lang w:val="en-US"/>
              </w:rPr>
            </w:pPr>
            <w:r w:rsidRPr="00A57A1D">
              <w:rPr>
                <w:rFonts w:eastAsia="Times New Roman"/>
                <w:color w:val="FFFFFF"/>
                <w:sz w:val="18"/>
                <w:szCs w:val="18"/>
                <w:lang w:val="en-US"/>
              </w:rPr>
              <w:t>0</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489" w:rsidRPr="00A57A1D" w:rsidRDefault="00974489" w:rsidP="00A57A1D">
            <w:pPr>
              <w:spacing w:after="0"/>
              <w:jc w:val="center"/>
              <w:rPr>
                <w:rFonts w:eastAsia="Times New Roman"/>
                <w:color w:val="FFFFFF"/>
                <w:sz w:val="18"/>
                <w:szCs w:val="18"/>
                <w:lang w:val="en-US"/>
              </w:rPr>
            </w:pPr>
            <w:r w:rsidRPr="00A57A1D">
              <w:rPr>
                <w:rFonts w:eastAsia="Times New Roman"/>
                <w:color w:val="FFFFFF"/>
                <w:sz w:val="18"/>
                <w:szCs w:val="18"/>
                <w:lang w:val="en-US"/>
              </w:rPr>
              <w:t>0</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489" w:rsidRPr="00A57A1D" w:rsidRDefault="00974489" w:rsidP="00A57A1D">
            <w:pPr>
              <w:spacing w:after="0"/>
              <w:jc w:val="center"/>
              <w:rPr>
                <w:rFonts w:eastAsia="Times New Roman"/>
                <w:color w:val="FFFFFF"/>
                <w:sz w:val="18"/>
                <w:szCs w:val="18"/>
                <w:lang w:val="en-US"/>
              </w:rPr>
            </w:pPr>
            <w:r w:rsidRPr="00A57A1D">
              <w:rPr>
                <w:rFonts w:eastAsia="Times New Roman"/>
                <w:color w:val="FFFFFF"/>
                <w:sz w:val="18"/>
                <w:szCs w:val="18"/>
                <w:lang w:val="en-US"/>
              </w:rPr>
              <w:t>0</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489" w:rsidRPr="00A57A1D" w:rsidRDefault="00974489" w:rsidP="00A57A1D">
            <w:pPr>
              <w:spacing w:after="0"/>
              <w:jc w:val="center"/>
              <w:rPr>
                <w:rFonts w:eastAsia="Times New Roman"/>
                <w:color w:val="FFFFFF"/>
                <w:sz w:val="18"/>
                <w:szCs w:val="18"/>
                <w:lang w:val="en-US"/>
              </w:rPr>
            </w:pPr>
            <w:r w:rsidRPr="00A57A1D">
              <w:rPr>
                <w:rFonts w:eastAsia="Times New Roman"/>
                <w:color w:val="FFFFFF"/>
                <w:sz w:val="18"/>
                <w:szCs w:val="18"/>
                <w:lang w:val="en-US"/>
              </w:rPr>
              <w:t>0</w:t>
            </w:r>
          </w:p>
        </w:tc>
        <w:tc>
          <w:tcPr>
            <w:tcW w:w="400" w:type="pct"/>
            <w:tcBorders>
              <w:top w:val="nil"/>
              <w:left w:val="nil"/>
              <w:bottom w:val="single" w:sz="4" w:space="0" w:color="auto"/>
              <w:right w:val="single" w:sz="4" w:space="0" w:color="auto"/>
            </w:tcBorders>
            <w:shd w:val="clear" w:color="auto" w:fill="auto"/>
            <w:noWrap/>
            <w:vAlign w:val="bottom"/>
            <w:hideMark/>
          </w:tcPr>
          <w:p w:rsidR="00974489" w:rsidRPr="00A57A1D" w:rsidRDefault="00974489" w:rsidP="00A57A1D">
            <w:pPr>
              <w:spacing w:after="0"/>
              <w:jc w:val="center"/>
              <w:rPr>
                <w:rFonts w:eastAsia="Times New Roman"/>
                <w:b/>
                <w:bCs/>
                <w:color w:val="000000"/>
                <w:sz w:val="18"/>
                <w:szCs w:val="18"/>
                <w:lang w:val="en-US"/>
              </w:rPr>
            </w:pPr>
            <w:r w:rsidRPr="00A57A1D">
              <w:rPr>
                <w:rFonts w:eastAsia="Times New Roman"/>
                <w:b/>
                <w:bCs/>
                <w:color w:val="000000"/>
                <w:sz w:val="18"/>
                <w:szCs w:val="18"/>
                <w:lang w:val="en-US"/>
              </w:rPr>
              <w:t>0</w:t>
            </w:r>
          </w:p>
        </w:tc>
        <w:tc>
          <w:tcPr>
            <w:tcW w:w="424" w:type="pct"/>
            <w:tcBorders>
              <w:top w:val="nil"/>
              <w:left w:val="nil"/>
              <w:bottom w:val="single" w:sz="4" w:space="0" w:color="auto"/>
              <w:right w:val="single" w:sz="4" w:space="0" w:color="auto"/>
            </w:tcBorders>
            <w:shd w:val="clear" w:color="auto" w:fill="auto"/>
            <w:noWrap/>
            <w:vAlign w:val="bottom"/>
            <w:hideMark/>
          </w:tcPr>
          <w:p w:rsidR="00974489" w:rsidRPr="00A57A1D" w:rsidRDefault="00974489" w:rsidP="00A57A1D">
            <w:pPr>
              <w:spacing w:after="0"/>
              <w:jc w:val="center"/>
              <w:rPr>
                <w:rFonts w:eastAsia="Times New Roman"/>
                <w:color w:val="000000"/>
                <w:sz w:val="18"/>
                <w:szCs w:val="18"/>
                <w:lang w:val="en-US"/>
              </w:rPr>
            </w:pPr>
            <w:r w:rsidRPr="00A57A1D">
              <w:rPr>
                <w:rFonts w:eastAsia="Times New Roman"/>
                <w:color w:val="000000"/>
                <w:sz w:val="18"/>
                <w:szCs w:val="18"/>
                <w:lang w:val="en-US"/>
              </w:rPr>
              <w:t>2</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489" w:rsidRPr="00A57A1D" w:rsidRDefault="00974489" w:rsidP="00A57A1D">
            <w:pPr>
              <w:spacing w:after="0"/>
              <w:jc w:val="center"/>
              <w:rPr>
                <w:rFonts w:eastAsia="Times New Roman"/>
                <w:color w:val="FFFFFF"/>
                <w:sz w:val="18"/>
                <w:szCs w:val="18"/>
                <w:lang w:val="en-US"/>
              </w:rPr>
            </w:pPr>
            <w:r w:rsidRPr="00A57A1D">
              <w:rPr>
                <w:rFonts w:eastAsia="Times New Roman"/>
                <w:color w:val="FFFFFF"/>
                <w:sz w:val="18"/>
                <w:szCs w:val="18"/>
                <w:lang w:val="en-US"/>
              </w:rPr>
              <w:t>0</w:t>
            </w:r>
          </w:p>
        </w:tc>
        <w:tc>
          <w:tcPr>
            <w:tcW w:w="394" w:type="pct"/>
            <w:tcBorders>
              <w:top w:val="nil"/>
              <w:left w:val="nil"/>
              <w:bottom w:val="single" w:sz="4" w:space="0" w:color="auto"/>
              <w:right w:val="single" w:sz="4" w:space="0" w:color="auto"/>
            </w:tcBorders>
            <w:shd w:val="clear" w:color="auto" w:fill="auto"/>
            <w:noWrap/>
            <w:vAlign w:val="bottom"/>
            <w:hideMark/>
          </w:tcPr>
          <w:p w:rsidR="00974489" w:rsidRPr="00A57A1D" w:rsidRDefault="00974489" w:rsidP="00A57A1D">
            <w:pPr>
              <w:spacing w:after="0"/>
              <w:jc w:val="center"/>
              <w:rPr>
                <w:rFonts w:eastAsia="Times New Roman"/>
                <w:b/>
                <w:bCs/>
                <w:color w:val="000000"/>
                <w:sz w:val="18"/>
                <w:szCs w:val="18"/>
                <w:lang w:val="en-US"/>
              </w:rPr>
            </w:pPr>
            <w:r w:rsidRPr="00A57A1D">
              <w:rPr>
                <w:rFonts w:eastAsia="Times New Roman"/>
                <w:b/>
                <w:bCs/>
                <w:color w:val="000000"/>
                <w:sz w:val="18"/>
                <w:szCs w:val="18"/>
                <w:lang w:val="en-US"/>
              </w:rPr>
              <w:t>2</w:t>
            </w:r>
          </w:p>
        </w:tc>
        <w:tc>
          <w:tcPr>
            <w:tcW w:w="431" w:type="pct"/>
            <w:tcBorders>
              <w:top w:val="nil"/>
              <w:left w:val="nil"/>
              <w:bottom w:val="single" w:sz="4" w:space="0" w:color="auto"/>
              <w:right w:val="single" w:sz="4" w:space="0" w:color="auto"/>
            </w:tcBorders>
            <w:shd w:val="clear" w:color="auto" w:fill="auto"/>
            <w:noWrap/>
            <w:vAlign w:val="bottom"/>
            <w:hideMark/>
          </w:tcPr>
          <w:p w:rsidR="00974489" w:rsidRPr="00A57A1D" w:rsidRDefault="00974489" w:rsidP="00A57A1D">
            <w:pPr>
              <w:spacing w:after="0"/>
              <w:jc w:val="center"/>
              <w:rPr>
                <w:rFonts w:eastAsia="Times New Roman"/>
                <w:b/>
                <w:bCs/>
                <w:color w:val="000000"/>
                <w:sz w:val="18"/>
                <w:szCs w:val="18"/>
                <w:lang w:val="en-US"/>
              </w:rPr>
            </w:pPr>
            <w:r w:rsidRPr="00A57A1D">
              <w:rPr>
                <w:rFonts w:eastAsia="Times New Roman"/>
                <w:b/>
                <w:bCs/>
                <w:color w:val="000000"/>
                <w:sz w:val="18"/>
                <w:szCs w:val="18"/>
                <w:lang w:val="en-US"/>
              </w:rPr>
              <w:t>2</w:t>
            </w:r>
          </w:p>
        </w:tc>
      </w:tr>
      <w:tr w:rsidR="00974489" w:rsidRPr="00A57A1D" w:rsidTr="00A57A1D">
        <w:trPr>
          <w:cantSplit/>
          <w:trHeight w:val="340"/>
        </w:trPr>
        <w:tc>
          <w:tcPr>
            <w:tcW w:w="1345" w:type="pct"/>
            <w:tcBorders>
              <w:top w:val="nil"/>
              <w:left w:val="single" w:sz="4" w:space="0" w:color="auto"/>
              <w:bottom w:val="single" w:sz="4" w:space="0" w:color="auto"/>
              <w:right w:val="single" w:sz="4" w:space="0" w:color="auto"/>
            </w:tcBorders>
            <w:shd w:val="clear" w:color="auto" w:fill="auto"/>
            <w:noWrap/>
            <w:vAlign w:val="bottom"/>
            <w:hideMark/>
          </w:tcPr>
          <w:p w:rsidR="00974489" w:rsidRPr="00A57A1D" w:rsidRDefault="00974489" w:rsidP="00A57A1D">
            <w:pPr>
              <w:spacing w:after="0"/>
              <w:rPr>
                <w:rFonts w:eastAsia="Times New Roman"/>
                <w:color w:val="000000"/>
                <w:sz w:val="18"/>
                <w:szCs w:val="18"/>
                <w:lang w:val="en-US"/>
              </w:rPr>
            </w:pPr>
            <w:r w:rsidRPr="00A57A1D">
              <w:rPr>
                <w:rFonts w:eastAsia="Times New Roman"/>
                <w:color w:val="000000"/>
                <w:sz w:val="18"/>
                <w:szCs w:val="18"/>
                <w:lang w:val="en-US"/>
              </w:rPr>
              <w:t>Alcohol or drugs</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489" w:rsidRPr="00A57A1D" w:rsidRDefault="00974489" w:rsidP="00A57A1D">
            <w:pPr>
              <w:spacing w:after="0"/>
              <w:jc w:val="center"/>
              <w:rPr>
                <w:rFonts w:eastAsia="Times New Roman"/>
                <w:color w:val="FFFFFF"/>
                <w:sz w:val="18"/>
                <w:szCs w:val="18"/>
                <w:lang w:val="en-US"/>
              </w:rPr>
            </w:pPr>
            <w:r w:rsidRPr="00A57A1D">
              <w:rPr>
                <w:rFonts w:eastAsia="Times New Roman"/>
                <w:color w:val="FFFFFF"/>
                <w:sz w:val="18"/>
                <w:szCs w:val="18"/>
                <w:lang w:val="en-US"/>
              </w:rPr>
              <w:t>0</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489" w:rsidRPr="00A57A1D" w:rsidRDefault="00974489" w:rsidP="00A57A1D">
            <w:pPr>
              <w:spacing w:after="0"/>
              <w:jc w:val="center"/>
              <w:rPr>
                <w:rFonts w:eastAsia="Times New Roman"/>
                <w:color w:val="FFFFFF"/>
                <w:sz w:val="18"/>
                <w:szCs w:val="18"/>
                <w:lang w:val="en-US"/>
              </w:rPr>
            </w:pPr>
            <w:r w:rsidRPr="00A57A1D">
              <w:rPr>
                <w:rFonts w:eastAsia="Times New Roman"/>
                <w:color w:val="FFFFFF"/>
                <w:sz w:val="18"/>
                <w:szCs w:val="18"/>
                <w:lang w:val="en-US"/>
              </w:rPr>
              <w:t>0</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489" w:rsidRPr="00A57A1D" w:rsidRDefault="00974489" w:rsidP="00A57A1D">
            <w:pPr>
              <w:spacing w:after="0"/>
              <w:jc w:val="center"/>
              <w:rPr>
                <w:rFonts w:eastAsia="Times New Roman"/>
                <w:color w:val="FFFFFF"/>
                <w:sz w:val="18"/>
                <w:szCs w:val="18"/>
                <w:lang w:val="en-US"/>
              </w:rPr>
            </w:pPr>
            <w:r w:rsidRPr="00A57A1D">
              <w:rPr>
                <w:rFonts w:eastAsia="Times New Roman"/>
                <w:color w:val="FFFFFF"/>
                <w:sz w:val="18"/>
                <w:szCs w:val="18"/>
                <w:lang w:val="en-US"/>
              </w:rPr>
              <w:t>0</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489" w:rsidRPr="00A57A1D" w:rsidRDefault="00974489" w:rsidP="00A57A1D">
            <w:pPr>
              <w:spacing w:after="0"/>
              <w:jc w:val="center"/>
              <w:rPr>
                <w:rFonts w:eastAsia="Times New Roman"/>
                <w:color w:val="FFFFFF"/>
                <w:sz w:val="18"/>
                <w:szCs w:val="18"/>
                <w:lang w:val="en-US"/>
              </w:rPr>
            </w:pPr>
            <w:r w:rsidRPr="00A57A1D">
              <w:rPr>
                <w:rFonts w:eastAsia="Times New Roman"/>
                <w:color w:val="FFFFFF"/>
                <w:sz w:val="18"/>
                <w:szCs w:val="18"/>
                <w:lang w:val="en-US"/>
              </w:rPr>
              <w:t>0</w:t>
            </w:r>
          </w:p>
        </w:tc>
        <w:tc>
          <w:tcPr>
            <w:tcW w:w="400" w:type="pct"/>
            <w:tcBorders>
              <w:top w:val="nil"/>
              <w:left w:val="nil"/>
              <w:bottom w:val="single" w:sz="4" w:space="0" w:color="auto"/>
              <w:right w:val="single" w:sz="4" w:space="0" w:color="auto"/>
            </w:tcBorders>
            <w:shd w:val="clear" w:color="auto" w:fill="auto"/>
            <w:noWrap/>
            <w:vAlign w:val="bottom"/>
            <w:hideMark/>
          </w:tcPr>
          <w:p w:rsidR="00974489" w:rsidRPr="00A57A1D" w:rsidRDefault="00974489" w:rsidP="00A57A1D">
            <w:pPr>
              <w:spacing w:after="0"/>
              <w:jc w:val="center"/>
              <w:rPr>
                <w:rFonts w:eastAsia="Times New Roman"/>
                <w:b/>
                <w:bCs/>
                <w:color w:val="000000"/>
                <w:sz w:val="18"/>
                <w:szCs w:val="18"/>
                <w:lang w:val="en-US"/>
              </w:rPr>
            </w:pPr>
            <w:r w:rsidRPr="00A57A1D">
              <w:rPr>
                <w:rFonts w:eastAsia="Times New Roman"/>
                <w:b/>
                <w:bCs/>
                <w:color w:val="000000"/>
                <w:sz w:val="18"/>
                <w:szCs w:val="18"/>
                <w:lang w:val="en-US"/>
              </w:rPr>
              <w:t>0</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489" w:rsidRPr="00A57A1D" w:rsidRDefault="00974489" w:rsidP="00A57A1D">
            <w:pPr>
              <w:spacing w:after="0"/>
              <w:jc w:val="center"/>
              <w:rPr>
                <w:rFonts w:eastAsia="Times New Roman"/>
                <w:color w:val="FFFFFF"/>
                <w:sz w:val="18"/>
                <w:szCs w:val="18"/>
                <w:lang w:val="en-US"/>
              </w:rPr>
            </w:pPr>
            <w:r w:rsidRPr="00A57A1D">
              <w:rPr>
                <w:rFonts w:eastAsia="Times New Roman"/>
                <w:color w:val="FFFFFF"/>
                <w:sz w:val="18"/>
                <w:szCs w:val="18"/>
                <w:lang w:val="en-US"/>
              </w:rPr>
              <w:t>0</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489" w:rsidRPr="00A57A1D" w:rsidRDefault="00974489" w:rsidP="00A57A1D">
            <w:pPr>
              <w:spacing w:after="0"/>
              <w:jc w:val="center"/>
              <w:rPr>
                <w:rFonts w:eastAsia="Times New Roman"/>
                <w:color w:val="FFFFFF"/>
                <w:sz w:val="18"/>
                <w:szCs w:val="18"/>
                <w:lang w:val="en-US"/>
              </w:rPr>
            </w:pPr>
            <w:r w:rsidRPr="00A57A1D">
              <w:rPr>
                <w:rFonts w:eastAsia="Times New Roman"/>
                <w:color w:val="FFFFFF"/>
                <w:sz w:val="18"/>
                <w:szCs w:val="18"/>
                <w:lang w:val="en-US"/>
              </w:rPr>
              <w:t>0</w:t>
            </w:r>
          </w:p>
        </w:tc>
        <w:tc>
          <w:tcPr>
            <w:tcW w:w="394" w:type="pct"/>
            <w:tcBorders>
              <w:top w:val="nil"/>
              <w:left w:val="nil"/>
              <w:bottom w:val="single" w:sz="4" w:space="0" w:color="auto"/>
              <w:right w:val="single" w:sz="4" w:space="0" w:color="auto"/>
            </w:tcBorders>
            <w:shd w:val="clear" w:color="auto" w:fill="auto"/>
            <w:noWrap/>
            <w:vAlign w:val="bottom"/>
            <w:hideMark/>
          </w:tcPr>
          <w:p w:rsidR="00974489" w:rsidRPr="00A57A1D" w:rsidRDefault="00974489" w:rsidP="00A57A1D">
            <w:pPr>
              <w:spacing w:after="0"/>
              <w:jc w:val="center"/>
              <w:rPr>
                <w:rFonts w:eastAsia="Times New Roman"/>
                <w:b/>
                <w:bCs/>
                <w:color w:val="000000"/>
                <w:sz w:val="18"/>
                <w:szCs w:val="18"/>
                <w:lang w:val="en-US"/>
              </w:rPr>
            </w:pPr>
            <w:r w:rsidRPr="00A57A1D">
              <w:rPr>
                <w:rFonts w:eastAsia="Times New Roman"/>
                <w:b/>
                <w:bCs/>
                <w:color w:val="000000"/>
                <w:sz w:val="18"/>
                <w:szCs w:val="18"/>
                <w:lang w:val="en-US"/>
              </w:rPr>
              <w:t>0</w:t>
            </w:r>
          </w:p>
        </w:tc>
        <w:tc>
          <w:tcPr>
            <w:tcW w:w="431" w:type="pct"/>
            <w:tcBorders>
              <w:top w:val="nil"/>
              <w:left w:val="nil"/>
              <w:bottom w:val="single" w:sz="4" w:space="0" w:color="auto"/>
              <w:right w:val="single" w:sz="4" w:space="0" w:color="auto"/>
            </w:tcBorders>
            <w:shd w:val="clear" w:color="auto" w:fill="auto"/>
            <w:noWrap/>
            <w:vAlign w:val="bottom"/>
            <w:hideMark/>
          </w:tcPr>
          <w:p w:rsidR="00974489" w:rsidRPr="00A57A1D" w:rsidRDefault="00974489" w:rsidP="00A57A1D">
            <w:pPr>
              <w:spacing w:after="0"/>
              <w:jc w:val="center"/>
              <w:rPr>
                <w:rFonts w:eastAsia="Times New Roman"/>
                <w:b/>
                <w:bCs/>
                <w:color w:val="000000"/>
                <w:sz w:val="18"/>
                <w:szCs w:val="18"/>
                <w:lang w:val="en-US"/>
              </w:rPr>
            </w:pPr>
            <w:r w:rsidRPr="00A57A1D">
              <w:rPr>
                <w:rFonts w:eastAsia="Times New Roman"/>
                <w:b/>
                <w:bCs/>
                <w:color w:val="000000"/>
                <w:sz w:val="18"/>
                <w:szCs w:val="18"/>
                <w:lang w:val="en-US"/>
              </w:rPr>
              <w:t>0</w:t>
            </w:r>
          </w:p>
        </w:tc>
      </w:tr>
      <w:tr w:rsidR="00974489" w:rsidRPr="00A57A1D" w:rsidTr="00A57A1D">
        <w:trPr>
          <w:cantSplit/>
          <w:trHeight w:val="340"/>
        </w:trPr>
        <w:tc>
          <w:tcPr>
            <w:tcW w:w="1345" w:type="pct"/>
            <w:tcBorders>
              <w:top w:val="nil"/>
              <w:left w:val="single" w:sz="4" w:space="0" w:color="auto"/>
              <w:bottom w:val="single" w:sz="4" w:space="0" w:color="auto"/>
              <w:right w:val="single" w:sz="4" w:space="0" w:color="auto"/>
            </w:tcBorders>
            <w:shd w:val="clear" w:color="auto" w:fill="auto"/>
            <w:noWrap/>
            <w:vAlign w:val="bottom"/>
            <w:hideMark/>
          </w:tcPr>
          <w:p w:rsidR="00974489" w:rsidRPr="00A57A1D" w:rsidRDefault="00974489" w:rsidP="00A57A1D">
            <w:pPr>
              <w:spacing w:after="0"/>
              <w:rPr>
                <w:rFonts w:eastAsia="Times New Roman"/>
                <w:color w:val="000000"/>
                <w:sz w:val="18"/>
                <w:szCs w:val="18"/>
                <w:lang w:val="en-US"/>
              </w:rPr>
            </w:pPr>
            <w:r w:rsidRPr="00A57A1D">
              <w:rPr>
                <w:rFonts w:eastAsia="Times New Roman"/>
                <w:color w:val="000000"/>
                <w:sz w:val="18"/>
                <w:szCs w:val="18"/>
                <w:lang w:val="en-US"/>
              </w:rPr>
              <w:t>Not classified</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489" w:rsidRPr="00A57A1D" w:rsidRDefault="00974489" w:rsidP="00A57A1D">
            <w:pPr>
              <w:spacing w:after="0"/>
              <w:jc w:val="center"/>
              <w:rPr>
                <w:rFonts w:eastAsia="Times New Roman"/>
                <w:color w:val="FFFFFF"/>
                <w:sz w:val="18"/>
                <w:szCs w:val="18"/>
                <w:lang w:val="en-US"/>
              </w:rPr>
            </w:pPr>
            <w:r w:rsidRPr="00A57A1D">
              <w:rPr>
                <w:rFonts w:eastAsia="Times New Roman"/>
                <w:color w:val="FFFFFF"/>
                <w:sz w:val="18"/>
                <w:szCs w:val="18"/>
                <w:lang w:val="en-US"/>
              </w:rPr>
              <w:t>0</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489" w:rsidRPr="00A57A1D" w:rsidRDefault="00974489" w:rsidP="00A57A1D">
            <w:pPr>
              <w:spacing w:after="0"/>
              <w:jc w:val="center"/>
              <w:rPr>
                <w:rFonts w:eastAsia="Times New Roman"/>
                <w:color w:val="FFFFFF"/>
                <w:sz w:val="18"/>
                <w:szCs w:val="18"/>
                <w:lang w:val="en-US"/>
              </w:rPr>
            </w:pPr>
            <w:r w:rsidRPr="00A57A1D">
              <w:rPr>
                <w:rFonts w:eastAsia="Times New Roman"/>
                <w:color w:val="FFFFFF"/>
                <w:sz w:val="18"/>
                <w:szCs w:val="18"/>
                <w:lang w:val="en-US"/>
              </w:rPr>
              <w:t>0</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489" w:rsidRPr="00A57A1D" w:rsidRDefault="00974489" w:rsidP="00A57A1D">
            <w:pPr>
              <w:spacing w:after="0"/>
              <w:jc w:val="center"/>
              <w:rPr>
                <w:rFonts w:eastAsia="Times New Roman"/>
                <w:color w:val="FFFFFF"/>
                <w:sz w:val="18"/>
                <w:szCs w:val="18"/>
                <w:lang w:val="en-US"/>
              </w:rPr>
            </w:pPr>
            <w:r w:rsidRPr="00A57A1D">
              <w:rPr>
                <w:rFonts w:eastAsia="Times New Roman"/>
                <w:color w:val="FFFFFF"/>
                <w:sz w:val="18"/>
                <w:szCs w:val="18"/>
                <w:lang w:val="en-US"/>
              </w:rPr>
              <w:t>0</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489" w:rsidRPr="00A57A1D" w:rsidRDefault="00974489" w:rsidP="00A57A1D">
            <w:pPr>
              <w:spacing w:after="0"/>
              <w:jc w:val="center"/>
              <w:rPr>
                <w:rFonts w:eastAsia="Times New Roman"/>
                <w:color w:val="FFFFFF"/>
                <w:sz w:val="18"/>
                <w:szCs w:val="18"/>
                <w:lang w:val="en-US"/>
              </w:rPr>
            </w:pPr>
            <w:r w:rsidRPr="00A57A1D">
              <w:rPr>
                <w:rFonts w:eastAsia="Times New Roman"/>
                <w:color w:val="FFFFFF"/>
                <w:sz w:val="18"/>
                <w:szCs w:val="18"/>
                <w:lang w:val="en-US"/>
              </w:rPr>
              <w:t>0</w:t>
            </w:r>
          </w:p>
        </w:tc>
        <w:tc>
          <w:tcPr>
            <w:tcW w:w="400" w:type="pct"/>
            <w:tcBorders>
              <w:top w:val="nil"/>
              <w:left w:val="nil"/>
              <w:bottom w:val="single" w:sz="4" w:space="0" w:color="auto"/>
              <w:right w:val="single" w:sz="4" w:space="0" w:color="auto"/>
            </w:tcBorders>
            <w:shd w:val="clear" w:color="auto" w:fill="auto"/>
            <w:noWrap/>
            <w:vAlign w:val="bottom"/>
            <w:hideMark/>
          </w:tcPr>
          <w:p w:rsidR="00974489" w:rsidRPr="00A57A1D" w:rsidRDefault="00974489" w:rsidP="00A57A1D">
            <w:pPr>
              <w:spacing w:after="0"/>
              <w:jc w:val="center"/>
              <w:rPr>
                <w:rFonts w:eastAsia="Times New Roman"/>
                <w:b/>
                <w:bCs/>
                <w:color w:val="000000"/>
                <w:sz w:val="18"/>
                <w:szCs w:val="18"/>
                <w:lang w:val="en-US"/>
              </w:rPr>
            </w:pPr>
            <w:r w:rsidRPr="00A57A1D">
              <w:rPr>
                <w:rFonts w:eastAsia="Times New Roman"/>
                <w:b/>
                <w:bCs/>
                <w:color w:val="000000"/>
                <w:sz w:val="18"/>
                <w:szCs w:val="18"/>
                <w:lang w:val="en-US"/>
              </w:rPr>
              <w:t>0</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489" w:rsidRPr="00A57A1D" w:rsidRDefault="00974489" w:rsidP="00A57A1D">
            <w:pPr>
              <w:spacing w:after="0"/>
              <w:jc w:val="center"/>
              <w:rPr>
                <w:rFonts w:eastAsia="Times New Roman"/>
                <w:color w:val="FFFFFF"/>
                <w:sz w:val="18"/>
                <w:szCs w:val="18"/>
                <w:lang w:val="en-US"/>
              </w:rPr>
            </w:pPr>
            <w:r w:rsidRPr="00A57A1D">
              <w:rPr>
                <w:rFonts w:eastAsia="Times New Roman"/>
                <w:color w:val="FFFFFF"/>
                <w:sz w:val="18"/>
                <w:szCs w:val="18"/>
                <w:lang w:val="en-US"/>
              </w:rPr>
              <w:t>0</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489" w:rsidRPr="00A57A1D" w:rsidRDefault="00974489" w:rsidP="00A57A1D">
            <w:pPr>
              <w:spacing w:after="0"/>
              <w:jc w:val="center"/>
              <w:rPr>
                <w:rFonts w:eastAsia="Times New Roman"/>
                <w:color w:val="FFFFFF"/>
                <w:sz w:val="18"/>
                <w:szCs w:val="18"/>
                <w:lang w:val="en-US"/>
              </w:rPr>
            </w:pPr>
            <w:r w:rsidRPr="00A57A1D">
              <w:rPr>
                <w:rFonts w:eastAsia="Times New Roman"/>
                <w:color w:val="FFFFFF"/>
                <w:sz w:val="18"/>
                <w:szCs w:val="18"/>
                <w:lang w:val="en-US"/>
              </w:rPr>
              <w:t>0</w:t>
            </w:r>
          </w:p>
        </w:tc>
        <w:tc>
          <w:tcPr>
            <w:tcW w:w="394" w:type="pct"/>
            <w:tcBorders>
              <w:top w:val="nil"/>
              <w:left w:val="nil"/>
              <w:bottom w:val="single" w:sz="4" w:space="0" w:color="auto"/>
              <w:right w:val="single" w:sz="4" w:space="0" w:color="auto"/>
            </w:tcBorders>
            <w:shd w:val="clear" w:color="auto" w:fill="auto"/>
            <w:noWrap/>
            <w:vAlign w:val="bottom"/>
            <w:hideMark/>
          </w:tcPr>
          <w:p w:rsidR="00974489" w:rsidRPr="00A57A1D" w:rsidRDefault="00974489" w:rsidP="00A57A1D">
            <w:pPr>
              <w:spacing w:after="0"/>
              <w:jc w:val="center"/>
              <w:rPr>
                <w:rFonts w:eastAsia="Times New Roman"/>
                <w:b/>
                <w:bCs/>
                <w:color w:val="000000"/>
                <w:sz w:val="18"/>
                <w:szCs w:val="18"/>
                <w:lang w:val="en-US"/>
              </w:rPr>
            </w:pPr>
            <w:r w:rsidRPr="00A57A1D">
              <w:rPr>
                <w:rFonts w:eastAsia="Times New Roman"/>
                <w:b/>
                <w:bCs/>
                <w:color w:val="000000"/>
                <w:sz w:val="18"/>
                <w:szCs w:val="18"/>
                <w:lang w:val="en-US"/>
              </w:rPr>
              <w:t>0</w:t>
            </w:r>
          </w:p>
        </w:tc>
        <w:tc>
          <w:tcPr>
            <w:tcW w:w="431" w:type="pct"/>
            <w:tcBorders>
              <w:top w:val="nil"/>
              <w:left w:val="nil"/>
              <w:bottom w:val="single" w:sz="4" w:space="0" w:color="auto"/>
              <w:right w:val="single" w:sz="4" w:space="0" w:color="auto"/>
            </w:tcBorders>
            <w:shd w:val="clear" w:color="auto" w:fill="auto"/>
            <w:noWrap/>
            <w:vAlign w:val="bottom"/>
            <w:hideMark/>
          </w:tcPr>
          <w:p w:rsidR="00974489" w:rsidRPr="00A57A1D" w:rsidRDefault="00974489" w:rsidP="00A57A1D">
            <w:pPr>
              <w:spacing w:after="0"/>
              <w:jc w:val="center"/>
              <w:rPr>
                <w:rFonts w:eastAsia="Times New Roman"/>
                <w:b/>
                <w:bCs/>
                <w:color w:val="000000"/>
                <w:sz w:val="18"/>
                <w:szCs w:val="18"/>
                <w:lang w:val="en-US"/>
              </w:rPr>
            </w:pPr>
            <w:r w:rsidRPr="00A57A1D">
              <w:rPr>
                <w:rFonts w:eastAsia="Times New Roman"/>
                <w:b/>
                <w:bCs/>
                <w:color w:val="000000"/>
                <w:sz w:val="18"/>
                <w:szCs w:val="18"/>
                <w:lang w:val="en-US"/>
              </w:rPr>
              <w:t>0</w:t>
            </w:r>
          </w:p>
        </w:tc>
      </w:tr>
      <w:tr w:rsidR="00974489" w:rsidRPr="00A57A1D" w:rsidTr="00A57A1D">
        <w:trPr>
          <w:cantSplit/>
          <w:trHeight w:val="340"/>
        </w:trPr>
        <w:tc>
          <w:tcPr>
            <w:tcW w:w="1345" w:type="pct"/>
            <w:tcBorders>
              <w:top w:val="nil"/>
              <w:left w:val="single" w:sz="4" w:space="0" w:color="auto"/>
              <w:bottom w:val="single" w:sz="4" w:space="0" w:color="auto"/>
              <w:right w:val="single" w:sz="4" w:space="0" w:color="auto"/>
            </w:tcBorders>
            <w:shd w:val="clear" w:color="auto" w:fill="auto"/>
            <w:noWrap/>
            <w:vAlign w:val="bottom"/>
            <w:hideMark/>
          </w:tcPr>
          <w:p w:rsidR="00974489" w:rsidRPr="00A57A1D" w:rsidRDefault="00974489" w:rsidP="00A57A1D">
            <w:pPr>
              <w:spacing w:after="0"/>
              <w:rPr>
                <w:rFonts w:eastAsia="Times New Roman"/>
                <w:b/>
                <w:bCs/>
                <w:color w:val="000000"/>
                <w:sz w:val="18"/>
                <w:szCs w:val="18"/>
                <w:lang w:val="en-US"/>
              </w:rPr>
            </w:pPr>
            <w:r w:rsidRPr="00A57A1D">
              <w:rPr>
                <w:rFonts w:eastAsia="Times New Roman"/>
                <w:b/>
                <w:bCs/>
                <w:color w:val="000000"/>
                <w:sz w:val="18"/>
                <w:szCs w:val="18"/>
                <w:lang w:val="en-US"/>
              </w:rPr>
              <w:t>Total 2014/15</w:t>
            </w:r>
          </w:p>
        </w:tc>
        <w:tc>
          <w:tcPr>
            <w:tcW w:w="397" w:type="pct"/>
            <w:tcBorders>
              <w:top w:val="nil"/>
              <w:left w:val="nil"/>
              <w:bottom w:val="single" w:sz="4" w:space="0" w:color="auto"/>
              <w:right w:val="single" w:sz="4" w:space="0" w:color="auto"/>
            </w:tcBorders>
            <w:shd w:val="clear" w:color="auto" w:fill="auto"/>
            <w:noWrap/>
            <w:vAlign w:val="bottom"/>
            <w:hideMark/>
          </w:tcPr>
          <w:p w:rsidR="00974489" w:rsidRPr="00A57A1D" w:rsidRDefault="00974489" w:rsidP="00A57A1D">
            <w:pPr>
              <w:spacing w:after="0"/>
              <w:jc w:val="center"/>
              <w:rPr>
                <w:rFonts w:eastAsia="Times New Roman"/>
                <w:color w:val="000000"/>
                <w:sz w:val="18"/>
                <w:szCs w:val="18"/>
                <w:lang w:val="en-US"/>
              </w:rPr>
            </w:pPr>
            <w:r w:rsidRPr="00A57A1D">
              <w:rPr>
                <w:rFonts w:eastAsia="Times New Roman"/>
                <w:color w:val="000000"/>
                <w:sz w:val="18"/>
                <w:szCs w:val="18"/>
                <w:lang w:val="en-US"/>
              </w:rPr>
              <w:t>7</w:t>
            </w:r>
          </w:p>
        </w:tc>
        <w:tc>
          <w:tcPr>
            <w:tcW w:w="397" w:type="pct"/>
            <w:tcBorders>
              <w:top w:val="nil"/>
              <w:left w:val="nil"/>
              <w:bottom w:val="single" w:sz="4" w:space="0" w:color="auto"/>
              <w:right w:val="single" w:sz="4" w:space="0" w:color="auto"/>
            </w:tcBorders>
            <w:shd w:val="clear" w:color="auto" w:fill="auto"/>
            <w:noWrap/>
            <w:vAlign w:val="bottom"/>
            <w:hideMark/>
          </w:tcPr>
          <w:p w:rsidR="00974489" w:rsidRPr="00A57A1D" w:rsidRDefault="00974489" w:rsidP="00A57A1D">
            <w:pPr>
              <w:spacing w:after="0"/>
              <w:jc w:val="center"/>
              <w:rPr>
                <w:rFonts w:eastAsia="Times New Roman"/>
                <w:color w:val="000000"/>
                <w:sz w:val="18"/>
                <w:szCs w:val="18"/>
                <w:lang w:val="en-US"/>
              </w:rPr>
            </w:pPr>
            <w:r w:rsidRPr="00A57A1D">
              <w:rPr>
                <w:rFonts w:eastAsia="Times New Roman"/>
                <w:color w:val="000000"/>
                <w:sz w:val="18"/>
                <w:szCs w:val="18"/>
                <w:lang w:val="en-US"/>
              </w:rPr>
              <w:t>3</w:t>
            </w:r>
          </w:p>
        </w:tc>
        <w:tc>
          <w:tcPr>
            <w:tcW w:w="399" w:type="pct"/>
            <w:tcBorders>
              <w:top w:val="nil"/>
              <w:left w:val="nil"/>
              <w:bottom w:val="single" w:sz="4" w:space="0" w:color="auto"/>
              <w:right w:val="single" w:sz="4" w:space="0" w:color="auto"/>
            </w:tcBorders>
            <w:shd w:val="clear" w:color="auto" w:fill="auto"/>
            <w:noWrap/>
            <w:vAlign w:val="bottom"/>
            <w:hideMark/>
          </w:tcPr>
          <w:p w:rsidR="00974489" w:rsidRPr="00A57A1D" w:rsidRDefault="00974489" w:rsidP="00A57A1D">
            <w:pPr>
              <w:spacing w:after="0"/>
              <w:jc w:val="center"/>
              <w:rPr>
                <w:rFonts w:eastAsia="Times New Roman"/>
                <w:color w:val="000000"/>
                <w:sz w:val="18"/>
                <w:szCs w:val="18"/>
                <w:lang w:val="en-US"/>
              </w:rPr>
            </w:pPr>
            <w:r w:rsidRPr="00A57A1D">
              <w:rPr>
                <w:rFonts w:eastAsia="Times New Roman"/>
                <w:color w:val="000000"/>
                <w:sz w:val="18"/>
                <w:szCs w:val="18"/>
                <w:lang w:val="en-US"/>
              </w:rPr>
              <w:t>1</w:t>
            </w:r>
          </w:p>
        </w:tc>
        <w:tc>
          <w:tcPr>
            <w:tcW w:w="394" w:type="pct"/>
            <w:tcBorders>
              <w:top w:val="nil"/>
              <w:left w:val="nil"/>
              <w:bottom w:val="single" w:sz="4" w:space="0" w:color="auto"/>
              <w:right w:val="single" w:sz="4" w:space="0" w:color="auto"/>
            </w:tcBorders>
            <w:shd w:val="clear" w:color="auto" w:fill="auto"/>
            <w:noWrap/>
            <w:vAlign w:val="bottom"/>
            <w:hideMark/>
          </w:tcPr>
          <w:p w:rsidR="00974489" w:rsidRPr="00A57A1D" w:rsidRDefault="00974489" w:rsidP="00A57A1D">
            <w:pPr>
              <w:spacing w:after="0"/>
              <w:jc w:val="center"/>
              <w:rPr>
                <w:rFonts w:eastAsia="Times New Roman"/>
                <w:color w:val="000000"/>
                <w:sz w:val="18"/>
                <w:szCs w:val="18"/>
                <w:lang w:val="en-US"/>
              </w:rPr>
            </w:pPr>
            <w:r w:rsidRPr="00A57A1D">
              <w:rPr>
                <w:rFonts w:eastAsia="Times New Roman"/>
                <w:color w:val="000000"/>
                <w:sz w:val="18"/>
                <w:szCs w:val="18"/>
                <w:lang w:val="en-US"/>
              </w:rPr>
              <w:t>1</w:t>
            </w:r>
          </w:p>
        </w:tc>
        <w:tc>
          <w:tcPr>
            <w:tcW w:w="400" w:type="pct"/>
            <w:tcBorders>
              <w:top w:val="nil"/>
              <w:left w:val="nil"/>
              <w:bottom w:val="single" w:sz="4" w:space="0" w:color="auto"/>
              <w:right w:val="single" w:sz="4" w:space="0" w:color="auto"/>
            </w:tcBorders>
            <w:shd w:val="clear" w:color="auto" w:fill="auto"/>
            <w:noWrap/>
            <w:vAlign w:val="bottom"/>
            <w:hideMark/>
          </w:tcPr>
          <w:p w:rsidR="00974489" w:rsidRPr="00A57A1D" w:rsidRDefault="00974489" w:rsidP="00A57A1D">
            <w:pPr>
              <w:spacing w:after="0"/>
              <w:jc w:val="center"/>
              <w:rPr>
                <w:rFonts w:eastAsia="Times New Roman"/>
                <w:b/>
                <w:bCs/>
                <w:color w:val="000000"/>
                <w:sz w:val="18"/>
                <w:szCs w:val="18"/>
                <w:lang w:val="en-US"/>
              </w:rPr>
            </w:pPr>
            <w:r w:rsidRPr="00A57A1D">
              <w:rPr>
                <w:rFonts w:eastAsia="Times New Roman"/>
                <w:b/>
                <w:bCs/>
                <w:color w:val="000000"/>
                <w:sz w:val="18"/>
                <w:szCs w:val="18"/>
                <w:lang w:val="en-US"/>
              </w:rPr>
              <w:t>12</w:t>
            </w:r>
          </w:p>
        </w:tc>
        <w:tc>
          <w:tcPr>
            <w:tcW w:w="424" w:type="pct"/>
            <w:tcBorders>
              <w:top w:val="nil"/>
              <w:left w:val="nil"/>
              <w:bottom w:val="single" w:sz="4" w:space="0" w:color="auto"/>
              <w:right w:val="single" w:sz="4" w:space="0" w:color="auto"/>
            </w:tcBorders>
            <w:shd w:val="clear" w:color="auto" w:fill="auto"/>
            <w:noWrap/>
            <w:vAlign w:val="bottom"/>
            <w:hideMark/>
          </w:tcPr>
          <w:p w:rsidR="00974489" w:rsidRPr="00A57A1D" w:rsidRDefault="00974489" w:rsidP="00A57A1D">
            <w:pPr>
              <w:spacing w:after="0"/>
              <w:jc w:val="center"/>
              <w:rPr>
                <w:rFonts w:eastAsia="Times New Roman"/>
                <w:color w:val="000000"/>
                <w:sz w:val="18"/>
                <w:szCs w:val="18"/>
                <w:lang w:val="en-US"/>
              </w:rPr>
            </w:pPr>
            <w:r w:rsidRPr="00A57A1D">
              <w:rPr>
                <w:rFonts w:eastAsia="Times New Roman"/>
                <w:color w:val="000000"/>
                <w:sz w:val="18"/>
                <w:szCs w:val="18"/>
                <w:lang w:val="en-US"/>
              </w:rPr>
              <w:t>14</w:t>
            </w:r>
          </w:p>
        </w:tc>
        <w:tc>
          <w:tcPr>
            <w:tcW w:w="419" w:type="pct"/>
            <w:tcBorders>
              <w:top w:val="nil"/>
              <w:left w:val="nil"/>
              <w:bottom w:val="single" w:sz="4" w:space="0" w:color="auto"/>
              <w:right w:val="single" w:sz="4" w:space="0" w:color="auto"/>
            </w:tcBorders>
            <w:shd w:val="clear" w:color="auto" w:fill="auto"/>
            <w:noWrap/>
            <w:vAlign w:val="bottom"/>
            <w:hideMark/>
          </w:tcPr>
          <w:p w:rsidR="00974489" w:rsidRPr="00A57A1D" w:rsidRDefault="00974489" w:rsidP="00A57A1D">
            <w:pPr>
              <w:spacing w:after="0"/>
              <w:jc w:val="center"/>
              <w:rPr>
                <w:rFonts w:eastAsia="Times New Roman"/>
                <w:color w:val="000000"/>
                <w:sz w:val="18"/>
                <w:szCs w:val="18"/>
                <w:lang w:val="en-US"/>
              </w:rPr>
            </w:pPr>
            <w:r w:rsidRPr="00A57A1D">
              <w:rPr>
                <w:rFonts w:eastAsia="Times New Roman"/>
                <w:color w:val="000000"/>
                <w:sz w:val="18"/>
                <w:szCs w:val="18"/>
                <w:lang w:val="en-US"/>
              </w:rPr>
              <w:t>0</w:t>
            </w:r>
          </w:p>
        </w:tc>
        <w:tc>
          <w:tcPr>
            <w:tcW w:w="394" w:type="pct"/>
            <w:tcBorders>
              <w:top w:val="nil"/>
              <w:left w:val="nil"/>
              <w:bottom w:val="single" w:sz="4" w:space="0" w:color="auto"/>
              <w:right w:val="single" w:sz="4" w:space="0" w:color="auto"/>
            </w:tcBorders>
            <w:shd w:val="clear" w:color="auto" w:fill="auto"/>
            <w:noWrap/>
            <w:vAlign w:val="bottom"/>
            <w:hideMark/>
          </w:tcPr>
          <w:p w:rsidR="00974489" w:rsidRPr="00A57A1D" w:rsidRDefault="00974489" w:rsidP="00A57A1D">
            <w:pPr>
              <w:spacing w:after="0"/>
              <w:jc w:val="center"/>
              <w:rPr>
                <w:rFonts w:eastAsia="Times New Roman"/>
                <w:b/>
                <w:bCs/>
                <w:color w:val="000000"/>
                <w:sz w:val="18"/>
                <w:szCs w:val="18"/>
                <w:lang w:val="en-US"/>
              </w:rPr>
            </w:pPr>
            <w:r w:rsidRPr="00A57A1D">
              <w:rPr>
                <w:rFonts w:eastAsia="Times New Roman"/>
                <w:b/>
                <w:bCs/>
                <w:color w:val="000000"/>
                <w:sz w:val="18"/>
                <w:szCs w:val="18"/>
                <w:lang w:val="en-US"/>
              </w:rPr>
              <w:t>14</w:t>
            </w:r>
          </w:p>
        </w:tc>
        <w:tc>
          <w:tcPr>
            <w:tcW w:w="431" w:type="pct"/>
            <w:tcBorders>
              <w:top w:val="nil"/>
              <w:left w:val="nil"/>
              <w:bottom w:val="single" w:sz="4" w:space="0" w:color="auto"/>
              <w:right w:val="single" w:sz="4" w:space="0" w:color="auto"/>
            </w:tcBorders>
            <w:shd w:val="clear" w:color="auto" w:fill="auto"/>
            <w:noWrap/>
            <w:vAlign w:val="bottom"/>
            <w:hideMark/>
          </w:tcPr>
          <w:p w:rsidR="00974489" w:rsidRPr="00A57A1D" w:rsidRDefault="00974489" w:rsidP="00A57A1D">
            <w:pPr>
              <w:spacing w:after="0"/>
              <w:jc w:val="center"/>
              <w:rPr>
                <w:rFonts w:eastAsia="Times New Roman"/>
                <w:b/>
                <w:bCs/>
                <w:color w:val="000000"/>
                <w:sz w:val="18"/>
                <w:szCs w:val="18"/>
                <w:lang w:val="en-US"/>
              </w:rPr>
            </w:pPr>
            <w:r w:rsidRPr="00A57A1D">
              <w:rPr>
                <w:rFonts w:eastAsia="Times New Roman"/>
                <w:b/>
                <w:bCs/>
                <w:color w:val="000000"/>
                <w:sz w:val="18"/>
                <w:szCs w:val="18"/>
                <w:lang w:val="en-US"/>
              </w:rPr>
              <w:t>26</w:t>
            </w:r>
          </w:p>
        </w:tc>
      </w:tr>
    </w:tbl>
    <w:p w:rsidR="00974489" w:rsidRPr="003871AF" w:rsidRDefault="00974489" w:rsidP="00974489">
      <w:pPr>
        <w:pStyle w:val="AHPRAbodybold"/>
        <w:rPr>
          <w:b w:val="0"/>
          <w:sz w:val="16"/>
          <w:szCs w:val="16"/>
        </w:rPr>
      </w:pPr>
    </w:p>
    <w:p w:rsidR="00A57A1D" w:rsidRDefault="00A57A1D" w:rsidP="00A57A1D">
      <w:pPr>
        <w:pStyle w:val="Caption"/>
      </w:pPr>
      <w:bookmarkStart w:id="34" w:name="_Toc453007270"/>
      <w:r>
        <w:t>Table PSY</w:t>
      </w:r>
      <w:r w:rsidR="003A7386">
        <w:fldChar w:fldCharType="begin"/>
      </w:r>
      <w:r w:rsidR="003A7386">
        <w:instrText xml:space="preserve"> SEQ Table \* ARABIC </w:instrText>
      </w:r>
      <w:r w:rsidR="003A7386">
        <w:fldChar w:fldCharType="separate"/>
      </w:r>
      <w:r>
        <w:rPr>
          <w:noProof/>
        </w:rPr>
        <w:t>11</w:t>
      </w:r>
      <w:r w:rsidR="003A7386">
        <w:rPr>
          <w:noProof/>
        </w:rPr>
        <w:fldChar w:fldCharType="end"/>
      </w:r>
      <w:r>
        <w:t xml:space="preserve">: </w:t>
      </w:r>
      <w:r w:rsidRPr="007F5314">
        <w:t>Active monitoring cases at 30 June 2015, by state or territory (including NSW)</w:t>
      </w:r>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2668"/>
        <w:gridCol w:w="1633"/>
        <w:gridCol w:w="2809"/>
        <w:gridCol w:w="3521"/>
        <w:gridCol w:w="1471"/>
      </w:tblGrid>
      <w:tr w:rsidR="00974489" w:rsidRPr="00A57A1D" w:rsidTr="00A57A1D">
        <w:trPr>
          <w:trHeight w:val="320"/>
          <w:tblHeader/>
        </w:trPr>
        <w:tc>
          <w:tcPr>
            <w:tcW w:w="731" w:type="pct"/>
            <w:shd w:val="clear" w:color="DDEBF7" w:fill="DDEBF7"/>
            <w:noWrap/>
            <w:vAlign w:val="bottom"/>
            <w:hideMark/>
          </w:tcPr>
          <w:p w:rsidR="00974489" w:rsidRPr="00A57A1D" w:rsidRDefault="00974489" w:rsidP="00DE2F86">
            <w:pPr>
              <w:spacing w:after="0"/>
              <w:jc w:val="center"/>
              <w:rPr>
                <w:rFonts w:eastAsia="Times New Roman"/>
                <w:b/>
                <w:bCs/>
                <w:color w:val="000000"/>
                <w:sz w:val="18"/>
                <w:szCs w:val="16"/>
                <w:lang w:val="en-US"/>
              </w:rPr>
            </w:pPr>
            <w:r w:rsidRPr="00A57A1D">
              <w:rPr>
                <w:rFonts w:eastAsia="Times New Roman"/>
                <w:b/>
                <w:bCs/>
                <w:color w:val="000000"/>
                <w:sz w:val="18"/>
                <w:szCs w:val="16"/>
                <w:lang w:val="en-US"/>
              </w:rPr>
              <w:t>Profession</w:t>
            </w:r>
          </w:p>
        </w:tc>
        <w:tc>
          <w:tcPr>
            <w:tcW w:w="941" w:type="pct"/>
            <w:shd w:val="clear" w:color="DDEBF7" w:fill="DDEBF7"/>
            <w:vAlign w:val="bottom"/>
            <w:hideMark/>
          </w:tcPr>
          <w:p w:rsidR="00974489" w:rsidRPr="00A57A1D" w:rsidRDefault="00974489" w:rsidP="00DE2F86">
            <w:pPr>
              <w:spacing w:after="0"/>
              <w:jc w:val="center"/>
              <w:rPr>
                <w:rFonts w:eastAsia="Times New Roman"/>
                <w:b/>
                <w:bCs/>
                <w:color w:val="000000"/>
                <w:sz w:val="18"/>
                <w:szCs w:val="16"/>
                <w:lang w:val="en-US"/>
              </w:rPr>
            </w:pPr>
            <w:r w:rsidRPr="00A57A1D">
              <w:rPr>
                <w:rFonts w:eastAsia="Times New Roman"/>
                <w:b/>
                <w:bCs/>
                <w:color w:val="000000"/>
                <w:sz w:val="18"/>
                <w:szCs w:val="16"/>
                <w:lang w:val="en-US"/>
              </w:rPr>
              <w:t>Conduct</w:t>
            </w:r>
          </w:p>
        </w:tc>
        <w:tc>
          <w:tcPr>
            <w:tcW w:w="576" w:type="pct"/>
            <w:shd w:val="clear" w:color="DDEBF7" w:fill="DDEBF7"/>
            <w:vAlign w:val="bottom"/>
            <w:hideMark/>
          </w:tcPr>
          <w:p w:rsidR="00974489" w:rsidRPr="00A57A1D" w:rsidRDefault="00974489" w:rsidP="00DE2F86">
            <w:pPr>
              <w:spacing w:after="0"/>
              <w:jc w:val="center"/>
              <w:rPr>
                <w:rFonts w:eastAsia="Times New Roman"/>
                <w:b/>
                <w:bCs/>
                <w:color w:val="000000"/>
                <w:sz w:val="18"/>
                <w:szCs w:val="16"/>
                <w:lang w:val="en-US"/>
              </w:rPr>
            </w:pPr>
            <w:r w:rsidRPr="00A57A1D">
              <w:rPr>
                <w:rFonts w:eastAsia="Times New Roman"/>
                <w:b/>
                <w:bCs/>
                <w:color w:val="000000"/>
                <w:sz w:val="18"/>
                <w:szCs w:val="16"/>
                <w:lang w:val="en-US"/>
              </w:rPr>
              <w:t>Health</w:t>
            </w:r>
          </w:p>
        </w:tc>
        <w:tc>
          <w:tcPr>
            <w:tcW w:w="991" w:type="pct"/>
            <w:shd w:val="clear" w:color="DDEBF7" w:fill="DDEBF7"/>
            <w:vAlign w:val="bottom"/>
            <w:hideMark/>
          </w:tcPr>
          <w:p w:rsidR="00974489" w:rsidRPr="00A57A1D" w:rsidRDefault="00974489" w:rsidP="00DE2F86">
            <w:pPr>
              <w:spacing w:after="0"/>
              <w:jc w:val="center"/>
              <w:rPr>
                <w:rFonts w:eastAsia="Times New Roman"/>
                <w:b/>
                <w:bCs/>
                <w:color w:val="000000"/>
                <w:sz w:val="18"/>
                <w:szCs w:val="16"/>
                <w:lang w:val="en-US"/>
              </w:rPr>
            </w:pPr>
            <w:r w:rsidRPr="00A57A1D">
              <w:rPr>
                <w:rFonts w:eastAsia="Times New Roman"/>
                <w:b/>
                <w:bCs/>
                <w:color w:val="000000"/>
                <w:sz w:val="18"/>
                <w:szCs w:val="16"/>
                <w:lang w:val="en-US"/>
              </w:rPr>
              <w:t>Performance</w:t>
            </w:r>
          </w:p>
        </w:tc>
        <w:tc>
          <w:tcPr>
            <w:tcW w:w="1242" w:type="pct"/>
            <w:shd w:val="clear" w:color="DDEBF7" w:fill="DDEBF7"/>
            <w:vAlign w:val="bottom"/>
            <w:hideMark/>
          </w:tcPr>
          <w:p w:rsidR="00974489" w:rsidRPr="00A57A1D" w:rsidRDefault="00974489" w:rsidP="00DE2F86">
            <w:pPr>
              <w:spacing w:after="0"/>
              <w:jc w:val="center"/>
              <w:rPr>
                <w:rFonts w:eastAsia="Times New Roman"/>
                <w:b/>
                <w:bCs/>
                <w:color w:val="000000"/>
                <w:sz w:val="18"/>
                <w:szCs w:val="16"/>
                <w:lang w:val="en-US"/>
              </w:rPr>
            </w:pPr>
            <w:r w:rsidRPr="00A57A1D">
              <w:rPr>
                <w:rFonts w:eastAsia="Times New Roman"/>
                <w:b/>
                <w:bCs/>
                <w:color w:val="000000"/>
                <w:sz w:val="18"/>
                <w:szCs w:val="16"/>
                <w:lang w:val="en-US"/>
              </w:rPr>
              <w:t>Suitability/</w:t>
            </w:r>
            <w:r w:rsidR="00A57A1D" w:rsidRPr="00A57A1D">
              <w:rPr>
                <w:rFonts w:eastAsia="Times New Roman"/>
                <w:b/>
                <w:bCs/>
                <w:color w:val="000000"/>
                <w:sz w:val="18"/>
                <w:szCs w:val="16"/>
                <w:lang w:val="en-US"/>
              </w:rPr>
              <w:t>eligibility</w:t>
            </w:r>
            <w:r w:rsidR="00A57A1D" w:rsidRPr="00A57A1D">
              <w:rPr>
                <w:rStyle w:val="FootnoteReference"/>
                <w:rFonts w:eastAsia="Times New Roman"/>
                <w:b/>
                <w:bCs/>
                <w:color w:val="000000"/>
                <w:sz w:val="18"/>
                <w:szCs w:val="16"/>
                <w:lang w:val="en-US"/>
              </w:rPr>
              <w:footnoteReference w:id="2"/>
            </w:r>
          </w:p>
        </w:tc>
        <w:tc>
          <w:tcPr>
            <w:tcW w:w="519" w:type="pct"/>
            <w:shd w:val="clear" w:color="DDEBF7" w:fill="DDEBF7"/>
            <w:vAlign w:val="bottom"/>
            <w:hideMark/>
          </w:tcPr>
          <w:p w:rsidR="00974489" w:rsidRPr="00A57A1D" w:rsidRDefault="00974489" w:rsidP="00DE2F86">
            <w:pPr>
              <w:spacing w:after="0"/>
              <w:jc w:val="center"/>
              <w:rPr>
                <w:rFonts w:eastAsia="Times New Roman"/>
                <w:b/>
                <w:bCs/>
                <w:color w:val="000000"/>
                <w:sz w:val="18"/>
                <w:szCs w:val="16"/>
                <w:lang w:val="en-US"/>
              </w:rPr>
            </w:pPr>
            <w:r w:rsidRPr="00A57A1D">
              <w:rPr>
                <w:rFonts w:eastAsia="Times New Roman"/>
                <w:b/>
                <w:bCs/>
                <w:color w:val="000000"/>
                <w:sz w:val="18"/>
                <w:szCs w:val="16"/>
                <w:lang w:val="en-US"/>
              </w:rPr>
              <w:t>Total 2014/15</w:t>
            </w:r>
          </w:p>
        </w:tc>
      </w:tr>
      <w:tr w:rsidR="00974489" w:rsidRPr="00A57A1D" w:rsidTr="00A57A1D">
        <w:trPr>
          <w:trHeight w:val="300"/>
        </w:trPr>
        <w:tc>
          <w:tcPr>
            <w:tcW w:w="731" w:type="pct"/>
            <w:shd w:val="clear" w:color="auto" w:fill="auto"/>
            <w:noWrap/>
            <w:vAlign w:val="bottom"/>
            <w:hideMark/>
          </w:tcPr>
          <w:p w:rsidR="00974489" w:rsidRPr="00A57A1D" w:rsidRDefault="00974489" w:rsidP="00DE2F86">
            <w:pPr>
              <w:spacing w:after="0"/>
              <w:rPr>
                <w:rFonts w:eastAsia="Times New Roman"/>
                <w:color w:val="000000"/>
                <w:sz w:val="18"/>
                <w:szCs w:val="16"/>
                <w:lang w:val="en-US"/>
              </w:rPr>
            </w:pPr>
            <w:r w:rsidRPr="00A57A1D">
              <w:rPr>
                <w:rFonts w:eastAsia="Times New Roman"/>
                <w:color w:val="000000"/>
                <w:sz w:val="18"/>
                <w:szCs w:val="16"/>
                <w:lang w:val="en-US"/>
              </w:rPr>
              <w:t>Psychologist</w:t>
            </w:r>
          </w:p>
        </w:tc>
        <w:tc>
          <w:tcPr>
            <w:tcW w:w="941" w:type="pct"/>
            <w:shd w:val="clear" w:color="auto" w:fill="auto"/>
            <w:noWrap/>
            <w:vAlign w:val="bottom"/>
            <w:hideMark/>
          </w:tcPr>
          <w:p w:rsidR="00974489" w:rsidRPr="00A57A1D" w:rsidRDefault="00974489" w:rsidP="00DE2F86">
            <w:pPr>
              <w:spacing w:after="0"/>
              <w:jc w:val="center"/>
              <w:rPr>
                <w:rFonts w:eastAsia="Times New Roman"/>
                <w:color w:val="000000"/>
                <w:sz w:val="18"/>
                <w:szCs w:val="16"/>
                <w:lang w:val="en-US"/>
              </w:rPr>
            </w:pPr>
            <w:r w:rsidRPr="00A57A1D">
              <w:rPr>
                <w:rFonts w:eastAsia="Times New Roman"/>
                <w:color w:val="000000"/>
                <w:sz w:val="18"/>
                <w:szCs w:val="16"/>
                <w:lang w:val="en-US"/>
              </w:rPr>
              <w:t>49</w:t>
            </w:r>
          </w:p>
        </w:tc>
        <w:tc>
          <w:tcPr>
            <w:tcW w:w="576" w:type="pct"/>
            <w:shd w:val="clear" w:color="auto" w:fill="auto"/>
            <w:noWrap/>
            <w:vAlign w:val="bottom"/>
            <w:hideMark/>
          </w:tcPr>
          <w:p w:rsidR="00974489" w:rsidRPr="00A57A1D" w:rsidRDefault="00974489" w:rsidP="00DE2F86">
            <w:pPr>
              <w:spacing w:after="0"/>
              <w:jc w:val="center"/>
              <w:rPr>
                <w:rFonts w:eastAsia="Times New Roman"/>
                <w:color w:val="000000"/>
                <w:sz w:val="18"/>
                <w:szCs w:val="16"/>
                <w:lang w:val="en-US"/>
              </w:rPr>
            </w:pPr>
            <w:r w:rsidRPr="00A57A1D">
              <w:rPr>
                <w:rFonts w:eastAsia="Times New Roman"/>
                <w:color w:val="000000"/>
                <w:sz w:val="18"/>
                <w:szCs w:val="16"/>
                <w:lang w:val="en-US"/>
              </w:rPr>
              <w:t>40</w:t>
            </w:r>
          </w:p>
        </w:tc>
        <w:tc>
          <w:tcPr>
            <w:tcW w:w="991" w:type="pct"/>
            <w:shd w:val="clear" w:color="auto" w:fill="auto"/>
            <w:noWrap/>
            <w:vAlign w:val="bottom"/>
            <w:hideMark/>
          </w:tcPr>
          <w:p w:rsidR="00974489" w:rsidRPr="00A57A1D" w:rsidRDefault="00974489" w:rsidP="00DE2F86">
            <w:pPr>
              <w:spacing w:after="0"/>
              <w:jc w:val="center"/>
              <w:rPr>
                <w:rFonts w:eastAsia="Times New Roman"/>
                <w:color w:val="000000"/>
                <w:sz w:val="18"/>
                <w:szCs w:val="16"/>
                <w:lang w:val="en-US"/>
              </w:rPr>
            </w:pPr>
            <w:r w:rsidRPr="00A57A1D">
              <w:rPr>
                <w:rFonts w:eastAsia="Times New Roman"/>
                <w:color w:val="000000"/>
                <w:sz w:val="18"/>
                <w:szCs w:val="16"/>
                <w:lang w:val="en-US"/>
              </w:rPr>
              <w:t>27</w:t>
            </w:r>
          </w:p>
        </w:tc>
        <w:tc>
          <w:tcPr>
            <w:tcW w:w="1242" w:type="pct"/>
            <w:shd w:val="clear" w:color="auto" w:fill="auto"/>
            <w:noWrap/>
            <w:vAlign w:val="bottom"/>
            <w:hideMark/>
          </w:tcPr>
          <w:p w:rsidR="00974489" w:rsidRPr="00A57A1D" w:rsidRDefault="00974489" w:rsidP="00DE2F86">
            <w:pPr>
              <w:spacing w:after="0"/>
              <w:jc w:val="center"/>
              <w:rPr>
                <w:rFonts w:eastAsia="Times New Roman"/>
                <w:color w:val="000000"/>
                <w:sz w:val="18"/>
                <w:szCs w:val="16"/>
                <w:lang w:val="en-US"/>
              </w:rPr>
            </w:pPr>
            <w:r w:rsidRPr="00A57A1D">
              <w:rPr>
                <w:rFonts w:eastAsia="Times New Roman"/>
                <w:color w:val="000000"/>
                <w:sz w:val="18"/>
                <w:szCs w:val="16"/>
                <w:lang w:val="en-US"/>
              </w:rPr>
              <w:t>61</w:t>
            </w:r>
          </w:p>
        </w:tc>
        <w:tc>
          <w:tcPr>
            <w:tcW w:w="519" w:type="pct"/>
            <w:shd w:val="clear" w:color="auto" w:fill="auto"/>
            <w:noWrap/>
            <w:vAlign w:val="bottom"/>
            <w:hideMark/>
          </w:tcPr>
          <w:p w:rsidR="00974489" w:rsidRPr="00A57A1D" w:rsidRDefault="00974489" w:rsidP="00DE2F86">
            <w:pPr>
              <w:spacing w:after="0"/>
              <w:jc w:val="center"/>
              <w:rPr>
                <w:rFonts w:eastAsia="Times New Roman"/>
                <w:b/>
                <w:bCs/>
                <w:color w:val="000000"/>
                <w:sz w:val="18"/>
                <w:szCs w:val="16"/>
                <w:lang w:val="en-US"/>
              </w:rPr>
            </w:pPr>
            <w:r w:rsidRPr="00A57A1D">
              <w:rPr>
                <w:rFonts w:eastAsia="Times New Roman"/>
                <w:b/>
                <w:bCs/>
                <w:color w:val="000000"/>
                <w:sz w:val="18"/>
                <w:szCs w:val="16"/>
                <w:lang w:val="en-US"/>
              </w:rPr>
              <w:t>177</w:t>
            </w:r>
          </w:p>
        </w:tc>
      </w:tr>
    </w:tbl>
    <w:p w:rsidR="00737CF2" w:rsidRDefault="00737CF2" w:rsidP="00974489">
      <w:pPr>
        <w:spacing w:line="276" w:lineRule="auto"/>
        <w:rPr>
          <w:b/>
          <w:color w:val="007DC3"/>
          <w:sz w:val="20"/>
        </w:rPr>
        <w:sectPr w:rsidR="00737CF2" w:rsidSect="00A57A1D">
          <w:pgSz w:w="16838" w:h="11906" w:orient="landscape"/>
          <w:pgMar w:top="1440" w:right="1440" w:bottom="1440" w:left="1440" w:header="708" w:footer="708" w:gutter="0"/>
          <w:cols w:space="708"/>
          <w:docGrid w:linePitch="360"/>
        </w:sectPr>
      </w:pPr>
    </w:p>
    <w:p w:rsidR="00974489" w:rsidRPr="000901D6" w:rsidRDefault="00974489" w:rsidP="00737CF2">
      <w:pPr>
        <w:pStyle w:val="Heading3"/>
      </w:pPr>
      <w:bookmarkStart w:id="35" w:name="_Toc453007458"/>
      <w:r w:rsidRPr="000901D6">
        <w:t>Keeping the public safe: monitoring</w:t>
      </w:r>
      <w:bookmarkEnd w:id="35"/>
    </w:p>
    <w:p w:rsidR="00974489" w:rsidRPr="00B72CE4" w:rsidRDefault="00974489" w:rsidP="00974489">
      <w:pPr>
        <w:spacing w:after="0"/>
        <w:rPr>
          <w:noProof/>
          <w:sz w:val="20"/>
          <w:szCs w:val="26"/>
        </w:rPr>
      </w:pPr>
      <w:r w:rsidRPr="00B72CE4">
        <w:rPr>
          <w:noProof/>
          <w:sz w:val="20"/>
          <w:szCs w:val="26"/>
        </w:rPr>
        <w:t>Health practitioners and students may have restrictions placed on their registration for a range of reasons including as a result of a notification, the assessment of an application for registration or a renewal of registration</w:t>
      </w:r>
      <w:r>
        <w:rPr>
          <w:noProof/>
          <w:sz w:val="20"/>
          <w:szCs w:val="26"/>
        </w:rPr>
        <w:t>, or after an appeal lodged with a tribunal. Types of restrictions being monitored include:</w:t>
      </w:r>
      <w:r w:rsidRPr="00B72CE4">
        <w:rPr>
          <w:noProof/>
          <w:sz w:val="20"/>
          <w:szCs w:val="26"/>
        </w:rPr>
        <w:t xml:space="preserve"> </w:t>
      </w:r>
    </w:p>
    <w:p w:rsidR="00974489" w:rsidRPr="00B72CE4" w:rsidRDefault="00974489" w:rsidP="00974489">
      <w:pPr>
        <w:spacing w:after="0"/>
        <w:rPr>
          <w:noProof/>
          <w:sz w:val="20"/>
          <w:szCs w:val="26"/>
        </w:rPr>
      </w:pPr>
    </w:p>
    <w:p w:rsidR="00974489" w:rsidRPr="00B72CE4" w:rsidRDefault="00974489" w:rsidP="00974489">
      <w:pPr>
        <w:spacing w:after="0"/>
        <w:rPr>
          <w:noProof/>
          <w:sz w:val="20"/>
          <w:szCs w:val="26"/>
        </w:rPr>
      </w:pPr>
      <w:r w:rsidRPr="00B72CE4">
        <w:rPr>
          <w:noProof/>
          <w:sz w:val="20"/>
          <w:szCs w:val="26"/>
        </w:rPr>
        <w:t>Types of restrictions being monitored include:</w:t>
      </w:r>
    </w:p>
    <w:p w:rsidR="00974489" w:rsidRPr="00B72CE4" w:rsidRDefault="00974489" w:rsidP="00974489">
      <w:pPr>
        <w:spacing w:after="0"/>
        <w:rPr>
          <w:noProof/>
          <w:sz w:val="20"/>
          <w:szCs w:val="32"/>
        </w:rPr>
      </w:pPr>
    </w:p>
    <w:p w:rsidR="00974489" w:rsidRPr="00B72CE4" w:rsidRDefault="00974489" w:rsidP="00974489">
      <w:pPr>
        <w:spacing w:after="193"/>
        <w:rPr>
          <w:noProof/>
          <w:sz w:val="20"/>
          <w:szCs w:val="32"/>
        </w:rPr>
      </w:pPr>
      <w:r w:rsidRPr="00B72CE4">
        <w:rPr>
          <w:b/>
          <w:bCs/>
          <w:noProof/>
          <w:sz w:val="20"/>
          <w:szCs w:val="26"/>
        </w:rPr>
        <w:t xml:space="preserve">Drug and alcohol screening </w:t>
      </w:r>
      <w:r w:rsidRPr="00B72CE4">
        <w:rPr>
          <w:noProof/>
          <w:sz w:val="20"/>
          <w:szCs w:val="26"/>
        </w:rPr>
        <w:t>– requirements to provide biological samples for analysis for the presence of specified drugs and/or alcohol.</w:t>
      </w:r>
    </w:p>
    <w:p w:rsidR="00974489" w:rsidRPr="00B72CE4" w:rsidRDefault="00974489" w:rsidP="00974489">
      <w:pPr>
        <w:spacing w:after="193"/>
        <w:rPr>
          <w:noProof/>
          <w:sz w:val="20"/>
          <w:szCs w:val="32"/>
        </w:rPr>
      </w:pPr>
      <w:r w:rsidRPr="00B72CE4">
        <w:rPr>
          <w:b/>
          <w:bCs/>
          <w:noProof/>
          <w:sz w:val="20"/>
          <w:szCs w:val="26"/>
        </w:rPr>
        <w:t xml:space="preserve">Health </w:t>
      </w:r>
      <w:r w:rsidRPr="00B72CE4">
        <w:rPr>
          <w:noProof/>
          <w:sz w:val="20"/>
          <w:szCs w:val="26"/>
        </w:rPr>
        <w:t>– requirements to attend treating health practitioner(s) for the management of identified health issues (including physical and psychological/psychiatric issues).</w:t>
      </w:r>
    </w:p>
    <w:p w:rsidR="00974489" w:rsidRPr="00B72CE4" w:rsidRDefault="00974489" w:rsidP="00974489">
      <w:pPr>
        <w:spacing w:after="193"/>
        <w:rPr>
          <w:noProof/>
          <w:sz w:val="20"/>
          <w:szCs w:val="32"/>
        </w:rPr>
      </w:pPr>
      <w:r w:rsidRPr="00B72CE4">
        <w:rPr>
          <w:b/>
          <w:bCs/>
          <w:noProof/>
          <w:sz w:val="20"/>
          <w:szCs w:val="26"/>
        </w:rPr>
        <w:t xml:space="preserve">Supervision </w:t>
      </w:r>
      <w:r w:rsidRPr="00B72CE4">
        <w:rPr>
          <w:noProof/>
          <w:sz w:val="20"/>
          <w:szCs w:val="26"/>
        </w:rPr>
        <w:t xml:space="preserve">– restrictions that </w:t>
      </w:r>
      <w:r>
        <w:rPr>
          <w:noProof/>
          <w:sz w:val="20"/>
          <w:szCs w:val="26"/>
        </w:rPr>
        <w:t xml:space="preserve">allow the practice of a </w:t>
      </w:r>
      <w:r w:rsidRPr="00B72CE4">
        <w:rPr>
          <w:noProof/>
          <w:sz w:val="20"/>
          <w:szCs w:val="26"/>
        </w:rPr>
        <w:t>health pr</w:t>
      </w:r>
      <w:r>
        <w:rPr>
          <w:noProof/>
          <w:sz w:val="20"/>
          <w:szCs w:val="26"/>
        </w:rPr>
        <w:t xml:space="preserve">offesion to occur only under the </w:t>
      </w:r>
      <w:r w:rsidRPr="00B72CE4">
        <w:rPr>
          <w:noProof/>
          <w:sz w:val="20"/>
          <w:szCs w:val="26"/>
        </w:rPr>
        <w:t>supervis</w:t>
      </w:r>
      <w:r>
        <w:rPr>
          <w:noProof/>
          <w:sz w:val="20"/>
          <w:szCs w:val="26"/>
        </w:rPr>
        <w:t>ion of</w:t>
      </w:r>
      <w:r w:rsidRPr="00B72CE4">
        <w:rPr>
          <w:noProof/>
          <w:sz w:val="20"/>
          <w:szCs w:val="26"/>
        </w:rPr>
        <w:t xml:space="preserve"> by another health practitioner (usually registered in the same profession). </w:t>
      </w:r>
    </w:p>
    <w:p w:rsidR="00974489" w:rsidRPr="00B72CE4" w:rsidRDefault="00974489" w:rsidP="00974489">
      <w:pPr>
        <w:spacing w:after="193"/>
        <w:rPr>
          <w:noProof/>
          <w:sz w:val="20"/>
          <w:szCs w:val="32"/>
        </w:rPr>
      </w:pPr>
      <w:r w:rsidRPr="00B72CE4">
        <w:rPr>
          <w:b/>
          <w:bCs/>
          <w:noProof/>
          <w:sz w:val="20"/>
          <w:szCs w:val="26"/>
        </w:rPr>
        <w:t xml:space="preserve">Mentoring </w:t>
      </w:r>
      <w:r w:rsidRPr="00B72CE4">
        <w:rPr>
          <w:noProof/>
          <w:sz w:val="20"/>
          <w:szCs w:val="26"/>
        </w:rPr>
        <w:t>– requirements to engage a mentor to provide assistance, support and guidance in addressing issues, behaviours or deficiencies identified in skills, knowledge, performance or conduct.</w:t>
      </w:r>
    </w:p>
    <w:p w:rsidR="00974489" w:rsidRPr="00B72CE4" w:rsidRDefault="00974489" w:rsidP="00974489">
      <w:pPr>
        <w:spacing w:after="193"/>
        <w:rPr>
          <w:noProof/>
          <w:sz w:val="20"/>
          <w:szCs w:val="32"/>
        </w:rPr>
      </w:pPr>
      <w:r w:rsidRPr="00B72CE4">
        <w:rPr>
          <w:b/>
          <w:bCs/>
          <w:noProof/>
          <w:sz w:val="20"/>
          <w:szCs w:val="26"/>
        </w:rPr>
        <w:t xml:space="preserve">Chaperoning </w:t>
      </w:r>
      <w:r w:rsidRPr="00B72CE4">
        <w:rPr>
          <w:noProof/>
          <w:sz w:val="20"/>
          <w:szCs w:val="26"/>
        </w:rPr>
        <w:t>– restrictions that allow patients generally, or specific groups of patients, to be treated or examined only when a suitable third party is present.</w:t>
      </w:r>
    </w:p>
    <w:p w:rsidR="00974489" w:rsidRPr="00B72CE4" w:rsidRDefault="00974489" w:rsidP="00974489">
      <w:pPr>
        <w:spacing w:after="193"/>
        <w:rPr>
          <w:noProof/>
          <w:sz w:val="20"/>
          <w:szCs w:val="32"/>
        </w:rPr>
      </w:pPr>
      <w:r w:rsidRPr="00B72CE4">
        <w:rPr>
          <w:b/>
          <w:bCs/>
          <w:noProof/>
          <w:sz w:val="20"/>
          <w:szCs w:val="26"/>
        </w:rPr>
        <w:t xml:space="preserve">Audit </w:t>
      </w:r>
      <w:r w:rsidRPr="00B72CE4">
        <w:rPr>
          <w:noProof/>
          <w:sz w:val="20"/>
          <w:szCs w:val="26"/>
        </w:rPr>
        <w:t>– requirements for a health practitioner to submit to an audit of their practice, which may include auditing records and/or the premises from which they practise.</w:t>
      </w:r>
    </w:p>
    <w:p w:rsidR="00974489" w:rsidRPr="00B72CE4" w:rsidRDefault="00974489" w:rsidP="00974489">
      <w:pPr>
        <w:spacing w:after="193"/>
        <w:rPr>
          <w:noProof/>
          <w:sz w:val="20"/>
          <w:szCs w:val="32"/>
        </w:rPr>
      </w:pPr>
      <w:r w:rsidRPr="00B72CE4">
        <w:rPr>
          <w:b/>
          <w:bCs/>
          <w:noProof/>
          <w:sz w:val="20"/>
          <w:szCs w:val="26"/>
        </w:rPr>
        <w:t xml:space="preserve">Assessment </w:t>
      </w:r>
      <w:r w:rsidRPr="00B72CE4">
        <w:rPr>
          <w:noProof/>
          <w:sz w:val="20"/>
          <w:szCs w:val="26"/>
        </w:rPr>
        <w:t>– requirements that a health practitioner or student submits to an assessment of their health, performance, knowledge, skill or competence to practise their profession.</w:t>
      </w:r>
    </w:p>
    <w:p w:rsidR="00974489" w:rsidRPr="00B72CE4" w:rsidRDefault="00974489" w:rsidP="00974489">
      <w:pPr>
        <w:spacing w:after="193"/>
        <w:rPr>
          <w:noProof/>
          <w:sz w:val="20"/>
          <w:szCs w:val="32"/>
        </w:rPr>
      </w:pPr>
      <w:r w:rsidRPr="00B72CE4">
        <w:rPr>
          <w:b/>
          <w:bCs/>
          <w:noProof/>
          <w:sz w:val="20"/>
          <w:szCs w:val="26"/>
        </w:rPr>
        <w:t xml:space="preserve">Practice and employment </w:t>
      </w:r>
      <w:r w:rsidRPr="00B72CE4">
        <w:rPr>
          <w:noProof/>
          <w:sz w:val="20"/>
          <w:szCs w:val="26"/>
        </w:rPr>
        <w:t>– requirements that a practitioner or student does, or refrains from doing, something in connection with their practice of their profession (for example, restrictions on loc</w:t>
      </w:r>
      <w:r>
        <w:rPr>
          <w:noProof/>
          <w:sz w:val="20"/>
          <w:szCs w:val="26"/>
        </w:rPr>
        <w:t>ation, hours or scope of practic</w:t>
      </w:r>
      <w:r w:rsidRPr="00B72CE4">
        <w:rPr>
          <w:noProof/>
          <w:sz w:val="20"/>
          <w:szCs w:val="26"/>
        </w:rPr>
        <w:t>e, or rights in respect of particular classes of medicines).</w:t>
      </w:r>
    </w:p>
    <w:p w:rsidR="00974489" w:rsidRPr="00B72CE4" w:rsidRDefault="00974489" w:rsidP="00974489">
      <w:pPr>
        <w:spacing w:after="193"/>
        <w:rPr>
          <w:noProof/>
          <w:sz w:val="20"/>
          <w:szCs w:val="26"/>
        </w:rPr>
      </w:pPr>
      <w:r>
        <w:rPr>
          <w:b/>
          <w:bCs/>
          <w:noProof/>
          <w:sz w:val="20"/>
          <w:szCs w:val="26"/>
        </w:rPr>
        <w:t>Education and up</w:t>
      </w:r>
      <w:r w:rsidRPr="00B72CE4">
        <w:rPr>
          <w:b/>
          <w:bCs/>
          <w:noProof/>
          <w:sz w:val="20"/>
          <w:szCs w:val="26"/>
        </w:rPr>
        <w:t xml:space="preserve">skilling </w:t>
      </w:r>
      <w:r w:rsidRPr="00B72CE4">
        <w:rPr>
          <w:noProof/>
          <w:sz w:val="20"/>
          <w:szCs w:val="26"/>
        </w:rPr>
        <w:t>– requirements to attend or complete a (def</w:t>
      </w:r>
      <w:r>
        <w:rPr>
          <w:noProof/>
          <w:sz w:val="20"/>
          <w:szCs w:val="26"/>
        </w:rPr>
        <w:t>ined) education, training or up</w:t>
      </w:r>
      <w:r w:rsidRPr="00B72CE4">
        <w:rPr>
          <w:noProof/>
          <w:sz w:val="20"/>
          <w:szCs w:val="26"/>
        </w:rPr>
        <w:t>skilling activity, including prescribed amounts of continuing professional development.</w:t>
      </w:r>
    </w:p>
    <w:p w:rsidR="00974489" w:rsidRDefault="00974489" w:rsidP="00974489">
      <w:pPr>
        <w:widowControl w:val="0"/>
        <w:autoSpaceDE w:val="0"/>
        <w:autoSpaceDN w:val="0"/>
        <w:adjustRightInd w:val="0"/>
        <w:spacing w:after="0"/>
        <w:rPr>
          <w:rFonts w:cs="Arial"/>
          <w:noProof/>
          <w:sz w:val="20"/>
          <w:szCs w:val="32"/>
        </w:rPr>
      </w:pPr>
      <w:r w:rsidRPr="00B72CE4">
        <w:rPr>
          <w:rFonts w:cs="Arial"/>
          <w:b/>
          <w:bCs/>
          <w:noProof/>
          <w:sz w:val="20"/>
          <w:szCs w:val="26"/>
        </w:rPr>
        <w:t xml:space="preserve">Character </w:t>
      </w:r>
      <w:r w:rsidRPr="00B72CE4">
        <w:rPr>
          <w:rFonts w:cs="Arial"/>
          <w:noProof/>
          <w:sz w:val="20"/>
          <w:szCs w:val="26"/>
        </w:rPr>
        <w:t>– requirements that a health practitioner or student remain of good character for a specified period of time (for example, that no further notifications are received regarding them).</w:t>
      </w:r>
    </w:p>
    <w:p w:rsidR="00974489" w:rsidRPr="00385F1D" w:rsidRDefault="00974489" w:rsidP="00974489">
      <w:pPr>
        <w:widowControl w:val="0"/>
        <w:autoSpaceDE w:val="0"/>
        <w:autoSpaceDN w:val="0"/>
        <w:adjustRightInd w:val="0"/>
        <w:spacing w:after="0"/>
        <w:rPr>
          <w:rFonts w:cs="Arial"/>
          <w:noProof/>
          <w:sz w:val="20"/>
          <w:szCs w:val="32"/>
        </w:rPr>
      </w:pPr>
    </w:p>
    <w:p w:rsidR="00974489" w:rsidRDefault="00974489" w:rsidP="00974489">
      <w:pPr>
        <w:rPr>
          <w:sz w:val="20"/>
        </w:rPr>
      </w:pPr>
      <w:r w:rsidRPr="00B72CE4">
        <w:rPr>
          <w:sz w:val="20"/>
        </w:rPr>
        <w:t>A health practitioner or student may simultaneously have restrictions of more than one type and/or category in place on their registration at any time.</w:t>
      </w:r>
    </w:p>
    <w:p w:rsidR="00974489" w:rsidRPr="000901D6" w:rsidRDefault="00974489" w:rsidP="00737CF2">
      <w:pPr>
        <w:pStyle w:val="Heading3"/>
      </w:pPr>
      <w:bookmarkStart w:id="36" w:name="_Toc453007459"/>
      <w:r w:rsidRPr="000901D6">
        <w:t>Statutory offences: advertising, practice and title protection</w:t>
      </w:r>
      <w:bookmarkEnd w:id="36"/>
    </w:p>
    <w:p w:rsidR="00974489" w:rsidRDefault="00974489" w:rsidP="00737CF2">
      <w:pPr>
        <w:pStyle w:val="AHPRAbody"/>
      </w:pPr>
      <w:r w:rsidRPr="000901D6">
        <w:t xml:space="preserve">Concerns raised about advertising, title and practice protection during the year were managed by AHPRA’s statutory compliance team. </w:t>
      </w:r>
    </w:p>
    <w:p w:rsidR="00974489" w:rsidRPr="000901D6" w:rsidRDefault="00974489" w:rsidP="00737CF2">
      <w:pPr>
        <w:pStyle w:val="AHPRAbody"/>
      </w:pPr>
      <w:r w:rsidRPr="005E63E8">
        <w:t xml:space="preserve">Concerns raised about advertising during the year </w:t>
      </w:r>
      <w:r>
        <w:t>are reported on page 55</w:t>
      </w:r>
      <w:r w:rsidRPr="005E63E8">
        <w:t xml:space="preserve"> of the 2014/15 </w:t>
      </w:r>
      <w:hyperlink r:id="rId15" w:history="1">
        <w:r w:rsidRPr="005E63E8">
          <w:rPr>
            <w:rStyle w:val="Hyperlink"/>
          </w:rPr>
          <w:t>annual report</w:t>
        </w:r>
      </w:hyperlink>
      <w:r w:rsidRPr="005E63E8">
        <w:t xml:space="preserve"> of AHPRA and the National Boards.</w:t>
      </w:r>
    </w:p>
    <w:p w:rsidR="00974489" w:rsidRPr="000901D6" w:rsidRDefault="00974489" w:rsidP="00737CF2">
      <w:pPr>
        <w:pStyle w:val="AHPRAbody"/>
      </w:pPr>
      <w:r w:rsidRPr="000901D6">
        <w:t>More detail about our approach to managing statutory offences is reported from page</w:t>
      </w:r>
      <w:r>
        <w:t xml:space="preserve"> 54</w:t>
      </w:r>
      <w:r w:rsidRPr="000901D6">
        <w:rPr>
          <w:color w:val="FF0000"/>
        </w:rPr>
        <w:t xml:space="preserve"> </w:t>
      </w:r>
      <w:r w:rsidRPr="000901D6">
        <w:t xml:space="preserve">of the 2014/15 </w:t>
      </w:r>
      <w:hyperlink r:id="rId16" w:history="1">
        <w:r w:rsidRPr="005E63E8">
          <w:rPr>
            <w:rStyle w:val="Hyperlink"/>
          </w:rPr>
          <w:t>annual report</w:t>
        </w:r>
      </w:hyperlink>
      <w:r w:rsidRPr="000901D6">
        <w:t xml:space="preserve"> of AHPRA and the National Boards.</w:t>
      </w:r>
    </w:p>
    <w:p w:rsidR="00974489" w:rsidRPr="000901D6" w:rsidRDefault="00974489" w:rsidP="00737CF2">
      <w:pPr>
        <w:pStyle w:val="Heading3"/>
      </w:pPr>
      <w:bookmarkStart w:id="37" w:name="_Toc453007460"/>
      <w:r w:rsidRPr="000901D6">
        <w:t>Criminal history checks</w:t>
      </w:r>
      <w:bookmarkEnd w:id="37"/>
    </w:p>
    <w:p w:rsidR="00974489" w:rsidRPr="000901D6" w:rsidRDefault="00974489" w:rsidP="00974489">
      <w:pPr>
        <w:spacing w:after="0"/>
        <w:rPr>
          <w:sz w:val="20"/>
        </w:rPr>
      </w:pPr>
      <w:r w:rsidRPr="000901D6">
        <w:rPr>
          <w:sz w:val="20"/>
        </w:rPr>
        <w:t>Under the National Law, applicants for initial registration must undergo criminal record checks. National Boards may also require criminal record checks at other times. Applicants seeking registration must disclose any criminal history information when they apply for registration, and practitioners renewing their registration are required to disclose if there has been a change to their criminal history status within the preceding 12 months.</w:t>
      </w:r>
    </w:p>
    <w:p w:rsidR="00974489" w:rsidRPr="000901D6" w:rsidRDefault="00974489" w:rsidP="00974489">
      <w:pPr>
        <w:spacing w:after="0"/>
        <w:rPr>
          <w:sz w:val="20"/>
        </w:rPr>
      </w:pPr>
    </w:p>
    <w:p w:rsidR="00974489" w:rsidRPr="000901D6" w:rsidRDefault="00974489" w:rsidP="00974489">
      <w:pPr>
        <w:spacing w:after="0"/>
        <w:rPr>
          <w:sz w:val="20"/>
        </w:rPr>
      </w:pPr>
      <w:r w:rsidRPr="000901D6">
        <w:rPr>
          <w:sz w:val="20"/>
        </w:rPr>
        <w:t>While a failure to disclose a criminal history by a registered health practitioner does not constitute an offence under the National Law, such a failure may constitute behaviour for which the Board may take health, conduct or performance action. The criminal record check is undertaken by an independent agency, which provides a criminal history report. AHPRA may also seek a report from a police commissioner or an entity in a jurisdiction outside Australia that has access to records about the criminal history of people in that jurisdiction. The criminal history reports are used as one part of assessing an applicant’s suitability to hold registration.</w:t>
      </w:r>
    </w:p>
    <w:p w:rsidR="00974489" w:rsidRPr="000901D6" w:rsidRDefault="00974489" w:rsidP="00974489">
      <w:pPr>
        <w:spacing w:after="0"/>
        <w:rPr>
          <w:sz w:val="20"/>
        </w:rPr>
      </w:pPr>
    </w:p>
    <w:p w:rsidR="00974489" w:rsidRPr="000901D6" w:rsidRDefault="00974489" w:rsidP="00737CF2">
      <w:pPr>
        <w:pStyle w:val="AHPRAbody"/>
      </w:pPr>
      <w:r w:rsidRPr="000901D6">
        <w:t>More detailed information about criminal record checks is published from page</w:t>
      </w:r>
      <w:r>
        <w:t xml:space="preserve"> 32</w:t>
      </w:r>
      <w:r w:rsidRPr="000901D6">
        <w:rPr>
          <w:color w:val="FF0000"/>
        </w:rPr>
        <w:t xml:space="preserve"> </w:t>
      </w:r>
      <w:r w:rsidRPr="000901D6">
        <w:t xml:space="preserve">of the 2014/15 </w:t>
      </w:r>
      <w:hyperlink r:id="rId17" w:history="1">
        <w:r w:rsidRPr="005E63E8">
          <w:rPr>
            <w:rStyle w:val="Hyperlink"/>
          </w:rPr>
          <w:t>annual report</w:t>
        </w:r>
      </w:hyperlink>
      <w:r w:rsidRPr="000901D6">
        <w:t xml:space="preserve"> of AHPRA and the National Boards.</w:t>
      </w:r>
    </w:p>
    <w:p w:rsidR="00974489" w:rsidRPr="000901D6" w:rsidRDefault="00974489" w:rsidP="00737CF2">
      <w:pPr>
        <w:pStyle w:val="Heading2"/>
      </w:pPr>
      <w:bookmarkStart w:id="38" w:name="_Toc453007461"/>
      <w:r w:rsidRPr="000901D6">
        <w:t>Working across the professions</w:t>
      </w:r>
      <w:bookmarkEnd w:id="38"/>
    </w:p>
    <w:p w:rsidR="00974489" w:rsidRPr="000901D6" w:rsidRDefault="00974489" w:rsidP="00974489">
      <w:pPr>
        <w:rPr>
          <w:rFonts w:ascii="DINOT-Light" w:eastAsiaTheme="minorHAnsi" w:hAnsi="DINOT-Light" w:cs="DINOT-Light"/>
          <w:color w:val="4D4D4F"/>
          <w:sz w:val="19"/>
          <w:szCs w:val="19"/>
          <w:lang w:val="en-US"/>
        </w:rPr>
      </w:pPr>
      <w:r w:rsidRPr="000901D6">
        <w:rPr>
          <w:sz w:val="20"/>
          <w:lang w:val="en-US"/>
        </w:rPr>
        <w:t>A key strength of the National Scheme is the regular interaction between National Boards. This has facilitated cross-profession approaches to common regulatory issues and supported joint consultation and collaboration.</w:t>
      </w:r>
    </w:p>
    <w:p w:rsidR="00974489" w:rsidRPr="000901D6" w:rsidRDefault="00974489" w:rsidP="00974489">
      <w:pPr>
        <w:rPr>
          <w:rFonts w:ascii="DINOT-Light" w:eastAsiaTheme="minorHAnsi" w:hAnsi="DINOT-Light" w:cs="DINOT-Light"/>
          <w:color w:val="4D4D4F"/>
          <w:sz w:val="19"/>
          <w:szCs w:val="19"/>
          <w:lang w:val="en-US"/>
        </w:rPr>
      </w:pPr>
      <w:r w:rsidRPr="000901D6">
        <w:rPr>
          <w:sz w:val="20"/>
          <w:lang w:val="en-US"/>
        </w:rPr>
        <w:t>While the National Scheme is a multi-profession scheme operating within a single statutory framework and with one supporting organisation (AHPRA), a range of regulatory approaches – which are tailored to professions with different risk profiles and professional characteristics – are being explored with National Boards.</w:t>
      </w:r>
    </w:p>
    <w:p w:rsidR="00974489" w:rsidRPr="000901D6" w:rsidRDefault="00974489" w:rsidP="00974489">
      <w:pPr>
        <w:rPr>
          <w:sz w:val="20"/>
          <w:lang w:val="en-US"/>
        </w:rPr>
      </w:pPr>
      <w:r w:rsidRPr="000901D6">
        <w:rPr>
          <w:sz w:val="20"/>
          <w:lang w:val="en-US"/>
        </w:rPr>
        <w:t>Policy development to address the objectives and guiding principles of the National Law is an important part of AHPRA’s support for National Boards, including development and review of registration standards, codes and guidelines, and the coordination of cross-profession policy projects such as a revised approach to international criminal history checks.</w:t>
      </w:r>
    </w:p>
    <w:p w:rsidR="00974489" w:rsidRPr="000901D6" w:rsidRDefault="00974489" w:rsidP="00737CF2">
      <w:pPr>
        <w:pStyle w:val="Heading3"/>
        <w:rPr>
          <w:lang w:val="en-US"/>
        </w:rPr>
      </w:pPr>
      <w:bookmarkStart w:id="39" w:name="_Toc453007462"/>
      <w:r w:rsidRPr="000901D6">
        <w:rPr>
          <w:lang w:val="en-US"/>
        </w:rPr>
        <w:t>Standards, codes and guidelines</w:t>
      </w:r>
      <w:bookmarkEnd w:id="39"/>
    </w:p>
    <w:p w:rsidR="00974489" w:rsidRPr="000901D6" w:rsidRDefault="00974489" w:rsidP="00974489">
      <w:pPr>
        <w:rPr>
          <w:sz w:val="20"/>
          <w:lang w:val="en-US"/>
        </w:rPr>
      </w:pPr>
      <w:r w:rsidRPr="000901D6">
        <w:rPr>
          <w:sz w:val="20"/>
          <w:lang w:val="en-US"/>
        </w:rPr>
        <w:t>The core registration standards (English language skills, professional indemnity insurance, criminal history, recency of practice and continuin</w:t>
      </w:r>
      <w:r>
        <w:rPr>
          <w:sz w:val="20"/>
          <w:lang w:val="en-US"/>
        </w:rPr>
        <w:t>g professional development</w:t>
      </w:r>
      <w:r w:rsidRPr="000901D6">
        <w:rPr>
          <w:sz w:val="20"/>
          <w:lang w:val="en-US"/>
        </w:rPr>
        <w:t xml:space="preserve">) required under the National Law, together with each Board’s code of conduct or equivalent, are the main way National Boards define the minimum </w:t>
      </w:r>
      <w:r w:rsidRPr="000901D6">
        <w:rPr>
          <w:i/>
          <w:iCs/>
          <w:sz w:val="20"/>
          <w:lang w:val="en-US"/>
        </w:rPr>
        <w:t xml:space="preserve">national </w:t>
      </w:r>
      <w:r w:rsidRPr="000901D6">
        <w:rPr>
          <w:sz w:val="20"/>
          <w:lang w:val="en-US"/>
        </w:rPr>
        <w:t>standards they expect of practitioners, regardless of where they practise in Australia.</w:t>
      </w:r>
    </w:p>
    <w:p w:rsidR="00974489" w:rsidRPr="000901D6" w:rsidRDefault="00974489" w:rsidP="00737CF2">
      <w:pPr>
        <w:pStyle w:val="Heading4"/>
      </w:pPr>
      <w:r w:rsidRPr="000901D6">
        <w:t>Five core registration standards for all 14 health professions regulated under the National Scheme</w:t>
      </w:r>
    </w:p>
    <w:p w:rsidR="00974489" w:rsidRPr="000901D6" w:rsidRDefault="00974489" w:rsidP="00974489">
      <w:pPr>
        <w:numPr>
          <w:ilvl w:val="0"/>
          <w:numId w:val="4"/>
        </w:numPr>
        <w:spacing w:after="0"/>
        <w:rPr>
          <w:sz w:val="20"/>
          <w:lang w:val="en-US"/>
        </w:rPr>
      </w:pPr>
      <w:r w:rsidRPr="000901D6">
        <w:rPr>
          <w:sz w:val="20"/>
          <w:lang w:val="en-US"/>
        </w:rPr>
        <w:t>Continuing professional development</w:t>
      </w:r>
    </w:p>
    <w:p w:rsidR="00974489" w:rsidRPr="000901D6" w:rsidRDefault="00974489" w:rsidP="00974489">
      <w:pPr>
        <w:numPr>
          <w:ilvl w:val="0"/>
          <w:numId w:val="4"/>
        </w:numPr>
        <w:spacing w:after="0"/>
        <w:rPr>
          <w:sz w:val="20"/>
          <w:lang w:val="en-US"/>
        </w:rPr>
      </w:pPr>
      <w:r w:rsidRPr="000901D6">
        <w:rPr>
          <w:sz w:val="20"/>
          <w:lang w:val="en-US"/>
        </w:rPr>
        <w:t xml:space="preserve">Criminal history </w:t>
      </w:r>
    </w:p>
    <w:p w:rsidR="00974489" w:rsidRPr="000901D6" w:rsidRDefault="00974489" w:rsidP="00974489">
      <w:pPr>
        <w:numPr>
          <w:ilvl w:val="0"/>
          <w:numId w:val="4"/>
        </w:numPr>
        <w:spacing w:after="0"/>
        <w:rPr>
          <w:sz w:val="20"/>
          <w:lang w:val="en-US"/>
        </w:rPr>
      </w:pPr>
      <w:r w:rsidRPr="000901D6">
        <w:rPr>
          <w:sz w:val="20"/>
          <w:lang w:val="en-US"/>
        </w:rPr>
        <w:t>English language skills</w:t>
      </w:r>
    </w:p>
    <w:p w:rsidR="00974489" w:rsidRPr="000901D6" w:rsidRDefault="00974489" w:rsidP="00974489">
      <w:pPr>
        <w:numPr>
          <w:ilvl w:val="0"/>
          <w:numId w:val="4"/>
        </w:numPr>
        <w:spacing w:after="0"/>
        <w:rPr>
          <w:sz w:val="20"/>
          <w:lang w:val="en-US"/>
        </w:rPr>
      </w:pPr>
      <w:r w:rsidRPr="000901D6">
        <w:rPr>
          <w:sz w:val="20"/>
          <w:lang w:val="en-US"/>
        </w:rPr>
        <w:t>Professional indemnity insurance arrangements</w:t>
      </w:r>
    </w:p>
    <w:p w:rsidR="00974489" w:rsidRPr="000901D6" w:rsidRDefault="00974489" w:rsidP="00974489">
      <w:pPr>
        <w:numPr>
          <w:ilvl w:val="0"/>
          <w:numId w:val="4"/>
        </w:numPr>
        <w:spacing w:after="0"/>
        <w:rPr>
          <w:sz w:val="20"/>
          <w:lang w:val="en-US"/>
        </w:rPr>
      </w:pPr>
      <w:r w:rsidRPr="000901D6">
        <w:rPr>
          <w:sz w:val="20"/>
          <w:lang w:val="en-US"/>
        </w:rPr>
        <w:t>Recency of practice.</w:t>
      </w:r>
    </w:p>
    <w:p w:rsidR="00974489" w:rsidRPr="000901D6" w:rsidRDefault="00974489" w:rsidP="00974489">
      <w:pPr>
        <w:widowControl w:val="0"/>
        <w:autoSpaceDE w:val="0"/>
        <w:autoSpaceDN w:val="0"/>
        <w:adjustRightInd w:val="0"/>
        <w:spacing w:after="0"/>
        <w:rPr>
          <w:rFonts w:ascii="DINOT-Light" w:eastAsiaTheme="minorHAnsi" w:hAnsi="DINOT-Light" w:cs="DINOT-Light"/>
          <w:color w:val="4D4D4F"/>
          <w:sz w:val="19"/>
          <w:szCs w:val="19"/>
          <w:lang w:val="en-US"/>
        </w:rPr>
      </w:pPr>
    </w:p>
    <w:p w:rsidR="00974489" w:rsidRPr="000901D6" w:rsidRDefault="00974489" w:rsidP="00974489">
      <w:pPr>
        <w:rPr>
          <w:sz w:val="20"/>
          <w:szCs w:val="20"/>
          <w:lang w:val="en-US"/>
        </w:rPr>
      </w:pPr>
      <w:r w:rsidRPr="000901D6">
        <w:rPr>
          <w:sz w:val="20"/>
          <w:lang w:val="en-US"/>
        </w:rPr>
        <w:t xml:space="preserve">The standards bring consistency across geographic borders; make the Boards’ expectations clear to the professions and the community; and inform Board decision-making when concerns are raised about practitioners’ conduct, health or performance. National Boards hold practitioners to account against </w:t>
      </w:r>
      <w:r w:rsidRPr="000901D6">
        <w:rPr>
          <w:sz w:val="20"/>
          <w:szCs w:val="20"/>
          <w:lang w:val="en-US"/>
        </w:rPr>
        <w:t>these standards in disciplinary processes.</w:t>
      </w:r>
    </w:p>
    <w:p w:rsidR="00974489" w:rsidRDefault="00974489" w:rsidP="00974489">
      <w:pPr>
        <w:rPr>
          <w:sz w:val="20"/>
          <w:lang w:val="en-US"/>
        </w:rPr>
      </w:pPr>
      <w:r w:rsidRPr="000901D6">
        <w:rPr>
          <w:sz w:val="20"/>
          <w:lang w:val="en-US"/>
        </w:rPr>
        <w:t>National Boards have developed common guidelines for advertising regulated health services and for mandatory notifications. Most National Boards have a similar code of conduct. This commonality facilitates the National Law’s guiding principles of efficiency, effectiveness and fairness. It also helps consumers to understand what they can expect from their health practitioners.</w:t>
      </w:r>
    </w:p>
    <w:p w:rsidR="00974489" w:rsidRPr="00B72CE4" w:rsidRDefault="00974489" w:rsidP="00974489">
      <w:pPr>
        <w:rPr>
          <w:sz w:val="20"/>
          <w:szCs w:val="20"/>
          <w:lang w:val="en-US"/>
        </w:rPr>
      </w:pPr>
      <w:r w:rsidRPr="00B72CE4">
        <w:rPr>
          <w:sz w:val="20"/>
          <w:lang w:val="en-US"/>
        </w:rPr>
        <w:t>The standards</w:t>
      </w:r>
      <w:r>
        <w:rPr>
          <w:sz w:val="20"/>
          <w:lang w:val="en-US"/>
        </w:rPr>
        <w:t>, together with the code of conduct and guidelines developed by National Boards to provide guidance to the professions,</w:t>
      </w:r>
      <w:r w:rsidRPr="00B72CE4">
        <w:rPr>
          <w:sz w:val="20"/>
          <w:lang w:val="en-US"/>
        </w:rPr>
        <w:t xml:space="preserve"> bring consistency across geographic borders; make the Boards’ expectations clear to the professions and the community; and inform Board decision-making when concerns are raised about practitioners’ conduct, health or performance. </w:t>
      </w:r>
      <w:r>
        <w:rPr>
          <w:sz w:val="20"/>
          <w:lang w:val="en-US"/>
        </w:rPr>
        <w:t xml:space="preserve">An approved registration standard, code or guideline may be used </w:t>
      </w:r>
      <w:r>
        <w:rPr>
          <w:sz w:val="20"/>
          <w:szCs w:val="20"/>
          <w:lang w:val="en-US"/>
        </w:rPr>
        <w:t>in disciplinary proceedings as evidence of what constitutes professional conduct for the profession</w:t>
      </w:r>
      <w:r w:rsidRPr="00B72CE4">
        <w:rPr>
          <w:sz w:val="20"/>
          <w:szCs w:val="20"/>
          <w:lang w:val="en-US"/>
        </w:rPr>
        <w:t>.</w:t>
      </w:r>
    </w:p>
    <w:p w:rsidR="00974489" w:rsidRPr="00C87B44" w:rsidRDefault="00974489" w:rsidP="00737CF2">
      <w:pPr>
        <w:pStyle w:val="Heading3"/>
      </w:pPr>
      <w:bookmarkStart w:id="40" w:name="_Toc453007463"/>
      <w:r w:rsidRPr="00C87B44">
        <w:t>Our work on professional standards in 2014/15</w:t>
      </w:r>
      <w:bookmarkEnd w:id="40"/>
    </w:p>
    <w:p w:rsidR="00974489" w:rsidRPr="000901D6" w:rsidRDefault="00974489" w:rsidP="00974489">
      <w:pPr>
        <w:spacing w:before="120" w:after="120"/>
        <w:rPr>
          <w:rFonts w:eastAsia="Times New Roman" w:cs="Arial"/>
          <w:sz w:val="20"/>
          <w:szCs w:val="20"/>
          <w:lang w:eastAsia="en-AU"/>
        </w:rPr>
      </w:pPr>
      <w:r w:rsidRPr="000901D6">
        <w:rPr>
          <w:rFonts w:eastAsia="Times New Roman" w:cs="Arial"/>
          <w:sz w:val="20"/>
          <w:szCs w:val="20"/>
          <w:lang w:eastAsia="en-AU"/>
        </w:rPr>
        <w:t>During 2014/15, there were 15 public consultations undertaken by National Boards on 17 registration standards and 13 guidelines.</w:t>
      </w:r>
    </w:p>
    <w:p w:rsidR="00974489" w:rsidRPr="000901D6" w:rsidRDefault="00974489" w:rsidP="00974489">
      <w:pPr>
        <w:spacing w:before="120" w:after="120"/>
        <w:rPr>
          <w:rFonts w:eastAsia="Times New Roman" w:cs="Arial"/>
          <w:sz w:val="20"/>
          <w:szCs w:val="20"/>
          <w:lang w:eastAsia="en-AU"/>
        </w:rPr>
      </w:pPr>
      <w:r w:rsidRPr="000901D6">
        <w:rPr>
          <w:rFonts w:eastAsia="Times New Roman" w:cs="Arial"/>
          <w:sz w:val="20"/>
          <w:szCs w:val="20"/>
          <w:lang w:eastAsia="en-AU"/>
        </w:rPr>
        <w:t>All National Boards consulted on draft guidelines for the regulatory management of registered health practitioners and students infected with blood-borne viruses. The consultation was open from July to September 2014. A Twitter chat was held on this consultation.</w:t>
      </w:r>
    </w:p>
    <w:p w:rsidR="00974489" w:rsidRPr="000901D6" w:rsidRDefault="00974489" w:rsidP="00974489">
      <w:pPr>
        <w:spacing w:before="120" w:after="120"/>
        <w:rPr>
          <w:rFonts w:eastAsia="Times New Roman" w:cs="Arial"/>
          <w:sz w:val="20"/>
          <w:szCs w:val="20"/>
          <w:lang w:eastAsia="en-AU"/>
        </w:rPr>
      </w:pPr>
      <w:r w:rsidRPr="000901D6">
        <w:rPr>
          <w:rFonts w:eastAsia="Times New Roman" w:cs="Arial"/>
          <w:sz w:val="20"/>
          <w:szCs w:val="20"/>
          <w:lang w:eastAsia="en-AU"/>
        </w:rPr>
        <w:t xml:space="preserve">A number of registration standards for the 14 currently regulated health professions were submitted for approval by the Australian Health Workforce Ministerial Council (AHWMC) during 2014/15, in accordance with the National Law. </w:t>
      </w:r>
    </w:p>
    <w:p w:rsidR="00974489" w:rsidRPr="000901D6" w:rsidRDefault="00974489" w:rsidP="00974489">
      <w:pPr>
        <w:spacing w:before="120" w:after="120"/>
        <w:rPr>
          <w:rFonts w:eastAsia="Times New Roman" w:cs="Arial"/>
          <w:sz w:val="20"/>
          <w:szCs w:val="20"/>
          <w:lang w:eastAsia="en-AU"/>
        </w:rPr>
      </w:pPr>
      <w:r w:rsidRPr="000901D6">
        <w:rPr>
          <w:rFonts w:eastAsia="Times New Roman" w:cs="Arial"/>
          <w:sz w:val="20"/>
          <w:szCs w:val="20"/>
          <w:lang w:eastAsia="en-AU"/>
        </w:rPr>
        <w:t>The revised criminal history registration standard for all 14 Boards and the revised English language skills registration standard for 13 Boards were approved by the AHWMC in March 2015, as well as standards and guidelines for some of the individual Boards.</w:t>
      </w:r>
    </w:p>
    <w:p w:rsidR="00974489" w:rsidRPr="000901D6" w:rsidRDefault="00974489" w:rsidP="00974489">
      <w:pPr>
        <w:rPr>
          <w:sz w:val="20"/>
          <w:lang w:val="en-US"/>
        </w:rPr>
      </w:pPr>
      <w:r w:rsidRPr="000901D6">
        <w:rPr>
          <w:sz w:val="20"/>
          <w:lang w:val="en-US"/>
        </w:rPr>
        <w:t>This work has focused on continuing to build the evidence base for National Board policy and reviewing the structure and format of registration standards, guidelines and codes consistent with good practice.</w:t>
      </w:r>
    </w:p>
    <w:p w:rsidR="00974489" w:rsidRPr="000901D6" w:rsidRDefault="00974489" w:rsidP="00737CF2">
      <w:pPr>
        <w:pStyle w:val="AHPRAbody"/>
        <w:rPr>
          <w:lang w:val="en-US"/>
        </w:rPr>
      </w:pPr>
      <w:r>
        <w:rPr>
          <w:lang w:val="en-US"/>
        </w:rPr>
        <w:t>See Appendix 3</w:t>
      </w:r>
      <w:r w:rsidRPr="000901D6">
        <w:rPr>
          <w:lang w:val="en-US"/>
        </w:rPr>
        <w:t xml:space="preserve"> of the 2014/15 </w:t>
      </w:r>
      <w:hyperlink r:id="rId18" w:history="1">
        <w:r w:rsidRPr="005E63E8">
          <w:rPr>
            <w:rStyle w:val="Hyperlink"/>
            <w:lang w:val="en-US"/>
          </w:rPr>
          <w:t>annual report</w:t>
        </w:r>
      </w:hyperlink>
      <w:r w:rsidRPr="000901D6">
        <w:rPr>
          <w:lang w:val="en-US"/>
        </w:rPr>
        <w:t xml:space="preserve"> of AHPRA and the National Boards for a full list of registration standards approved by Ministerial Council during 2014/15.</w:t>
      </w:r>
    </w:p>
    <w:p w:rsidR="00974489" w:rsidRPr="000901D6" w:rsidRDefault="00974489" w:rsidP="00737CF2">
      <w:pPr>
        <w:pStyle w:val="Heading3"/>
        <w:rPr>
          <w:lang w:val="en-US"/>
        </w:rPr>
      </w:pPr>
      <w:bookmarkStart w:id="41" w:name="_Toc453007464"/>
      <w:r w:rsidRPr="000901D6">
        <w:rPr>
          <w:lang w:val="en-US"/>
        </w:rPr>
        <w:t>Stakeholder engagement and improving our communications</w:t>
      </w:r>
      <w:bookmarkEnd w:id="41"/>
    </w:p>
    <w:p w:rsidR="00974489" w:rsidRPr="000901D6" w:rsidRDefault="00974489" w:rsidP="00974489">
      <w:pPr>
        <w:spacing w:before="120" w:after="120"/>
        <w:rPr>
          <w:rFonts w:eastAsia="Times New Roman" w:cs="Arial"/>
          <w:sz w:val="20"/>
          <w:szCs w:val="20"/>
          <w:lang w:eastAsia="en-AU"/>
        </w:rPr>
      </w:pPr>
      <w:r>
        <w:rPr>
          <w:rFonts w:eastAsia="Times New Roman" w:cs="Arial"/>
          <w:sz w:val="20"/>
          <w:szCs w:val="20"/>
          <w:lang w:eastAsia="en-AU"/>
        </w:rPr>
        <w:t>The National Boards and AHPRA</w:t>
      </w:r>
      <w:r w:rsidRPr="000901D6">
        <w:rPr>
          <w:rFonts w:eastAsia="Times New Roman" w:cs="Arial"/>
          <w:sz w:val="20"/>
          <w:szCs w:val="20"/>
          <w:lang w:eastAsia="en-AU"/>
        </w:rPr>
        <w:t xml:space="preserve"> continue to work closely with two external advisory groups, the Community Reference Group and the Professions Reference Group. Communiqués from both groups are published on the AHPRA website after each meeting. Both groups provide feedback on how we can continue improving the way we communicate so that we can engage more effectively with our stakeholders.</w:t>
      </w:r>
    </w:p>
    <w:p w:rsidR="00974489" w:rsidRPr="000901D6" w:rsidRDefault="00974489" w:rsidP="00974489">
      <w:pPr>
        <w:spacing w:before="120" w:after="120"/>
        <w:rPr>
          <w:rFonts w:eastAsia="Times New Roman" w:cs="Arial"/>
          <w:sz w:val="20"/>
          <w:szCs w:val="20"/>
          <w:lang w:eastAsia="en-AU"/>
        </w:rPr>
      </w:pPr>
      <w:r>
        <w:rPr>
          <w:rFonts w:eastAsia="Times New Roman" w:cs="Arial"/>
          <w:sz w:val="20"/>
          <w:szCs w:val="20"/>
          <w:lang w:eastAsia="en-AU"/>
        </w:rPr>
        <w:t>AHPRA</w:t>
      </w:r>
      <w:r w:rsidRPr="000901D6">
        <w:rPr>
          <w:rFonts w:eastAsia="Times New Roman" w:cs="Arial"/>
          <w:sz w:val="20"/>
          <w:szCs w:val="20"/>
          <w:lang w:eastAsia="en-AU"/>
        </w:rPr>
        <w:t xml:space="preserve"> refreshed the homepages across all 15 National Board and AHPRA websites to make important information easier to find, and included new information for employers and practitioners as tabs on the login window. Following feedback from the Community Reference Group, </w:t>
      </w:r>
      <w:r>
        <w:rPr>
          <w:rFonts w:eastAsia="Times New Roman" w:cs="Arial"/>
          <w:sz w:val="20"/>
          <w:szCs w:val="20"/>
          <w:lang w:eastAsia="en-AU"/>
        </w:rPr>
        <w:t>AHPRA</w:t>
      </w:r>
      <w:r w:rsidRPr="000901D6">
        <w:rPr>
          <w:rFonts w:eastAsia="Times New Roman" w:cs="Arial"/>
          <w:sz w:val="20"/>
          <w:szCs w:val="20"/>
          <w:lang w:eastAsia="en-AU"/>
        </w:rPr>
        <w:t xml:space="preserve"> included the </w:t>
      </w:r>
      <w:r w:rsidRPr="000901D6">
        <w:rPr>
          <w:rFonts w:eastAsia="Times New Roman" w:cs="Arial"/>
          <w:i/>
          <w:sz w:val="20"/>
          <w:szCs w:val="20"/>
          <w:lang w:eastAsia="en-AU"/>
        </w:rPr>
        <w:t>Register of practitioners</w:t>
      </w:r>
      <w:r w:rsidRPr="000901D6">
        <w:rPr>
          <w:rFonts w:eastAsia="Times New Roman" w:cs="Arial"/>
          <w:sz w:val="20"/>
          <w:szCs w:val="20"/>
          <w:lang w:eastAsia="en-AU"/>
        </w:rPr>
        <w:t xml:space="preserve"> search on the homepage, and introduced brightly coloured ‘tiles’ to highlight important topics.  </w:t>
      </w:r>
    </w:p>
    <w:p w:rsidR="00974489" w:rsidRPr="000901D6" w:rsidRDefault="00974489" w:rsidP="00974489">
      <w:pPr>
        <w:autoSpaceDE w:val="0"/>
        <w:autoSpaceDN w:val="0"/>
        <w:adjustRightInd w:val="0"/>
        <w:spacing w:after="120" w:line="259" w:lineRule="auto"/>
        <w:rPr>
          <w:rFonts w:eastAsia="Calibri" w:cs="Arial"/>
          <w:color w:val="000000"/>
          <w:sz w:val="20"/>
          <w:szCs w:val="20"/>
          <w:lang w:val="en-GB"/>
        </w:rPr>
      </w:pPr>
      <w:r>
        <w:rPr>
          <w:rFonts w:eastAsia="Calibri" w:cs="Arial"/>
          <w:color w:val="000000"/>
          <w:sz w:val="20"/>
          <w:szCs w:val="20"/>
          <w:lang w:val="en-GB"/>
        </w:rPr>
        <w:t>The National Boards and AHPRA</w:t>
      </w:r>
      <w:r w:rsidRPr="000901D6">
        <w:rPr>
          <w:rFonts w:eastAsia="Calibri" w:cs="Arial"/>
          <w:color w:val="000000"/>
          <w:sz w:val="20"/>
          <w:szCs w:val="20"/>
          <w:lang w:val="en-GB"/>
        </w:rPr>
        <w:t xml:space="preserve"> continue to strengthen work with governments on matters of shared interest relevant to the National Scheme. </w:t>
      </w:r>
      <w:r>
        <w:rPr>
          <w:rFonts w:eastAsia="Calibri" w:cs="Arial"/>
          <w:color w:val="000000"/>
          <w:sz w:val="20"/>
          <w:szCs w:val="20"/>
          <w:lang w:val="en-GB"/>
        </w:rPr>
        <w:t>The</w:t>
      </w:r>
      <w:r w:rsidRPr="000901D6">
        <w:rPr>
          <w:rFonts w:eastAsia="Calibri" w:cs="Arial"/>
          <w:color w:val="000000"/>
          <w:sz w:val="20"/>
          <w:szCs w:val="20"/>
          <w:lang w:val="en-GB"/>
        </w:rPr>
        <w:t xml:space="preserve"> work with governments covers a broad spectrum of activities, including contributing to public and regulatory policy development through making joint AHPRA and National Board submissions as much as possible to government consultations, including the independent review of the operation of the National Scheme. We also brief health ministers on local and national issues relevant to the regulation of health practitioners in Australia, and raise issues with, and receive the collective views of, </w:t>
      </w:r>
      <w:r>
        <w:rPr>
          <w:rFonts w:eastAsia="Calibri" w:cs="Arial"/>
          <w:color w:val="000000"/>
          <w:sz w:val="20"/>
          <w:szCs w:val="20"/>
          <w:lang w:val="en-GB"/>
        </w:rPr>
        <w:t xml:space="preserve">the </w:t>
      </w:r>
      <w:r w:rsidRPr="005E63E8">
        <w:rPr>
          <w:rFonts w:eastAsia="Calibri" w:cs="Arial"/>
          <w:color w:val="000000"/>
          <w:sz w:val="20"/>
          <w:szCs w:val="20"/>
          <w:lang w:val="en-GB"/>
        </w:rPr>
        <w:t>Australian Health Ministers' Advisory Council’s (AHMAC)</w:t>
      </w:r>
      <w:r w:rsidRPr="000901D6">
        <w:rPr>
          <w:rFonts w:eastAsia="Calibri" w:cs="Arial"/>
          <w:color w:val="000000"/>
          <w:sz w:val="20"/>
          <w:szCs w:val="20"/>
          <w:lang w:val="en-GB"/>
        </w:rPr>
        <w:t xml:space="preserve"> </w:t>
      </w:r>
      <w:r w:rsidRPr="000901D6">
        <w:rPr>
          <w:rFonts w:eastAsia="Calibri" w:cs="Arial"/>
          <w:sz w:val="20"/>
          <w:szCs w:val="20"/>
          <w:lang w:val="en-GB"/>
        </w:rPr>
        <w:t xml:space="preserve">Health Workforce Principal Committee (HWPC) on draft regulatory policies, guidelines and standards, and other matters </w:t>
      </w:r>
      <w:r w:rsidRPr="000901D6">
        <w:rPr>
          <w:rFonts w:eastAsia="Calibri" w:cs="Arial"/>
          <w:color w:val="000000"/>
          <w:sz w:val="20"/>
          <w:szCs w:val="20"/>
          <w:lang w:val="en-GB"/>
        </w:rPr>
        <w:t>to inform advice to health ministers.</w:t>
      </w:r>
      <w:r>
        <w:rPr>
          <w:rFonts w:eastAsia="Calibri" w:cs="Arial"/>
          <w:color w:val="000000"/>
          <w:sz w:val="20"/>
          <w:szCs w:val="20"/>
          <w:lang w:val="en-GB"/>
        </w:rPr>
        <w:t xml:space="preserve"> </w:t>
      </w:r>
    </w:p>
    <w:p w:rsidR="00974489" w:rsidRPr="000901D6" w:rsidRDefault="00974489" w:rsidP="00974489">
      <w:pPr>
        <w:autoSpaceDE w:val="0"/>
        <w:autoSpaceDN w:val="0"/>
        <w:adjustRightInd w:val="0"/>
        <w:spacing w:after="120" w:line="259" w:lineRule="auto"/>
        <w:rPr>
          <w:rFonts w:eastAsia="Calibri" w:cs="Arial"/>
          <w:color w:val="000000"/>
          <w:sz w:val="20"/>
          <w:szCs w:val="20"/>
          <w:lang w:val="en-GB"/>
        </w:rPr>
      </w:pPr>
      <w:r w:rsidRPr="000901D6">
        <w:rPr>
          <w:rFonts w:eastAsia="Calibri" w:cs="Arial"/>
          <w:color w:val="000000"/>
          <w:sz w:val="20"/>
          <w:szCs w:val="20"/>
          <w:lang w:val="en-GB"/>
        </w:rPr>
        <w:t xml:space="preserve">This year </w:t>
      </w:r>
      <w:r>
        <w:rPr>
          <w:rFonts w:eastAsia="Calibri" w:cs="Arial"/>
          <w:color w:val="000000"/>
          <w:sz w:val="20"/>
          <w:szCs w:val="20"/>
          <w:lang w:val="en-GB"/>
        </w:rPr>
        <w:t>the National Boards and AHPRA</w:t>
      </w:r>
      <w:r w:rsidRPr="000901D6">
        <w:rPr>
          <w:rFonts w:eastAsia="Calibri" w:cs="Arial"/>
          <w:color w:val="000000"/>
          <w:sz w:val="20"/>
          <w:szCs w:val="20"/>
          <w:lang w:val="en-GB"/>
        </w:rPr>
        <w:t xml:space="preserve"> have strengthened partnerships with regulatory counterparts, including health complaints entities, co-regulatory bodies and accreditation councils, to ensure more consistent and effective regulatory decision-making and outcomes that are responsive to the national and local environment, and we learn from and share our experience with international regulators.  </w:t>
      </w:r>
    </w:p>
    <w:p w:rsidR="00974489" w:rsidRPr="000901D6" w:rsidRDefault="00974489" w:rsidP="00737CF2">
      <w:pPr>
        <w:pStyle w:val="Heading3"/>
        <w:rPr>
          <w:lang w:val="en-US"/>
        </w:rPr>
      </w:pPr>
      <w:bookmarkStart w:id="42" w:name="_Toc453007465"/>
      <w:r w:rsidRPr="000901D6">
        <w:rPr>
          <w:lang w:val="en-US"/>
        </w:rPr>
        <w:t>Establishing a shared set of regulatory principles</w:t>
      </w:r>
      <w:bookmarkEnd w:id="42"/>
    </w:p>
    <w:p w:rsidR="00974489" w:rsidRPr="000901D6" w:rsidRDefault="00974489" w:rsidP="00974489">
      <w:pPr>
        <w:spacing w:before="120" w:after="120"/>
        <w:rPr>
          <w:rFonts w:eastAsia="Times New Roman" w:cs="Arial"/>
          <w:sz w:val="20"/>
          <w:szCs w:val="20"/>
          <w:lang w:eastAsia="en-AU"/>
        </w:rPr>
      </w:pPr>
      <w:r w:rsidRPr="000901D6">
        <w:rPr>
          <w:rFonts w:eastAsia="Times New Roman" w:cs="Arial"/>
          <w:sz w:val="20"/>
          <w:szCs w:val="20"/>
          <w:lang w:eastAsia="en-AU"/>
        </w:rPr>
        <w:t>In July 2014 the National Boards and AHPRA launched refreshed regulatory principles that underpin our work in regulating Australia’s health practitioners, in the public interest. The principles encourage a responsive, risk-based approach to regulation across all professions within the National Scheme.</w:t>
      </w:r>
    </w:p>
    <w:p w:rsidR="00974489" w:rsidRPr="000901D6" w:rsidRDefault="00974489" w:rsidP="00974489">
      <w:pPr>
        <w:spacing w:before="120" w:after="120"/>
        <w:rPr>
          <w:rFonts w:eastAsia="Times New Roman" w:cs="Arial"/>
          <w:sz w:val="20"/>
          <w:szCs w:val="20"/>
          <w:lang w:eastAsia="en-AU"/>
        </w:rPr>
      </w:pPr>
      <w:r w:rsidRPr="000901D6">
        <w:rPr>
          <w:rFonts w:eastAsia="Times New Roman" w:cs="Arial"/>
          <w:sz w:val="20"/>
          <w:szCs w:val="20"/>
          <w:lang w:eastAsia="en-AU"/>
        </w:rPr>
        <w:t>We invited feedback on the principles in a formal consultation, which included surveying members of the public and practitioners, as well as board and committee members, and AHPRA staff. The response to the surveys was overwhelming, with more than 800 members of the public providing feedback to the online survey, in addition to more than 140 board/committee members and AHPRA staff members. The vast majority of respondents supported the principles. In the coming year we will continue to work to embed the regulatory principles in all that we do.</w:t>
      </w:r>
    </w:p>
    <w:p w:rsidR="00974489" w:rsidRPr="000901D6" w:rsidRDefault="00974489" w:rsidP="00737CF2">
      <w:pPr>
        <w:pStyle w:val="AHPRAbody"/>
      </w:pPr>
      <w:r w:rsidRPr="000901D6">
        <w:t>The regulatory principles are set out in Appendix</w:t>
      </w:r>
      <w:r>
        <w:t xml:space="preserve"> 1</w:t>
      </w:r>
      <w:r w:rsidRPr="000901D6">
        <w:rPr>
          <w:color w:val="FF0000"/>
        </w:rPr>
        <w:t xml:space="preserve"> </w:t>
      </w:r>
      <w:r w:rsidRPr="000901D6">
        <w:t xml:space="preserve">of the 2014/15 </w:t>
      </w:r>
      <w:hyperlink r:id="rId19" w:history="1">
        <w:r w:rsidRPr="005E63E8">
          <w:rPr>
            <w:rStyle w:val="Hyperlink"/>
            <w:rFonts w:eastAsia="Times New Roman" w:cs="Arial"/>
            <w:szCs w:val="20"/>
            <w:lang w:eastAsia="en-AU"/>
          </w:rPr>
          <w:t>annual report</w:t>
        </w:r>
      </w:hyperlink>
      <w:r w:rsidRPr="000901D6">
        <w:t xml:space="preserve"> of AHPRA and the National Boards.</w:t>
      </w:r>
    </w:p>
    <w:p w:rsidR="00974489" w:rsidRPr="000901D6" w:rsidRDefault="00974489" w:rsidP="00737CF2">
      <w:pPr>
        <w:pStyle w:val="Heading3"/>
        <w:rPr>
          <w:lang w:val="en-US"/>
        </w:rPr>
      </w:pPr>
      <w:bookmarkStart w:id="43" w:name="_Toc453007466"/>
      <w:r w:rsidRPr="000901D6">
        <w:rPr>
          <w:lang w:val="en-US"/>
        </w:rPr>
        <w:t>Collaboration to improve accreditation</w:t>
      </w:r>
      <w:bookmarkEnd w:id="43"/>
      <w:r w:rsidRPr="000901D6">
        <w:rPr>
          <w:lang w:val="en-US"/>
        </w:rPr>
        <w:t xml:space="preserve"> </w:t>
      </w:r>
    </w:p>
    <w:p w:rsidR="00974489" w:rsidRPr="00737CF2" w:rsidRDefault="00974489" w:rsidP="00737CF2">
      <w:pPr>
        <w:spacing w:before="120" w:after="120" w:line="259" w:lineRule="auto"/>
        <w:rPr>
          <w:rFonts w:cs="Arial"/>
          <w:sz w:val="20"/>
          <w:szCs w:val="20"/>
        </w:rPr>
      </w:pPr>
      <w:r w:rsidRPr="000901D6">
        <w:rPr>
          <w:rFonts w:cs="Arial"/>
          <w:sz w:val="20"/>
        </w:rPr>
        <w:t xml:space="preserve">The National Boards, AHPRA and the accreditation authorities have worked collaboratively to identify opportunities for improvement, aspects of accreditation that need greater consistency of approach (such as reporting of accreditation decisions), as well as areas within accreditation that lend themselves to cross-professional approaches. Steady progress continues and further cross-profession initiatives </w:t>
      </w:r>
      <w:r>
        <w:rPr>
          <w:rFonts w:cs="Arial"/>
          <w:sz w:val="20"/>
        </w:rPr>
        <w:t xml:space="preserve">– </w:t>
      </w:r>
      <w:r w:rsidRPr="000901D6">
        <w:rPr>
          <w:rFonts w:cs="Arial"/>
          <w:sz w:val="20"/>
        </w:rPr>
        <w:t>such as work on inter-professional learning and embedding models for simulated learning env</w:t>
      </w:r>
      <w:r>
        <w:rPr>
          <w:rFonts w:cs="Arial"/>
          <w:sz w:val="20"/>
        </w:rPr>
        <w:t xml:space="preserve">ironments in clinical training – </w:t>
      </w:r>
      <w:r w:rsidRPr="000901D6">
        <w:rPr>
          <w:rFonts w:cs="Arial"/>
          <w:sz w:val="20"/>
        </w:rPr>
        <w:t xml:space="preserve">are being implemented or are planned, with the aim of further demonstrating good practice in </w:t>
      </w:r>
      <w:r>
        <w:rPr>
          <w:rFonts w:cs="Arial"/>
          <w:sz w:val="20"/>
        </w:rPr>
        <w:t xml:space="preserve">accreditation of </w:t>
      </w:r>
      <w:r w:rsidRPr="000901D6">
        <w:rPr>
          <w:rFonts w:cs="Arial"/>
          <w:sz w:val="20"/>
        </w:rPr>
        <w:t xml:space="preserve">health profession </w:t>
      </w:r>
      <w:r>
        <w:rPr>
          <w:rFonts w:cs="Arial"/>
          <w:sz w:val="20"/>
        </w:rPr>
        <w:t>educ</w:t>
      </w:r>
      <w:r w:rsidRPr="000901D6">
        <w:rPr>
          <w:rFonts w:cs="Arial"/>
          <w:sz w:val="20"/>
        </w:rPr>
        <w:t xml:space="preserve">ation. The Accreditation Liaison Group (ALG) is the primary vehicle for collaboration on accreditation. </w:t>
      </w:r>
    </w:p>
    <w:p w:rsidR="00974489" w:rsidRPr="000901D6" w:rsidRDefault="00974489" w:rsidP="00737CF2">
      <w:pPr>
        <w:pStyle w:val="Heading3"/>
        <w:rPr>
          <w:lang w:val="en-US"/>
        </w:rPr>
      </w:pPr>
      <w:bookmarkStart w:id="44" w:name="_Toc453007467"/>
      <w:r w:rsidRPr="000901D6">
        <w:rPr>
          <w:lang w:val="en-US"/>
        </w:rPr>
        <w:t>Managing risk through improved international criminal history checks</w:t>
      </w:r>
      <w:bookmarkEnd w:id="44"/>
    </w:p>
    <w:p w:rsidR="00974489" w:rsidRPr="000901D6" w:rsidRDefault="00974489" w:rsidP="00974489">
      <w:pPr>
        <w:spacing w:before="120" w:after="120"/>
        <w:rPr>
          <w:rFonts w:eastAsia="Times New Roman" w:cs="Arial"/>
          <w:sz w:val="20"/>
          <w:szCs w:val="20"/>
          <w:lang w:eastAsia="en-AU"/>
        </w:rPr>
      </w:pPr>
      <w:r>
        <w:rPr>
          <w:rFonts w:eastAsia="Times New Roman" w:cs="Arial"/>
          <w:sz w:val="20"/>
          <w:szCs w:val="20"/>
          <w:lang w:eastAsia="en-AU"/>
        </w:rPr>
        <w:t>In February 2015</w:t>
      </w:r>
      <w:r w:rsidRPr="000901D6">
        <w:rPr>
          <w:rFonts w:eastAsia="Times New Roman" w:cs="Arial"/>
          <w:sz w:val="20"/>
          <w:szCs w:val="20"/>
          <w:lang w:eastAsia="en-AU"/>
        </w:rPr>
        <w:t xml:space="preserve"> a new procedure for checking international criminal history, which provides greater public protection, was introduced. </w:t>
      </w:r>
    </w:p>
    <w:p w:rsidR="00974489" w:rsidRPr="000901D6" w:rsidRDefault="00974489" w:rsidP="00974489">
      <w:pPr>
        <w:spacing w:before="120" w:after="120"/>
        <w:rPr>
          <w:rFonts w:eastAsia="Times New Roman" w:cs="Arial"/>
          <w:sz w:val="20"/>
          <w:szCs w:val="20"/>
          <w:lang w:eastAsia="en-AU"/>
        </w:rPr>
      </w:pPr>
      <w:r w:rsidRPr="000901D6">
        <w:rPr>
          <w:rFonts w:eastAsia="Times New Roman" w:cs="Arial"/>
          <w:sz w:val="20"/>
          <w:szCs w:val="20"/>
          <w:lang w:eastAsia="en-AU"/>
        </w:rPr>
        <w:t xml:space="preserve">Under the National Law, National Boards must consider the criminal history of an applicant who applies for registration, including any overseas criminal history. The new approach requires certain applicants and practitioners to apply for an international criminal history check from an AHPRA-approved supplier. </w:t>
      </w:r>
    </w:p>
    <w:p w:rsidR="00974489" w:rsidRPr="000901D6" w:rsidRDefault="00974489" w:rsidP="00974489">
      <w:pPr>
        <w:spacing w:after="160" w:line="259" w:lineRule="auto"/>
        <w:rPr>
          <w:rFonts w:ascii="Calibri" w:eastAsia="Calibri" w:hAnsi="Calibri"/>
          <w:sz w:val="22"/>
          <w:szCs w:val="22"/>
          <w:lang w:val="en-GB"/>
        </w:rPr>
      </w:pPr>
      <w:r w:rsidRPr="000901D6">
        <w:rPr>
          <w:rFonts w:cs="Arial"/>
          <w:sz w:val="20"/>
        </w:rPr>
        <w:t xml:space="preserve">More than 4,200 international criminal history checks </w:t>
      </w:r>
      <w:r>
        <w:rPr>
          <w:rFonts w:cs="Arial"/>
          <w:sz w:val="20"/>
        </w:rPr>
        <w:t xml:space="preserve">across the 14 health professions </w:t>
      </w:r>
      <w:r w:rsidRPr="000901D6">
        <w:rPr>
          <w:rFonts w:cs="Arial"/>
          <w:sz w:val="20"/>
        </w:rPr>
        <w:t>were undertak</w:t>
      </w:r>
      <w:r>
        <w:rPr>
          <w:rFonts w:cs="Arial"/>
          <w:sz w:val="20"/>
        </w:rPr>
        <w:t>en since the procedure changed.</w:t>
      </w:r>
      <w:r w:rsidRPr="000901D6">
        <w:rPr>
          <w:rFonts w:cs="Arial"/>
          <w:sz w:val="20"/>
        </w:rPr>
        <w:t xml:space="preserve"> From these, 10 positive criminal history results were identified. When a positive</w:t>
      </w:r>
      <w:r w:rsidRPr="000901D6">
        <w:rPr>
          <w:rFonts w:ascii="Calibri" w:eastAsia="Calibri" w:hAnsi="Calibri"/>
          <w:color w:val="1F497D"/>
          <w:sz w:val="22"/>
          <w:szCs w:val="22"/>
          <w:lang w:val="en-GB"/>
        </w:rPr>
        <w:t xml:space="preserve"> </w:t>
      </w:r>
      <w:r w:rsidRPr="000901D6">
        <w:rPr>
          <w:rFonts w:cs="Arial"/>
          <w:sz w:val="20"/>
        </w:rPr>
        <w:t>criminal history is</w:t>
      </w:r>
      <w:r w:rsidRPr="000901D6">
        <w:rPr>
          <w:rFonts w:ascii="Calibri" w:eastAsia="Calibri" w:hAnsi="Calibri"/>
          <w:color w:val="1F497D"/>
          <w:sz w:val="22"/>
          <w:szCs w:val="22"/>
          <w:lang w:val="en-GB"/>
        </w:rPr>
        <w:t xml:space="preserve"> </w:t>
      </w:r>
      <w:r w:rsidRPr="000901D6">
        <w:rPr>
          <w:rFonts w:cs="Arial"/>
          <w:sz w:val="20"/>
        </w:rPr>
        <w:t xml:space="preserve">identified, the National Board or its delegate considers whether the health practitioner’s criminal history is relevant to the practice of their profession. </w:t>
      </w:r>
    </w:p>
    <w:p w:rsidR="00974489" w:rsidRDefault="00974489" w:rsidP="00737CF2">
      <w:pPr>
        <w:pStyle w:val="Heading2"/>
      </w:pPr>
      <w:bookmarkStart w:id="45" w:name="_Toc453007468"/>
      <w:r w:rsidRPr="001121DC">
        <w:t>Members of the Psychology Board of Australia</w:t>
      </w:r>
      <w:r>
        <w:t xml:space="preserve"> in 2014/15</w:t>
      </w:r>
      <w:bookmarkEnd w:id="45"/>
    </w:p>
    <w:p w:rsidR="00974489" w:rsidRPr="000901D6" w:rsidRDefault="00974489" w:rsidP="00974489">
      <w:pPr>
        <w:spacing w:before="80" w:after="0"/>
        <w:contextualSpacing/>
        <w:rPr>
          <w:rFonts w:eastAsia="Times New Roman" w:cs="Arial"/>
          <w:sz w:val="20"/>
          <w:szCs w:val="20"/>
          <w:lang w:val="en-US"/>
        </w:rPr>
      </w:pPr>
      <w:r>
        <w:rPr>
          <w:rFonts w:eastAsia="Times New Roman" w:cs="Arial"/>
          <w:sz w:val="20"/>
          <w:szCs w:val="20"/>
          <w:lang w:val="en-US"/>
        </w:rPr>
        <w:t xml:space="preserve">Professor </w:t>
      </w:r>
      <w:r w:rsidRPr="000901D6">
        <w:rPr>
          <w:rFonts w:eastAsia="Times New Roman" w:cs="Arial"/>
          <w:sz w:val="20"/>
          <w:szCs w:val="20"/>
          <w:lang w:val="en-US"/>
        </w:rPr>
        <w:t>Brin</w:t>
      </w:r>
      <w:r>
        <w:rPr>
          <w:rFonts w:eastAsia="Times New Roman" w:cs="Arial"/>
          <w:sz w:val="20"/>
          <w:szCs w:val="20"/>
          <w:lang w:val="en-US"/>
        </w:rPr>
        <w:t xml:space="preserve"> </w:t>
      </w:r>
      <w:r w:rsidRPr="000901D6">
        <w:rPr>
          <w:rFonts w:eastAsia="Times New Roman" w:cs="Arial"/>
          <w:sz w:val="20"/>
          <w:szCs w:val="20"/>
          <w:lang w:val="en-US"/>
        </w:rPr>
        <w:t>Grenyer</w:t>
      </w:r>
      <w:r>
        <w:rPr>
          <w:rFonts w:eastAsia="Times New Roman" w:cs="Arial"/>
          <w:sz w:val="20"/>
          <w:szCs w:val="20"/>
          <w:lang w:val="en-US"/>
        </w:rPr>
        <w:t xml:space="preserve"> (Chair)</w:t>
      </w:r>
    </w:p>
    <w:p w:rsidR="00974489" w:rsidRPr="00DA3101" w:rsidRDefault="00974489" w:rsidP="00974489">
      <w:pPr>
        <w:spacing w:before="80" w:after="0"/>
        <w:contextualSpacing/>
        <w:rPr>
          <w:rFonts w:eastAsia="Times New Roman" w:cs="Arial"/>
          <w:sz w:val="20"/>
          <w:szCs w:val="20"/>
          <w:lang w:val="en-US"/>
        </w:rPr>
      </w:pPr>
      <w:r w:rsidRPr="00DA3101">
        <w:rPr>
          <w:rFonts w:eastAsia="Times New Roman" w:cs="Arial"/>
          <w:sz w:val="20"/>
          <w:szCs w:val="20"/>
          <w:lang w:val="en-US"/>
        </w:rPr>
        <w:t>Professor Alfred</w:t>
      </w:r>
      <w:r w:rsidRPr="00DA3101">
        <w:rPr>
          <w:rFonts w:eastAsia="Times New Roman" w:cs="Arial"/>
          <w:sz w:val="20"/>
          <w:szCs w:val="20"/>
          <w:lang w:val="en-US"/>
        </w:rPr>
        <w:tab/>
        <w:t xml:space="preserve"> Allan</w:t>
      </w:r>
    </w:p>
    <w:p w:rsidR="00974489" w:rsidRPr="00DA3101" w:rsidRDefault="00974489" w:rsidP="00974489">
      <w:pPr>
        <w:spacing w:before="80" w:after="0"/>
        <w:contextualSpacing/>
        <w:rPr>
          <w:rFonts w:eastAsia="Times New Roman" w:cs="Arial"/>
          <w:sz w:val="20"/>
          <w:szCs w:val="20"/>
          <w:lang w:val="en-US"/>
        </w:rPr>
      </w:pPr>
      <w:r w:rsidRPr="00DA3101">
        <w:rPr>
          <w:rFonts w:eastAsia="Times New Roman" w:cs="Arial"/>
          <w:sz w:val="20"/>
          <w:szCs w:val="20"/>
          <w:lang w:val="en-US"/>
        </w:rPr>
        <w:t>Ms Mary Brennan</w:t>
      </w:r>
    </w:p>
    <w:p w:rsidR="00974489" w:rsidRPr="00DA3101" w:rsidRDefault="00974489" w:rsidP="00974489">
      <w:pPr>
        <w:spacing w:before="80" w:after="0"/>
        <w:contextualSpacing/>
        <w:rPr>
          <w:rFonts w:eastAsia="Times New Roman" w:cs="Arial"/>
          <w:sz w:val="20"/>
          <w:szCs w:val="20"/>
          <w:lang w:val="en-US"/>
        </w:rPr>
      </w:pPr>
      <w:r w:rsidRPr="00DA3101">
        <w:rPr>
          <w:rFonts w:eastAsia="Times New Roman" w:cs="Arial"/>
          <w:sz w:val="20"/>
          <w:szCs w:val="20"/>
          <w:lang w:val="en-US"/>
        </w:rPr>
        <w:t>Mrs Kathryn Crawley</w:t>
      </w:r>
    </w:p>
    <w:p w:rsidR="00974489" w:rsidRPr="00DA3101" w:rsidRDefault="00974489" w:rsidP="00974489">
      <w:pPr>
        <w:spacing w:before="80" w:after="0"/>
        <w:contextualSpacing/>
        <w:rPr>
          <w:rFonts w:eastAsia="Times New Roman" w:cs="Arial"/>
          <w:sz w:val="20"/>
          <w:szCs w:val="20"/>
          <w:lang w:val="en-US"/>
        </w:rPr>
      </w:pPr>
      <w:r w:rsidRPr="00DA3101">
        <w:rPr>
          <w:rFonts w:eastAsia="Times New Roman" w:cs="Arial"/>
          <w:sz w:val="20"/>
          <w:szCs w:val="20"/>
          <w:lang w:val="en-US"/>
        </w:rPr>
        <w:t>Mr Geoffery Gallas</w:t>
      </w:r>
    </w:p>
    <w:p w:rsidR="00974489" w:rsidRPr="00DA3101" w:rsidRDefault="00974489" w:rsidP="00974489">
      <w:pPr>
        <w:spacing w:before="80" w:after="0"/>
        <w:contextualSpacing/>
        <w:rPr>
          <w:rFonts w:eastAsia="Times New Roman" w:cs="Arial"/>
          <w:sz w:val="20"/>
          <w:szCs w:val="20"/>
          <w:lang w:val="en-US"/>
        </w:rPr>
      </w:pPr>
      <w:r w:rsidRPr="00DA3101">
        <w:rPr>
          <w:rFonts w:eastAsia="Times New Roman" w:cs="Arial"/>
          <w:sz w:val="20"/>
          <w:szCs w:val="20"/>
          <w:lang w:val="en-US"/>
        </w:rPr>
        <w:t>Emeritus Professor Gina Geffen</w:t>
      </w:r>
    </w:p>
    <w:p w:rsidR="00974489" w:rsidRPr="00DA3101" w:rsidRDefault="00974489" w:rsidP="00974489">
      <w:pPr>
        <w:spacing w:before="80" w:after="0"/>
        <w:contextualSpacing/>
        <w:rPr>
          <w:rFonts w:eastAsia="Times New Roman" w:cs="Arial"/>
          <w:sz w:val="20"/>
          <w:szCs w:val="20"/>
          <w:lang w:val="en-US"/>
        </w:rPr>
      </w:pPr>
      <w:r w:rsidRPr="00DA3101">
        <w:rPr>
          <w:rFonts w:eastAsia="Times New Roman" w:cs="Arial"/>
          <w:sz w:val="20"/>
          <w:szCs w:val="20"/>
          <w:lang w:val="en-US"/>
        </w:rPr>
        <w:t>Ms Marion Hale</w:t>
      </w:r>
    </w:p>
    <w:p w:rsidR="00974489" w:rsidRPr="00DA3101" w:rsidRDefault="00974489" w:rsidP="00974489">
      <w:pPr>
        <w:spacing w:before="80" w:after="0"/>
        <w:contextualSpacing/>
        <w:rPr>
          <w:rFonts w:eastAsia="Times New Roman" w:cs="Arial"/>
          <w:sz w:val="20"/>
          <w:szCs w:val="20"/>
          <w:lang w:val="en-US"/>
        </w:rPr>
      </w:pPr>
      <w:r w:rsidRPr="00DA3101">
        <w:rPr>
          <w:rFonts w:eastAsia="Times New Roman" w:cs="Arial"/>
          <w:sz w:val="20"/>
          <w:szCs w:val="20"/>
          <w:lang w:val="en-US"/>
        </w:rPr>
        <w:t>Ms Fiona McLeod</w:t>
      </w:r>
    </w:p>
    <w:p w:rsidR="00974489" w:rsidRPr="00DA3101" w:rsidRDefault="00974489" w:rsidP="00974489">
      <w:pPr>
        <w:spacing w:before="80" w:after="0"/>
        <w:contextualSpacing/>
        <w:rPr>
          <w:rFonts w:eastAsia="Times New Roman" w:cs="Arial"/>
          <w:sz w:val="20"/>
          <w:szCs w:val="20"/>
          <w:lang w:val="en-US"/>
        </w:rPr>
      </w:pPr>
      <w:r w:rsidRPr="00DA3101">
        <w:rPr>
          <w:rFonts w:eastAsia="Times New Roman" w:cs="Arial"/>
          <w:sz w:val="20"/>
          <w:szCs w:val="20"/>
          <w:lang w:val="en-US"/>
        </w:rPr>
        <w:t>Ms Joanne Muller</w:t>
      </w:r>
    </w:p>
    <w:p w:rsidR="00974489" w:rsidRPr="00DA3101" w:rsidRDefault="00974489" w:rsidP="00974489">
      <w:pPr>
        <w:spacing w:before="80" w:after="0"/>
        <w:contextualSpacing/>
        <w:rPr>
          <w:rFonts w:eastAsia="Times New Roman" w:cs="Arial"/>
          <w:sz w:val="20"/>
          <w:szCs w:val="20"/>
          <w:lang w:val="en-US"/>
        </w:rPr>
      </w:pPr>
      <w:r>
        <w:rPr>
          <w:rFonts w:eastAsia="Times New Roman" w:cs="Arial"/>
          <w:sz w:val="20"/>
          <w:szCs w:val="20"/>
          <w:lang w:val="en-US"/>
        </w:rPr>
        <w:t>Mr Christopher O’</w:t>
      </w:r>
      <w:r w:rsidRPr="00DA3101">
        <w:rPr>
          <w:rFonts w:eastAsia="Times New Roman" w:cs="Arial"/>
          <w:sz w:val="20"/>
          <w:szCs w:val="20"/>
          <w:lang w:val="en-US"/>
        </w:rPr>
        <w:t>Brien</w:t>
      </w:r>
    </w:p>
    <w:p w:rsidR="00974489" w:rsidRPr="00DA3101" w:rsidRDefault="00974489" w:rsidP="00974489">
      <w:pPr>
        <w:spacing w:before="80" w:after="0"/>
        <w:contextualSpacing/>
        <w:rPr>
          <w:rFonts w:eastAsia="Times New Roman" w:cs="Arial"/>
          <w:sz w:val="20"/>
          <w:szCs w:val="20"/>
          <w:lang w:val="en-US"/>
        </w:rPr>
      </w:pPr>
      <w:r w:rsidRPr="00DA3101">
        <w:rPr>
          <w:rFonts w:eastAsia="Times New Roman" w:cs="Arial"/>
          <w:sz w:val="20"/>
          <w:szCs w:val="20"/>
          <w:lang w:val="en-US"/>
        </w:rPr>
        <w:t>Professor Jennifer Scott</w:t>
      </w:r>
    </w:p>
    <w:p w:rsidR="00974489" w:rsidRPr="00DA3101" w:rsidRDefault="00974489" w:rsidP="00974489">
      <w:pPr>
        <w:spacing w:before="80" w:after="0"/>
        <w:contextualSpacing/>
        <w:rPr>
          <w:rFonts w:eastAsia="Times New Roman" w:cs="Arial"/>
          <w:sz w:val="20"/>
          <w:szCs w:val="20"/>
          <w:lang w:val="en-US"/>
        </w:rPr>
      </w:pPr>
      <w:r w:rsidRPr="00DA3101">
        <w:rPr>
          <w:rFonts w:eastAsia="Times New Roman" w:cs="Arial"/>
          <w:sz w:val="20"/>
          <w:szCs w:val="20"/>
          <w:lang w:val="en-US"/>
        </w:rPr>
        <w:t>Mr Radek Stratil</w:t>
      </w:r>
    </w:p>
    <w:p w:rsidR="00974489" w:rsidRPr="00DA3101" w:rsidRDefault="00974489" w:rsidP="00974489">
      <w:pPr>
        <w:spacing w:before="80" w:after="0"/>
        <w:contextualSpacing/>
        <w:rPr>
          <w:rFonts w:eastAsia="Times New Roman" w:cs="Arial"/>
          <w:sz w:val="20"/>
          <w:szCs w:val="20"/>
          <w:lang w:val="en-US"/>
        </w:rPr>
      </w:pPr>
      <w:r w:rsidRPr="00DA3101">
        <w:rPr>
          <w:rFonts w:eastAsia="Times New Roman" w:cs="Arial"/>
          <w:sz w:val="20"/>
          <w:szCs w:val="20"/>
          <w:lang w:val="en-US"/>
        </w:rPr>
        <w:t>Professor Trang Thomas</w:t>
      </w:r>
    </w:p>
    <w:p w:rsidR="00974489" w:rsidRPr="00E177E3" w:rsidRDefault="00974489" w:rsidP="00737CF2">
      <w:pPr>
        <w:pStyle w:val="Heading3"/>
      </w:pPr>
      <w:bookmarkStart w:id="46" w:name="_Toc453007469"/>
      <w:r w:rsidRPr="00E177E3">
        <w:t>Australian Capital Territory/Tasmania/Victoria Regional Board</w:t>
      </w:r>
      <w:bookmarkEnd w:id="46"/>
    </w:p>
    <w:p w:rsidR="00974489" w:rsidRPr="000901D6" w:rsidRDefault="00974489" w:rsidP="00974489">
      <w:pPr>
        <w:spacing w:before="7" w:after="0" w:line="220" w:lineRule="exact"/>
        <w:rPr>
          <w:rFonts w:eastAsia="Times New Roman" w:cs="Arial"/>
          <w:sz w:val="20"/>
          <w:szCs w:val="20"/>
          <w:lang w:val="en-US"/>
        </w:rPr>
      </w:pPr>
      <w:r>
        <w:rPr>
          <w:rFonts w:eastAsia="Times New Roman" w:cs="Arial"/>
          <w:sz w:val="20"/>
          <w:szCs w:val="20"/>
          <w:lang w:val="en-US"/>
        </w:rPr>
        <w:t xml:space="preserve">Dr </w:t>
      </w:r>
      <w:r w:rsidRPr="000901D6">
        <w:rPr>
          <w:rFonts w:eastAsia="Times New Roman" w:cs="Arial"/>
          <w:sz w:val="20"/>
          <w:szCs w:val="20"/>
          <w:lang w:val="en-US"/>
        </w:rPr>
        <w:t>Cristian</w:t>
      </w:r>
      <w:r>
        <w:rPr>
          <w:rFonts w:eastAsia="Times New Roman" w:cs="Arial"/>
          <w:sz w:val="20"/>
          <w:szCs w:val="20"/>
          <w:lang w:val="en-US"/>
        </w:rPr>
        <w:t xml:space="preserve"> </w:t>
      </w:r>
      <w:r w:rsidRPr="000901D6">
        <w:rPr>
          <w:rFonts w:eastAsia="Times New Roman" w:cs="Arial"/>
          <w:sz w:val="20"/>
          <w:szCs w:val="20"/>
          <w:lang w:val="en-US"/>
        </w:rPr>
        <w:t>Torres</w:t>
      </w:r>
      <w:r>
        <w:rPr>
          <w:rFonts w:eastAsia="Times New Roman" w:cs="Arial"/>
          <w:sz w:val="20"/>
          <w:szCs w:val="20"/>
          <w:lang w:val="en-US"/>
        </w:rPr>
        <w:t xml:space="preserve"> (Chair)</w:t>
      </w:r>
    </w:p>
    <w:p w:rsidR="00974489" w:rsidRPr="00DA3101" w:rsidRDefault="00974489" w:rsidP="00974489">
      <w:pPr>
        <w:spacing w:before="7" w:after="0" w:line="220" w:lineRule="exact"/>
        <w:rPr>
          <w:rFonts w:eastAsia="Times New Roman" w:cs="Arial"/>
          <w:sz w:val="20"/>
          <w:szCs w:val="20"/>
          <w:lang w:val="en-US"/>
        </w:rPr>
      </w:pPr>
      <w:r w:rsidRPr="00DA3101">
        <w:rPr>
          <w:rFonts w:eastAsia="Times New Roman" w:cs="Arial"/>
          <w:sz w:val="20"/>
          <w:szCs w:val="20"/>
          <w:lang w:val="en-US"/>
        </w:rPr>
        <w:t>Mr Robin Brown</w:t>
      </w:r>
    </w:p>
    <w:p w:rsidR="00974489" w:rsidRPr="00DA3101" w:rsidRDefault="00974489" w:rsidP="00974489">
      <w:pPr>
        <w:spacing w:before="7" w:after="0" w:line="220" w:lineRule="exact"/>
        <w:rPr>
          <w:rFonts w:eastAsia="Times New Roman" w:cs="Arial"/>
          <w:sz w:val="20"/>
          <w:szCs w:val="20"/>
          <w:lang w:val="en-US"/>
        </w:rPr>
      </w:pPr>
      <w:r w:rsidRPr="00DA3101">
        <w:rPr>
          <w:rFonts w:eastAsia="Times New Roman" w:cs="Arial"/>
          <w:sz w:val="20"/>
          <w:szCs w:val="20"/>
          <w:lang w:val="en-US"/>
        </w:rPr>
        <w:t>Dr Melissa Casey</w:t>
      </w:r>
    </w:p>
    <w:p w:rsidR="00974489" w:rsidRPr="00DA3101" w:rsidRDefault="00974489" w:rsidP="00974489">
      <w:pPr>
        <w:spacing w:before="7" w:after="0" w:line="220" w:lineRule="exact"/>
        <w:rPr>
          <w:rFonts w:eastAsia="Times New Roman" w:cs="Arial"/>
          <w:sz w:val="20"/>
          <w:szCs w:val="20"/>
          <w:lang w:val="en-US"/>
        </w:rPr>
      </w:pPr>
      <w:r w:rsidRPr="00DA3101">
        <w:rPr>
          <w:rFonts w:eastAsia="Times New Roman" w:cs="Arial"/>
          <w:sz w:val="20"/>
          <w:szCs w:val="20"/>
          <w:lang w:val="en-US"/>
        </w:rPr>
        <w:t>Ms Anne Horner</w:t>
      </w:r>
    </w:p>
    <w:p w:rsidR="00974489" w:rsidRPr="00DA3101" w:rsidRDefault="00974489" w:rsidP="00974489">
      <w:pPr>
        <w:spacing w:before="7" w:after="0" w:line="220" w:lineRule="exact"/>
        <w:rPr>
          <w:rFonts w:eastAsia="Times New Roman" w:cs="Arial"/>
          <w:sz w:val="20"/>
          <w:szCs w:val="20"/>
          <w:lang w:val="en-US"/>
        </w:rPr>
      </w:pPr>
      <w:r w:rsidRPr="00DA3101">
        <w:rPr>
          <w:rFonts w:eastAsia="Times New Roman" w:cs="Arial"/>
          <w:sz w:val="20"/>
          <w:szCs w:val="20"/>
          <w:lang w:val="en-US"/>
        </w:rPr>
        <w:t>Mr Simon Kinsella</w:t>
      </w:r>
    </w:p>
    <w:p w:rsidR="00974489" w:rsidRPr="00DA3101" w:rsidRDefault="00974489" w:rsidP="00974489">
      <w:pPr>
        <w:spacing w:before="7" w:after="0" w:line="220" w:lineRule="exact"/>
        <w:rPr>
          <w:rFonts w:eastAsia="Times New Roman" w:cs="Arial"/>
          <w:sz w:val="20"/>
          <w:szCs w:val="20"/>
          <w:lang w:val="en-US"/>
        </w:rPr>
      </w:pPr>
      <w:r w:rsidRPr="00DA3101">
        <w:rPr>
          <w:rFonts w:eastAsia="Times New Roman" w:cs="Arial"/>
          <w:sz w:val="20"/>
          <w:szCs w:val="20"/>
          <w:lang w:val="en-US"/>
        </w:rPr>
        <w:t>Associate Professor Terry Laidler</w:t>
      </w:r>
    </w:p>
    <w:p w:rsidR="00974489" w:rsidRPr="00DA3101" w:rsidRDefault="00974489" w:rsidP="00974489">
      <w:pPr>
        <w:spacing w:before="7" w:after="0" w:line="220" w:lineRule="exact"/>
        <w:rPr>
          <w:rFonts w:eastAsia="Times New Roman" w:cs="Arial"/>
          <w:sz w:val="20"/>
          <w:szCs w:val="20"/>
          <w:lang w:val="en-US"/>
        </w:rPr>
      </w:pPr>
      <w:r w:rsidRPr="00DA3101">
        <w:rPr>
          <w:rFonts w:eastAsia="Times New Roman" w:cs="Arial"/>
          <w:sz w:val="20"/>
          <w:szCs w:val="20"/>
          <w:lang w:val="en-US"/>
        </w:rPr>
        <w:t>Dr Patricia Mehegan</w:t>
      </w:r>
    </w:p>
    <w:p w:rsidR="00974489" w:rsidRPr="00DA3101" w:rsidRDefault="00974489" w:rsidP="00974489">
      <w:pPr>
        <w:spacing w:before="7" w:after="0" w:line="220" w:lineRule="exact"/>
        <w:rPr>
          <w:rFonts w:eastAsia="Times New Roman" w:cs="Arial"/>
          <w:sz w:val="20"/>
          <w:szCs w:val="20"/>
          <w:lang w:val="en-US"/>
        </w:rPr>
      </w:pPr>
      <w:r w:rsidRPr="00DA3101">
        <w:rPr>
          <w:rFonts w:eastAsia="Times New Roman" w:cs="Arial"/>
          <w:sz w:val="20"/>
          <w:szCs w:val="20"/>
          <w:lang w:val="en-US"/>
        </w:rPr>
        <w:t>Ms Maree Riley</w:t>
      </w:r>
    </w:p>
    <w:p w:rsidR="00974489" w:rsidRPr="00737CF2" w:rsidRDefault="00974489" w:rsidP="00974489">
      <w:pPr>
        <w:spacing w:before="7" w:after="0" w:line="220" w:lineRule="exact"/>
        <w:rPr>
          <w:rFonts w:eastAsia="Times New Roman" w:cs="Arial"/>
          <w:sz w:val="20"/>
          <w:szCs w:val="20"/>
          <w:lang w:val="en-US"/>
        </w:rPr>
      </w:pPr>
      <w:r w:rsidRPr="00DA3101">
        <w:rPr>
          <w:rFonts w:eastAsia="Times New Roman" w:cs="Arial"/>
          <w:sz w:val="20"/>
          <w:szCs w:val="20"/>
          <w:lang w:val="en-US"/>
        </w:rPr>
        <w:t>Associate Professor Kathryn Von Treuer</w:t>
      </w:r>
    </w:p>
    <w:p w:rsidR="00974489" w:rsidRPr="00E177E3" w:rsidRDefault="00974489" w:rsidP="00737CF2">
      <w:pPr>
        <w:pStyle w:val="Heading3"/>
      </w:pPr>
      <w:bookmarkStart w:id="47" w:name="_Toc453007470"/>
      <w:r w:rsidRPr="00E177E3">
        <w:t>Western Australia/Northern Territory/South Australia Regional Board</w:t>
      </w:r>
      <w:bookmarkEnd w:id="47"/>
    </w:p>
    <w:p w:rsidR="00974489" w:rsidRPr="000901D6" w:rsidRDefault="00974489" w:rsidP="00974489">
      <w:pPr>
        <w:spacing w:before="9" w:after="0"/>
        <w:rPr>
          <w:rFonts w:eastAsia="Times New Roman" w:cs="Arial"/>
          <w:sz w:val="20"/>
          <w:szCs w:val="20"/>
          <w:lang w:val="en-US"/>
        </w:rPr>
      </w:pPr>
      <w:r>
        <w:rPr>
          <w:rFonts w:eastAsia="Times New Roman" w:cs="Arial"/>
          <w:sz w:val="20"/>
          <w:szCs w:val="20"/>
          <w:lang w:val="en-US"/>
        </w:rPr>
        <w:t xml:space="preserve">Dr </w:t>
      </w:r>
      <w:r w:rsidRPr="000901D6">
        <w:rPr>
          <w:rFonts w:eastAsia="Times New Roman" w:cs="Arial"/>
          <w:sz w:val="20"/>
          <w:szCs w:val="20"/>
          <w:lang w:val="en-US"/>
        </w:rPr>
        <w:t>Jennifer</w:t>
      </w:r>
      <w:r>
        <w:rPr>
          <w:rFonts w:eastAsia="Times New Roman" w:cs="Arial"/>
          <w:sz w:val="20"/>
          <w:szCs w:val="20"/>
          <w:lang w:val="en-US"/>
        </w:rPr>
        <w:t xml:space="preserve"> </w:t>
      </w:r>
      <w:r w:rsidRPr="000901D6">
        <w:rPr>
          <w:rFonts w:eastAsia="Times New Roman" w:cs="Arial"/>
          <w:sz w:val="20"/>
          <w:szCs w:val="20"/>
          <w:lang w:val="en-US"/>
        </w:rPr>
        <w:t>Thornton</w:t>
      </w:r>
      <w:r>
        <w:rPr>
          <w:rFonts w:eastAsia="Times New Roman" w:cs="Arial"/>
          <w:sz w:val="20"/>
          <w:szCs w:val="20"/>
          <w:lang w:val="en-US"/>
        </w:rPr>
        <w:t xml:space="preserve"> (Chair)</w:t>
      </w:r>
    </w:p>
    <w:p w:rsidR="00974489" w:rsidRPr="00DA3101" w:rsidRDefault="00974489" w:rsidP="00974489">
      <w:pPr>
        <w:spacing w:before="9" w:after="0"/>
        <w:rPr>
          <w:rFonts w:eastAsia="Times New Roman" w:cs="Arial"/>
          <w:sz w:val="20"/>
          <w:szCs w:val="20"/>
          <w:lang w:val="en-US"/>
        </w:rPr>
      </w:pPr>
      <w:r w:rsidRPr="00DA3101">
        <w:rPr>
          <w:rFonts w:eastAsia="Times New Roman" w:cs="Arial"/>
          <w:sz w:val="20"/>
          <w:szCs w:val="20"/>
          <w:lang w:val="en-US"/>
        </w:rPr>
        <w:t>Ms Cathy Beaton</w:t>
      </w:r>
    </w:p>
    <w:p w:rsidR="00974489" w:rsidRPr="00DA3101" w:rsidRDefault="00974489" w:rsidP="00974489">
      <w:pPr>
        <w:spacing w:before="9" w:after="0"/>
        <w:rPr>
          <w:rFonts w:eastAsia="Times New Roman" w:cs="Arial"/>
          <w:sz w:val="20"/>
          <w:szCs w:val="20"/>
          <w:lang w:val="en-US"/>
        </w:rPr>
      </w:pPr>
      <w:r w:rsidRPr="00DA3101">
        <w:rPr>
          <w:rFonts w:eastAsia="Times New Roman" w:cs="Arial"/>
          <w:sz w:val="20"/>
          <w:szCs w:val="20"/>
          <w:lang w:val="en-US"/>
        </w:rPr>
        <w:t>Ms Alison Bell</w:t>
      </w:r>
    </w:p>
    <w:p w:rsidR="00974489" w:rsidRPr="00DA3101" w:rsidRDefault="00974489" w:rsidP="00974489">
      <w:pPr>
        <w:spacing w:before="9" w:after="0"/>
        <w:rPr>
          <w:rFonts w:eastAsia="Times New Roman" w:cs="Arial"/>
          <w:sz w:val="20"/>
          <w:szCs w:val="20"/>
          <w:lang w:val="en-US"/>
        </w:rPr>
      </w:pPr>
      <w:r w:rsidRPr="00DA3101">
        <w:rPr>
          <w:rFonts w:eastAsia="Times New Roman" w:cs="Arial"/>
          <w:sz w:val="20"/>
          <w:szCs w:val="20"/>
          <w:lang w:val="en-US"/>
        </w:rPr>
        <w:t>Ms Judith Dikstein</w:t>
      </w:r>
    </w:p>
    <w:p w:rsidR="00974489" w:rsidRPr="00DA3101" w:rsidRDefault="00974489" w:rsidP="00974489">
      <w:pPr>
        <w:spacing w:before="9" w:after="0"/>
        <w:rPr>
          <w:rFonts w:eastAsia="Times New Roman" w:cs="Arial"/>
          <w:sz w:val="20"/>
          <w:szCs w:val="20"/>
          <w:lang w:val="en-US"/>
        </w:rPr>
      </w:pPr>
      <w:r w:rsidRPr="00DA3101">
        <w:rPr>
          <w:rFonts w:eastAsia="Times New Roman" w:cs="Arial"/>
          <w:sz w:val="20"/>
          <w:szCs w:val="20"/>
          <w:lang w:val="en-US"/>
        </w:rPr>
        <w:t>Dr Shirley Grace</w:t>
      </w:r>
    </w:p>
    <w:p w:rsidR="00974489" w:rsidRPr="00DA3101" w:rsidRDefault="00974489" w:rsidP="00974489">
      <w:pPr>
        <w:spacing w:before="9" w:after="0"/>
        <w:rPr>
          <w:rFonts w:eastAsia="Times New Roman" w:cs="Arial"/>
          <w:sz w:val="20"/>
          <w:szCs w:val="20"/>
          <w:lang w:val="en-US"/>
        </w:rPr>
      </w:pPr>
      <w:r w:rsidRPr="00DA3101">
        <w:rPr>
          <w:rFonts w:eastAsia="Times New Roman" w:cs="Arial"/>
          <w:sz w:val="20"/>
          <w:szCs w:val="20"/>
          <w:lang w:val="en-US"/>
        </w:rPr>
        <w:t>Emeritus Professor David Leach</w:t>
      </w:r>
    </w:p>
    <w:p w:rsidR="00974489" w:rsidRPr="00DA3101" w:rsidRDefault="00974489" w:rsidP="00974489">
      <w:pPr>
        <w:spacing w:before="9" w:after="0"/>
        <w:rPr>
          <w:rFonts w:eastAsia="Times New Roman" w:cs="Arial"/>
          <w:sz w:val="20"/>
          <w:szCs w:val="20"/>
          <w:lang w:val="en-US"/>
        </w:rPr>
      </w:pPr>
      <w:r w:rsidRPr="00DA3101">
        <w:rPr>
          <w:rFonts w:eastAsia="Times New Roman" w:cs="Arial"/>
          <w:sz w:val="20"/>
          <w:szCs w:val="20"/>
          <w:lang w:val="en-US"/>
        </w:rPr>
        <w:t>Dr Neil McLean</w:t>
      </w:r>
    </w:p>
    <w:p w:rsidR="00974489" w:rsidRPr="00DA3101" w:rsidRDefault="00974489" w:rsidP="00974489">
      <w:pPr>
        <w:spacing w:before="9" w:after="0"/>
        <w:rPr>
          <w:rFonts w:eastAsia="Times New Roman" w:cs="Arial"/>
          <w:sz w:val="20"/>
          <w:szCs w:val="20"/>
          <w:lang w:val="en-US"/>
        </w:rPr>
      </w:pPr>
      <w:r w:rsidRPr="00DA3101">
        <w:rPr>
          <w:rFonts w:eastAsia="Times New Roman" w:cs="Arial"/>
          <w:sz w:val="20"/>
          <w:szCs w:val="20"/>
          <w:lang w:val="en-US"/>
        </w:rPr>
        <w:t>Mr Theodore Sharp</w:t>
      </w:r>
    </w:p>
    <w:p w:rsidR="00974489" w:rsidRPr="00DA3101" w:rsidRDefault="00974489" w:rsidP="00974489">
      <w:pPr>
        <w:spacing w:before="9" w:after="0"/>
        <w:rPr>
          <w:rFonts w:eastAsia="Times New Roman" w:cs="Arial"/>
          <w:sz w:val="20"/>
          <w:szCs w:val="20"/>
          <w:lang w:val="en-US"/>
        </w:rPr>
      </w:pPr>
      <w:r w:rsidRPr="00DA3101">
        <w:rPr>
          <w:rFonts w:eastAsia="Times New Roman" w:cs="Arial"/>
          <w:sz w:val="20"/>
          <w:szCs w:val="20"/>
          <w:lang w:val="en-US"/>
        </w:rPr>
        <w:t>Ms Claire Simmons</w:t>
      </w:r>
    </w:p>
    <w:p w:rsidR="00974489" w:rsidRPr="00DA3101" w:rsidRDefault="00974489" w:rsidP="00974489">
      <w:pPr>
        <w:spacing w:before="9" w:after="0"/>
        <w:rPr>
          <w:rFonts w:eastAsia="Times New Roman" w:cs="Arial"/>
          <w:sz w:val="20"/>
          <w:szCs w:val="20"/>
          <w:lang w:val="en-US"/>
        </w:rPr>
      </w:pPr>
      <w:r w:rsidRPr="00DA3101">
        <w:rPr>
          <w:rFonts w:eastAsia="Times New Roman" w:cs="Arial"/>
          <w:sz w:val="20"/>
          <w:szCs w:val="20"/>
          <w:lang w:val="en-US"/>
        </w:rPr>
        <w:t>Ms Janet Stephenson</w:t>
      </w:r>
    </w:p>
    <w:p w:rsidR="00974489" w:rsidRPr="00B459A4" w:rsidRDefault="00974489" w:rsidP="00974489">
      <w:pPr>
        <w:spacing w:before="9" w:after="0" w:line="180" w:lineRule="exact"/>
        <w:rPr>
          <w:rFonts w:ascii="Times New Roman" w:eastAsia="Times New Roman" w:hAnsi="Times New Roman"/>
          <w:sz w:val="19"/>
          <w:szCs w:val="19"/>
          <w:lang w:val="en-US"/>
        </w:rPr>
      </w:pPr>
    </w:p>
    <w:p w:rsidR="00974489" w:rsidRPr="00EA2412" w:rsidRDefault="00974489" w:rsidP="00737CF2">
      <w:pPr>
        <w:pStyle w:val="Heading3"/>
      </w:pPr>
      <w:bookmarkStart w:id="48" w:name="_Toc453007471"/>
      <w:r w:rsidRPr="00EA2412">
        <w:t>Queensland Board</w:t>
      </w:r>
      <w:bookmarkEnd w:id="48"/>
    </w:p>
    <w:p w:rsidR="00974489" w:rsidRPr="000901D6" w:rsidRDefault="00974489" w:rsidP="00974489">
      <w:pPr>
        <w:spacing w:before="7" w:after="0" w:line="220" w:lineRule="exact"/>
        <w:rPr>
          <w:rFonts w:eastAsia="Times New Roman" w:cs="Arial"/>
          <w:sz w:val="20"/>
          <w:szCs w:val="20"/>
          <w:lang w:val="en-US"/>
        </w:rPr>
      </w:pPr>
      <w:r>
        <w:rPr>
          <w:rFonts w:eastAsia="Times New Roman" w:cs="Arial"/>
          <w:sz w:val="20"/>
          <w:szCs w:val="20"/>
          <w:lang w:val="en-US"/>
        </w:rPr>
        <w:t xml:space="preserve">Professor </w:t>
      </w:r>
      <w:r w:rsidRPr="000901D6">
        <w:rPr>
          <w:rFonts w:eastAsia="Times New Roman" w:cs="Arial"/>
          <w:sz w:val="20"/>
          <w:szCs w:val="20"/>
          <w:lang w:val="en-US"/>
        </w:rPr>
        <w:t>Robert</w:t>
      </w:r>
      <w:r>
        <w:rPr>
          <w:rFonts w:eastAsia="Times New Roman" w:cs="Arial"/>
          <w:sz w:val="20"/>
          <w:szCs w:val="20"/>
          <w:lang w:val="en-US"/>
        </w:rPr>
        <w:t xml:space="preserve"> </w:t>
      </w:r>
      <w:r w:rsidRPr="000901D6">
        <w:rPr>
          <w:rFonts w:eastAsia="Times New Roman" w:cs="Arial"/>
          <w:sz w:val="20"/>
          <w:szCs w:val="20"/>
          <w:lang w:val="en-US"/>
        </w:rPr>
        <w:t>Schweitzer</w:t>
      </w:r>
      <w:r>
        <w:rPr>
          <w:rFonts w:eastAsia="Times New Roman" w:cs="Arial"/>
          <w:sz w:val="20"/>
          <w:szCs w:val="20"/>
          <w:lang w:val="en-US"/>
        </w:rPr>
        <w:t xml:space="preserve"> (Chair)</w:t>
      </w:r>
    </w:p>
    <w:p w:rsidR="00974489" w:rsidRPr="00DA3101" w:rsidRDefault="00974489" w:rsidP="00974489">
      <w:pPr>
        <w:spacing w:before="7" w:after="0" w:line="220" w:lineRule="exact"/>
        <w:rPr>
          <w:rFonts w:eastAsia="Times New Roman" w:cs="Arial"/>
          <w:sz w:val="20"/>
          <w:szCs w:val="20"/>
          <w:lang w:val="en-US"/>
        </w:rPr>
      </w:pPr>
      <w:r w:rsidRPr="00DA3101">
        <w:rPr>
          <w:rFonts w:eastAsia="Times New Roman" w:cs="Arial"/>
          <w:sz w:val="20"/>
          <w:szCs w:val="20"/>
          <w:lang w:val="en-US"/>
        </w:rPr>
        <w:t>Mrs Gail Hartridge</w:t>
      </w:r>
    </w:p>
    <w:p w:rsidR="00974489" w:rsidRPr="00DA3101" w:rsidRDefault="00974489" w:rsidP="00974489">
      <w:pPr>
        <w:spacing w:before="7" w:after="0" w:line="220" w:lineRule="exact"/>
        <w:rPr>
          <w:rFonts w:eastAsia="Times New Roman" w:cs="Arial"/>
          <w:sz w:val="20"/>
          <w:szCs w:val="20"/>
          <w:lang w:val="en-US"/>
        </w:rPr>
      </w:pPr>
      <w:r w:rsidRPr="00DA3101">
        <w:rPr>
          <w:rFonts w:eastAsia="Times New Roman" w:cs="Arial"/>
          <w:sz w:val="20"/>
          <w:szCs w:val="20"/>
          <w:lang w:val="en-US"/>
        </w:rPr>
        <w:t>Mrs Jeanette Jifkins</w:t>
      </w:r>
    </w:p>
    <w:p w:rsidR="00974489" w:rsidRPr="000901D6" w:rsidRDefault="00974489" w:rsidP="00974489">
      <w:pPr>
        <w:spacing w:before="7" w:after="0" w:line="220" w:lineRule="exact"/>
        <w:rPr>
          <w:rFonts w:eastAsia="Times New Roman" w:cs="Arial"/>
          <w:sz w:val="20"/>
          <w:szCs w:val="20"/>
          <w:lang w:val="en-US"/>
        </w:rPr>
      </w:pPr>
      <w:r w:rsidRPr="00DA3101">
        <w:rPr>
          <w:rFonts w:eastAsia="Times New Roman" w:cs="Arial"/>
          <w:sz w:val="20"/>
          <w:szCs w:val="20"/>
          <w:lang w:val="en-US"/>
        </w:rPr>
        <w:t>Ms Susan Johnson</w:t>
      </w:r>
    </w:p>
    <w:p w:rsidR="00974489" w:rsidRPr="00DA3101" w:rsidRDefault="00974489" w:rsidP="00974489">
      <w:pPr>
        <w:spacing w:before="7" w:after="0" w:line="220" w:lineRule="exact"/>
        <w:rPr>
          <w:rFonts w:eastAsia="Times New Roman" w:cs="Arial"/>
          <w:sz w:val="20"/>
          <w:szCs w:val="20"/>
          <w:lang w:val="en-US"/>
        </w:rPr>
      </w:pPr>
      <w:r w:rsidRPr="00DA3101">
        <w:rPr>
          <w:rFonts w:eastAsia="Times New Roman" w:cs="Arial"/>
          <w:sz w:val="20"/>
          <w:szCs w:val="20"/>
          <w:lang w:val="en-US"/>
        </w:rPr>
        <w:t>Professor Justin Kenardy</w:t>
      </w:r>
    </w:p>
    <w:p w:rsidR="00974489" w:rsidRPr="00DA3101" w:rsidRDefault="00974489" w:rsidP="00974489">
      <w:pPr>
        <w:spacing w:before="7" w:after="0" w:line="220" w:lineRule="exact"/>
        <w:rPr>
          <w:rFonts w:eastAsia="Times New Roman" w:cs="Arial"/>
          <w:sz w:val="20"/>
          <w:szCs w:val="20"/>
          <w:lang w:val="en-US"/>
        </w:rPr>
      </w:pPr>
      <w:r w:rsidRPr="00DA3101">
        <w:rPr>
          <w:rFonts w:eastAsia="Times New Roman" w:cs="Arial"/>
          <w:sz w:val="20"/>
          <w:szCs w:val="20"/>
          <w:lang w:val="en-US"/>
        </w:rPr>
        <w:t>Ms Rachel Phillips</w:t>
      </w:r>
    </w:p>
    <w:p w:rsidR="00974489" w:rsidRPr="00DA3101" w:rsidRDefault="00974489" w:rsidP="00974489">
      <w:pPr>
        <w:spacing w:before="7" w:after="0" w:line="220" w:lineRule="exact"/>
        <w:rPr>
          <w:rFonts w:eastAsia="Times New Roman" w:cs="Arial"/>
          <w:sz w:val="20"/>
          <w:szCs w:val="20"/>
          <w:lang w:val="en-US"/>
        </w:rPr>
      </w:pPr>
      <w:r w:rsidRPr="00DA3101">
        <w:rPr>
          <w:rFonts w:eastAsia="Times New Roman" w:cs="Arial"/>
          <w:sz w:val="20"/>
          <w:szCs w:val="20"/>
          <w:lang w:val="en-US"/>
        </w:rPr>
        <w:t>Professor Kevin</w:t>
      </w:r>
      <w:r w:rsidRPr="00DA3101">
        <w:rPr>
          <w:rFonts w:eastAsia="Times New Roman" w:cs="Arial"/>
          <w:sz w:val="20"/>
          <w:szCs w:val="20"/>
          <w:lang w:val="en-US"/>
        </w:rPr>
        <w:tab/>
        <w:t>Ronan</w:t>
      </w:r>
    </w:p>
    <w:p w:rsidR="00974489" w:rsidRPr="001733EF" w:rsidRDefault="00974489" w:rsidP="00974489">
      <w:pPr>
        <w:spacing w:before="7" w:after="0" w:line="220" w:lineRule="exact"/>
        <w:rPr>
          <w:rFonts w:eastAsia="Times New Roman" w:cs="Arial"/>
          <w:sz w:val="20"/>
          <w:szCs w:val="20"/>
          <w:highlight w:val="yellow"/>
          <w:lang w:val="en-US"/>
        </w:rPr>
      </w:pPr>
      <w:r w:rsidRPr="00DA3101">
        <w:rPr>
          <w:rFonts w:eastAsia="Times New Roman" w:cs="Arial"/>
          <w:sz w:val="20"/>
          <w:szCs w:val="20"/>
          <w:lang w:val="en-US"/>
        </w:rPr>
        <w:t>Dr Melissa Sands</w:t>
      </w:r>
    </w:p>
    <w:p w:rsidR="00974489" w:rsidRPr="00737CF2" w:rsidRDefault="00974489" w:rsidP="00974489">
      <w:pPr>
        <w:spacing w:before="7" w:after="0" w:line="220" w:lineRule="exact"/>
        <w:rPr>
          <w:rFonts w:eastAsia="Times New Roman" w:cs="Arial"/>
          <w:sz w:val="20"/>
          <w:szCs w:val="20"/>
          <w:lang w:val="en-US"/>
        </w:rPr>
      </w:pPr>
      <w:r w:rsidRPr="00DA3101">
        <w:rPr>
          <w:rFonts w:eastAsia="Times New Roman" w:cs="Arial"/>
          <w:sz w:val="20"/>
          <w:szCs w:val="20"/>
          <w:lang w:val="en-US"/>
        </w:rPr>
        <w:t>Dr Haydn Till</w:t>
      </w:r>
    </w:p>
    <w:p w:rsidR="00974489" w:rsidRPr="00B459A4" w:rsidRDefault="00974489" w:rsidP="00737CF2">
      <w:pPr>
        <w:pStyle w:val="Heading3"/>
      </w:pPr>
      <w:bookmarkStart w:id="49" w:name="_Toc453007472"/>
      <w:r w:rsidRPr="00B459A4">
        <w:t>N</w:t>
      </w:r>
      <w:r w:rsidRPr="00B459A4">
        <w:rPr>
          <w:spacing w:val="-1"/>
        </w:rPr>
        <w:t>e</w:t>
      </w:r>
      <w:r w:rsidRPr="00B459A4">
        <w:t>w</w:t>
      </w:r>
      <w:r w:rsidRPr="00B459A4">
        <w:rPr>
          <w:spacing w:val="20"/>
        </w:rPr>
        <w:t xml:space="preserve"> </w:t>
      </w:r>
      <w:r w:rsidRPr="00B459A4">
        <w:t>South</w:t>
      </w:r>
      <w:r w:rsidRPr="00B459A4">
        <w:rPr>
          <w:spacing w:val="49"/>
        </w:rPr>
        <w:t xml:space="preserve"> </w:t>
      </w:r>
      <w:r w:rsidRPr="00B459A4">
        <w:rPr>
          <w:spacing w:val="-6"/>
        </w:rPr>
        <w:t>W</w:t>
      </w:r>
      <w:r w:rsidRPr="00B459A4">
        <w:t>a</w:t>
      </w:r>
      <w:r w:rsidRPr="00B459A4">
        <w:rPr>
          <w:spacing w:val="-2"/>
        </w:rPr>
        <w:t>l</w:t>
      </w:r>
      <w:r w:rsidRPr="00B459A4">
        <w:t>es</w:t>
      </w:r>
      <w:r w:rsidRPr="00B459A4">
        <w:rPr>
          <w:spacing w:val="40"/>
        </w:rPr>
        <w:t xml:space="preserve"> </w:t>
      </w:r>
      <w:r w:rsidRPr="00B459A4">
        <w:rPr>
          <w:w w:val="110"/>
        </w:rPr>
        <w:t>Boa</w:t>
      </w:r>
      <w:r w:rsidRPr="00B459A4">
        <w:rPr>
          <w:spacing w:val="-6"/>
          <w:w w:val="110"/>
        </w:rPr>
        <w:t>r</w:t>
      </w:r>
      <w:r w:rsidRPr="00B459A4">
        <w:rPr>
          <w:w w:val="109"/>
        </w:rPr>
        <w:t>d</w:t>
      </w:r>
      <w:bookmarkEnd w:id="49"/>
    </w:p>
    <w:p w:rsidR="00974489" w:rsidRPr="000901D6" w:rsidRDefault="00974489" w:rsidP="00974489">
      <w:pPr>
        <w:spacing w:after="0"/>
        <w:rPr>
          <w:rFonts w:cs="Arial"/>
          <w:sz w:val="20"/>
        </w:rPr>
      </w:pPr>
      <w:r>
        <w:rPr>
          <w:rFonts w:cs="Arial"/>
          <w:sz w:val="20"/>
        </w:rPr>
        <w:t xml:space="preserve">Associate Professor </w:t>
      </w:r>
      <w:r w:rsidRPr="000901D6">
        <w:rPr>
          <w:rFonts w:cs="Arial"/>
          <w:sz w:val="20"/>
        </w:rPr>
        <w:t>Michael</w:t>
      </w:r>
      <w:r>
        <w:rPr>
          <w:rFonts w:cs="Arial"/>
          <w:sz w:val="20"/>
        </w:rPr>
        <w:t xml:space="preserve"> </w:t>
      </w:r>
      <w:r w:rsidRPr="000901D6">
        <w:rPr>
          <w:rFonts w:cs="Arial"/>
          <w:sz w:val="20"/>
        </w:rPr>
        <w:t>Kiernan</w:t>
      </w:r>
      <w:r>
        <w:rPr>
          <w:rFonts w:cs="Arial"/>
          <w:sz w:val="20"/>
        </w:rPr>
        <w:t xml:space="preserve"> (Chair)</w:t>
      </w:r>
    </w:p>
    <w:p w:rsidR="00974489" w:rsidRPr="00DA3101" w:rsidRDefault="00974489" w:rsidP="00974489">
      <w:pPr>
        <w:spacing w:after="0"/>
        <w:rPr>
          <w:rFonts w:cs="Arial"/>
          <w:sz w:val="20"/>
        </w:rPr>
      </w:pPr>
      <w:r w:rsidRPr="00DA3101">
        <w:rPr>
          <w:rFonts w:cs="Arial"/>
          <w:sz w:val="20"/>
        </w:rPr>
        <w:t>Ms Tricia Cashmere</w:t>
      </w:r>
    </w:p>
    <w:p w:rsidR="00974489" w:rsidRPr="00DA3101" w:rsidRDefault="00974489" w:rsidP="00974489">
      <w:pPr>
        <w:spacing w:after="0"/>
        <w:rPr>
          <w:rFonts w:cs="Arial"/>
          <w:sz w:val="20"/>
        </w:rPr>
      </w:pPr>
      <w:r w:rsidRPr="00DA3101">
        <w:rPr>
          <w:rFonts w:cs="Arial"/>
          <w:sz w:val="20"/>
        </w:rPr>
        <w:t>Ms Jeanette Evans</w:t>
      </w:r>
    </w:p>
    <w:p w:rsidR="00974489" w:rsidRPr="00DA3101" w:rsidRDefault="00974489" w:rsidP="00974489">
      <w:pPr>
        <w:spacing w:after="0"/>
        <w:rPr>
          <w:rFonts w:cs="Arial"/>
          <w:sz w:val="20"/>
        </w:rPr>
      </w:pPr>
      <w:r w:rsidRPr="00DA3101">
        <w:rPr>
          <w:rFonts w:cs="Arial"/>
          <w:sz w:val="20"/>
        </w:rPr>
        <w:t>Mrs Margo Gill</w:t>
      </w:r>
    </w:p>
    <w:p w:rsidR="00974489" w:rsidRPr="00DA3101" w:rsidRDefault="00974489" w:rsidP="00974489">
      <w:pPr>
        <w:spacing w:after="0"/>
        <w:rPr>
          <w:rFonts w:cs="Arial"/>
          <w:sz w:val="20"/>
        </w:rPr>
      </w:pPr>
      <w:r w:rsidRPr="00DA3101">
        <w:rPr>
          <w:rFonts w:cs="Arial"/>
          <w:sz w:val="20"/>
        </w:rPr>
        <w:t>Mr Timothy Hewitt</w:t>
      </w:r>
    </w:p>
    <w:p w:rsidR="00974489" w:rsidRPr="00DA3101" w:rsidRDefault="00974489" w:rsidP="00974489">
      <w:pPr>
        <w:spacing w:after="0"/>
        <w:rPr>
          <w:rFonts w:cs="Arial"/>
          <w:sz w:val="20"/>
        </w:rPr>
      </w:pPr>
      <w:r w:rsidRPr="00DA3101">
        <w:rPr>
          <w:rFonts w:cs="Arial"/>
          <w:sz w:val="20"/>
        </w:rPr>
        <w:t>Mr Robert Horton</w:t>
      </w:r>
    </w:p>
    <w:p w:rsidR="00974489" w:rsidRPr="00DA3101" w:rsidRDefault="00974489" w:rsidP="00974489">
      <w:pPr>
        <w:spacing w:after="0"/>
        <w:rPr>
          <w:rFonts w:cs="Arial"/>
          <w:sz w:val="20"/>
        </w:rPr>
      </w:pPr>
      <w:r w:rsidRPr="00DA3101">
        <w:rPr>
          <w:rFonts w:cs="Arial"/>
          <w:sz w:val="20"/>
        </w:rPr>
        <w:t>Ms Wendy McCartney</w:t>
      </w:r>
    </w:p>
    <w:p w:rsidR="00974489" w:rsidRPr="00DA3101" w:rsidRDefault="00974489" w:rsidP="00974489">
      <w:pPr>
        <w:spacing w:after="0"/>
        <w:rPr>
          <w:rFonts w:cs="Arial"/>
          <w:sz w:val="20"/>
        </w:rPr>
      </w:pPr>
      <w:r>
        <w:rPr>
          <w:rFonts w:cs="Arial"/>
          <w:sz w:val="20"/>
        </w:rPr>
        <w:t>Ms Pauline O’</w:t>
      </w:r>
      <w:r w:rsidRPr="00DA3101">
        <w:rPr>
          <w:rFonts w:cs="Arial"/>
          <w:sz w:val="20"/>
        </w:rPr>
        <w:t>Connor</w:t>
      </w:r>
    </w:p>
    <w:p w:rsidR="00974489" w:rsidRPr="00DA3101" w:rsidRDefault="00974489" w:rsidP="00974489">
      <w:pPr>
        <w:spacing w:after="0"/>
        <w:rPr>
          <w:rFonts w:cs="Arial"/>
          <w:sz w:val="20"/>
        </w:rPr>
      </w:pPr>
      <w:r w:rsidRPr="00DA3101">
        <w:rPr>
          <w:rFonts w:cs="Arial"/>
          <w:sz w:val="20"/>
        </w:rPr>
        <w:t>Professor Nickolai Titov</w:t>
      </w:r>
    </w:p>
    <w:p w:rsidR="00974489" w:rsidRPr="00DA3101" w:rsidRDefault="00974489" w:rsidP="00974489">
      <w:pPr>
        <w:spacing w:after="0"/>
        <w:rPr>
          <w:rFonts w:cs="Arial"/>
          <w:sz w:val="20"/>
        </w:rPr>
      </w:pPr>
      <w:r w:rsidRPr="00DA3101">
        <w:rPr>
          <w:rFonts w:cs="Arial"/>
          <w:sz w:val="20"/>
        </w:rPr>
        <w:t>Ms Lila Vrklevski</w:t>
      </w:r>
    </w:p>
    <w:p w:rsidR="00974489" w:rsidRPr="00DA3101" w:rsidRDefault="00974489" w:rsidP="00974489">
      <w:pPr>
        <w:spacing w:after="0"/>
        <w:rPr>
          <w:rFonts w:cs="Arial"/>
          <w:sz w:val="20"/>
        </w:rPr>
      </w:pPr>
      <w:r w:rsidRPr="00DA3101">
        <w:rPr>
          <w:rFonts w:cs="Arial"/>
          <w:sz w:val="20"/>
        </w:rPr>
        <w:t>Dr Ann Wignall</w:t>
      </w:r>
    </w:p>
    <w:p w:rsidR="00974489" w:rsidRDefault="00974489" w:rsidP="00974489">
      <w:pPr>
        <w:spacing w:after="0"/>
        <w:rPr>
          <w:rFonts w:cs="Arial"/>
          <w:sz w:val="20"/>
        </w:rPr>
      </w:pPr>
      <w:r w:rsidRPr="00DA3101">
        <w:rPr>
          <w:rFonts w:cs="Arial"/>
          <w:sz w:val="20"/>
        </w:rPr>
        <w:t>Ms Soo See Yeo</w:t>
      </w:r>
    </w:p>
    <w:p w:rsidR="00974489" w:rsidRPr="001121DC" w:rsidRDefault="00974489" w:rsidP="00737CF2">
      <w:pPr>
        <w:pStyle w:val="AHPRAbody"/>
      </w:pPr>
    </w:p>
    <w:p w:rsidR="00974489" w:rsidRPr="001F7D7F" w:rsidRDefault="00974489" w:rsidP="00737CF2">
      <w:pPr>
        <w:pStyle w:val="AHPRAbody"/>
      </w:pPr>
      <w:r>
        <w:t>During 2014/15</w:t>
      </w:r>
      <w:r w:rsidRPr="001121DC">
        <w:t xml:space="preserve">, the Board was supported by </w:t>
      </w:r>
      <w:r w:rsidRPr="005E63E8">
        <w:t>Executive Officer Ms Alessandra Peck.</w:t>
      </w:r>
      <w:r>
        <w:tab/>
      </w:r>
    </w:p>
    <w:p w:rsidR="00605F99" w:rsidRPr="00974489" w:rsidRDefault="00974489" w:rsidP="00737CF2">
      <w:pPr>
        <w:pStyle w:val="AHPRAbody"/>
        <w:rPr>
          <w:color w:val="0000FF"/>
          <w:u w:val="single"/>
        </w:rPr>
      </w:pPr>
      <w:r w:rsidRPr="001F7D7F">
        <w:t xml:space="preserve">More information about the work of the Board is available at: </w:t>
      </w:r>
      <w:hyperlink r:id="rId20" w:history="1">
        <w:r w:rsidRPr="007C1C4C">
          <w:rPr>
            <w:rStyle w:val="Hyperlink"/>
            <w:rFonts w:cs="Arial"/>
          </w:rPr>
          <w:t>www.psychologyboard.gov.au</w:t>
        </w:r>
      </w:hyperlink>
      <w:r w:rsidR="00FA063B" w:rsidRPr="00974489">
        <w:t xml:space="preserve"> </w:t>
      </w:r>
    </w:p>
    <w:sectPr w:rsidR="00605F99" w:rsidRPr="00974489" w:rsidSect="00737C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386" w:rsidRDefault="003A7386" w:rsidP="00766C24">
      <w:pPr>
        <w:spacing w:after="0"/>
      </w:pPr>
      <w:r>
        <w:separator/>
      </w:r>
    </w:p>
  </w:endnote>
  <w:endnote w:type="continuationSeparator" w:id="0">
    <w:p w:rsidR="003A7386" w:rsidRDefault="003A7386" w:rsidP="00766C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Malgun Gothic"/>
    <w:charset w:val="00"/>
    <w:family w:val="auto"/>
    <w:pitch w:val="variable"/>
    <w:sig w:usb0="E50002FF"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DINOT-Light">
    <w:altName w:val="Cambria"/>
    <w:panose1 w:val="020B0504020101010102"/>
    <w:charset w:val="00"/>
    <w:family w:val="swiss"/>
    <w:notTrueType/>
    <w:pitch w:val="variable"/>
    <w:sig w:usb0="800002AF" w:usb1="4000207B" w:usb2="00000008"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386" w:rsidRDefault="003A7386" w:rsidP="00766C24">
      <w:pPr>
        <w:spacing w:after="0"/>
      </w:pPr>
      <w:r>
        <w:separator/>
      </w:r>
    </w:p>
  </w:footnote>
  <w:footnote w:type="continuationSeparator" w:id="0">
    <w:p w:rsidR="003A7386" w:rsidRDefault="003A7386" w:rsidP="00766C24">
      <w:pPr>
        <w:spacing w:after="0"/>
      </w:pPr>
      <w:r>
        <w:continuationSeparator/>
      </w:r>
    </w:p>
  </w:footnote>
  <w:footnote w:id="1">
    <w:p w:rsidR="00862C8C" w:rsidRDefault="00862C8C">
      <w:pPr>
        <w:pStyle w:val="FootnoteText"/>
      </w:pPr>
      <w:r>
        <w:rPr>
          <w:rStyle w:val="FootnoteReference"/>
        </w:rPr>
        <w:footnoteRef/>
      </w:r>
      <w:r>
        <w:t xml:space="preserve"> </w:t>
      </w:r>
      <w:r w:rsidRPr="003871AF">
        <w:rPr>
          <w:rFonts w:eastAsia="Times New Roman"/>
          <w:color w:val="000000"/>
          <w:sz w:val="16"/>
          <w:szCs w:val="16"/>
          <w:lang w:val="en-US"/>
        </w:rPr>
        <w:t>A number of psychologists hold one or more area of practice endorsements.</w:t>
      </w:r>
    </w:p>
  </w:footnote>
  <w:footnote w:id="2">
    <w:p w:rsidR="00A57A1D" w:rsidRDefault="00A57A1D">
      <w:pPr>
        <w:pStyle w:val="FootnoteText"/>
      </w:pPr>
      <w:r>
        <w:rPr>
          <w:rStyle w:val="FootnoteReference"/>
        </w:rPr>
        <w:footnoteRef/>
      </w:r>
      <w:r>
        <w:t xml:space="preserve"> </w:t>
      </w:r>
      <w:r w:rsidRPr="003871AF">
        <w:rPr>
          <w:rFonts w:eastAsia="Times New Roman"/>
          <w:color w:val="000000"/>
          <w:sz w:val="16"/>
          <w:szCs w:val="16"/>
          <w:lang w:val="en-US"/>
        </w:rPr>
        <w:t>AHPRA performs monitoring of compliance cases for 'suitability/eligibility' stream matters for NSW registrations.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CB75FF"/>
    <w:multiLevelType w:val="hybridMultilevel"/>
    <w:tmpl w:val="0A941CD0"/>
    <w:lvl w:ilvl="0" w:tplc="0ED2C90C">
      <w:numFmt w:val="bullet"/>
      <w:lvlText w:val="•"/>
      <w:lvlJc w:val="left"/>
      <w:pPr>
        <w:ind w:left="720" w:hanging="360"/>
      </w:pPr>
      <w:rPr>
        <w:rFonts w:ascii="Arial" w:eastAsia="Cambria" w:hAnsi="Arial" w:cs="Aria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E1190"/>
    <w:multiLevelType w:val="hybridMultilevel"/>
    <w:tmpl w:val="D450BFAA"/>
    <w:lvl w:ilvl="0" w:tplc="3AA89280">
      <w:numFmt w:val="bullet"/>
      <w:lvlText w:val="•"/>
      <w:lvlJc w:val="left"/>
      <w:pPr>
        <w:ind w:left="720" w:hanging="360"/>
      </w:pPr>
      <w:rPr>
        <w:rFonts w:ascii="Times New Roman" w:eastAsia="Times New Roman" w:hAnsi="Times New Roman" w:cs="Times New Roman" w:hint="default"/>
        <w:color w:val="4C4D4F"/>
        <w:w w:val="156"/>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5B3674"/>
    <w:multiLevelType w:val="multilevel"/>
    <w:tmpl w:val="AA947606"/>
    <w:styleLink w:val="AHPRABullets"/>
    <w:lvl w:ilvl="0">
      <w:start w:val="1"/>
      <w:numFmt w:val="bullet"/>
      <w:pStyle w:val="Bulletlevel1"/>
      <w:lvlText w:val=""/>
      <w:lvlJc w:val="left"/>
      <w:pPr>
        <w:ind w:left="369" w:hanging="369"/>
      </w:pPr>
      <w:rPr>
        <w:rFonts w:ascii="Symbol" w:hAnsi="Symbol" w:hint="default"/>
      </w:rPr>
    </w:lvl>
    <w:lvl w:ilvl="1">
      <w:start w:val="1"/>
      <w:numFmt w:val="bullet"/>
      <w:pStyle w:val="Bulletlevel2"/>
      <w:lvlText w:val=""/>
      <w:lvlJc w:val="left"/>
      <w:pPr>
        <w:ind w:left="737" w:hanging="368"/>
      </w:pPr>
      <w:rPr>
        <w:rFonts w:ascii="Symbol" w:hAnsi="Symbol" w:hint="default"/>
      </w:rPr>
    </w:lvl>
    <w:lvl w:ilvl="2">
      <w:start w:val="1"/>
      <w:numFmt w:val="bullet"/>
      <w:pStyle w:val="Bulletlevel3"/>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Helvetica Neue"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Helvetica Neue"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D05579"/>
    <w:multiLevelType w:val="hybridMultilevel"/>
    <w:tmpl w:val="8B06CBE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AD70B67"/>
    <w:multiLevelType w:val="hybridMultilevel"/>
    <w:tmpl w:val="8BA23A64"/>
    <w:lvl w:ilvl="0" w:tplc="93D25796">
      <w:start w:val="2014"/>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33738"/>
    <w:multiLevelType w:val="hybridMultilevel"/>
    <w:tmpl w:val="1AF6A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A8308D"/>
    <w:multiLevelType w:val="hybridMultilevel"/>
    <w:tmpl w:val="854C2DF0"/>
    <w:lvl w:ilvl="0" w:tplc="0C090001">
      <w:start w:val="1"/>
      <w:numFmt w:val="bullet"/>
      <w:lvlText w:val=""/>
      <w:lvlJc w:val="left"/>
      <w:pPr>
        <w:ind w:left="360" w:hanging="360"/>
      </w:pPr>
      <w:rPr>
        <w:rFonts w:ascii="Symbol" w:hAnsi="Symbol" w:hint="default"/>
      </w:rPr>
    </w:lvl>
    <w:lvl w:ilvl="1" w:tplc="ACFEF658">
      <w:numFmt w:val="bullet"/>
      <w:lvlText w:val="·"/>
      <w:lvlJc w:val="left"/>
      <w:pPr>
        <w:ind w:left="1170" w:hanging="450"/>
      </w:pPr>
      <w:rPr>
        <w:rFonts w:ascii="Arial" w:eastAsia="Cambria" w:hAnsi="Arial"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E2C3D5F"/>
    <w:multiLevelType w:val="hybridMultilevel"/>
    <w:tmpl w:val="A9780A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2CC189F"/>
    <w:multiLevelType w:val="hybridMultilevel"/>
    <w:tmpl w:val="9C82C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355775"/>
    <w:multiLevelType w:val="hybridMultilevel"/>
    <w:tmpl w:val="C5A8467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28438AB"/>
    <w:multiLevelType w:val="hybridMultilevel"/>
    <w:tmpl w:val="8478677A"/>
    <w:lvl w:ilvl="0" w:tplc="0ED2C90C">
      <w:numFmt w:val="bullet"/>
      <w:lvlText w:val="•"/>
      <w:lvlJc w:val="left"/>
      <w:pPr>
        <w:ind w:left="720" w:hanging="360"/>
      </w:pPr>
      <w:rPr>
        <w:rFonts w:ascii="Arial" w:eastAsia="Cambria" w:hAnsi="Arial" w:cs="Aria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81320E"/>
    <w:multiLevelType w:val="hybridMultilevel"/>
    <w:tmpl w:val="E2D23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913633"/>
    <w:multiLevelType w:val="hybridMultilevel"/>
    <w:tmpl w:val="0E9AA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58599F"/>
    <w:multiLevelType w:val="hybridMultilevel"/>
    <w:tmpl w:val="F07453DA"/>
    <w:lvl w:ilvl="0" w:tplc="0ED2C90C">
      <w:numFmt w:val="bullet"/>
      <w:lvlText w:val="•"/>
      <w:lvlJc w:val="left"/>
      <w:pPr>
        <w:ind w:left="720" w:hanging="360"/>
      </w:pPr>
      <w:rPr>
        <w:rFonts w:ascii="Arial" w:eastAsia="Cambria" w:hAnsi="Arial" w:cs="Aria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3C49B3"/>
    <w:multiLevelType w:val="hybridMultilevel"/>
    <w:tmpl w:val="3AF63D9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57243B"/>
    <w:multiLevelType w:val="hybridMultilevel"/>
    <w:tmpl w:val="4B2EA9C6"/>
    <w:lvl w:ilvl="0" w:tplc="3AA89280">
      <w:numFmt w:val="bullet"/>
      <w:lvlText w:val="•"/>
      <w:lvlJc w:val="left"/>
      <w:pPr>
        <w:ind w:left="720" w:hanging="360"/>
      </w:pPr>
      <w:rPr>
        <w:rFonts w:ascii="Times New Roman" w:eastAsia="Times New Roman" w:hAnsi="Times New Roman" w:cs="Times New Roman" w:hint="default"/>
        <w:color w:val="4C4D4F"/>
        <w:w w:val="156"/>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6D0D4A"/>
    <w:multiLevelType w:val="hybridMultilevel"/>
    <w:tmpl w:val="EE2E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1F238D"/>
    <w:multiLevelType w:val="hybridMultilevel"/>
    <w:tmpl w:val="2AB27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823B53"/>
    <w:multiLevelType w:val="hybridMultilevel"/>
    <w:tmpl w:val="5490822A"/>
    <w:lvl w:ilvl="0" w:tplc="08090001">
      <w:start w:val="1"/>
      <w:numFmt w:val="bullet"/>
      <w:lvlText w:val=""/>
      <w:lvlJc w:val="left"/>
      <w:pPr>
        <w:ind w:left="720" w:hanging="360"/>
      </w:pPr>
      <w:rPr>
        <w:rFonts w:ascii="Symbol" w:hAnsi="Symbol" w:hint="default"/>
      </w:rPr>
    </w:lvl>
    <w:lvl w:ilvl="1" w:tplc="669CDFEE">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F0080F"/>
    <w:multiLevelType w:val="hybridMultilevel"/>
    <w:tmpl w:val="D17E623C"/>
    <w:lvl w:ilvl="0" w:tplc="0ED2C90C">
      <w:numFmt w:val="bullet"/>
      <w:lvlText w:val="•"/>
      <w:lvlJc w:val="left"/>
      <w:pPr>
        <w:ind w:left="720" w:hanging="360"/>
      </w:pPr>
      <w:rPr>
        <w:rFonts w:ascii="Arial" w:eastAsia="Cambria" w:hAnsi="Arial" w:cs="Aria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CC55E0"/>
    <w:multiLevelType w:val="hybridMultilevel"/>
    <w:tmpl w:val="C96835DA"/>
    <w:lvl w:ilvl="0" w:tplc="04090001">
      <w:start w:val="1"/>
      <w:numFmt w:val="bullet"/>
      <w:pStyle w:val="AHPRABulletlevel3"/>
      <w:lvlText w:val="o"/>
      <w:lvlJc w:val="left"/>
      <w:pPr>
        <w:ind w:left="1440" w:hanging="360"/>
      </w:pPr>
      <w:rPr>
        <w:rFonts w:ascii="Courier New" w:hAnsi="Courier New" w:cs="Helvetica Neue" w:hint="default"/>
      </w:rPr>
    </w:lvl>
    <w:lvl w:ilvl="1" w:tplc="04090003" w:tentative="1">
      <w:start w:val="1"/>
      <w:numFmt w:val="bullet"/>
      <w:lvlText w:val="o"/>
      <w:lvlJc w:val="left"/>
      <w:pPr>
        <w:ind w:left="2160" w:hanging="360"/>
      </w:pPr>
      <w:rPr>
        <w:rFonts w:ascii="Courier New" w:hAnsi="Courier New" w:cs="Helvetica Neue"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Helvetica Neue"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Helvetica Neue"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D4A00AB"/>
    <w:multiLevelType w:val="hybridMultilevel"/>
    <w:tmpl w:val="D1121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A05207"/>
    <w:multiLevelType w:val="hybridMultilevel"/>
    <w:tmpl w:val="351256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4635E28"/>
    <w:multiLevelType w:val="hybridMultilevel"/>
    <w:tmpl w:val="D5F81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8D2578"/>
    <w:multiLevelType w:val="hybridMultilevel"/>
    <w:tmpl w:val="28D00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E403E5E"/>
    <w:multiLevelType w:val="hybridMultilevel"/>
    <w:tmpl w:val="9FE47626"/>
    <w:lvl w:ilvl="0" w:tplc="0ED2C90C">
      <w:numFmt w:val="bullet"/>
      <w:lvlText w:val="•"/>
      <w:lvlJc w:val="left"/>
      <w:pPr>
        <w:ind w:left="720" w:hanging="360"/>
      </w:pPr>
      <w:rPr>
        <w:rFonts w:ascii="Arial" w:eastAsia="Cambria" w:hAnsi="Arial" w:cs="Aria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19"/>
  </w:num>
  <w:num w:numId="4">
    <w:abstractNumId w:val="11"/>
  </w:num>
  <w:num w:numId="5">
    <w:abstractNumId w:val="14"/>
  </w:num>
  <w:num w:numId="6">
    <w:abstractNumId w:val="20"/>
  </w:num>
  <w:num w:numId="7">
    <w:abstractNumId w:val="23"/>
  </w:num>
  <w:num w:numId="8">
    <w:abstractNumId w:val="10"/>
  </w:num>
  <w:num w:numId="9">
    <w:abstractNumId w:val="25"/>
  </w:num>
  <w:num w:numId="10">
    <w:abstractNumId w:val="8"/>
  </w:num>
  <w:num w:numId="11">
    <w:abstractNumId w:val="4"/>
  </w:num>
  <w:num w:numId="12">
    <w:abstractNumId w:val="18"/>
  </w:num>
  <w:num w:numId="13">
    <w:abstractNumId w:val="17"/>
  </w:num>
  <w:num w:numId="14">
    <w:abstractNumId w:val="21"/>
  </w:num>
  <w:num w:numId="15">
    <w:abstractNumId w:val="7"/>
  </w:num>
  <w:num w:numId="16">
    <w:abstractNumId w:val="5"/>
  </w:num>
  <w:num w:numId="17">
    <w:abstractNumId w:val="16"/>
  </w:num>
  <w:num w:numId="18">
    <w:abstractNumId w:val="2"/>
  </w:num>
  <w:num w:numId="19">
    <w:abstractNumId w:val="12"/>
  </w:num>
  <w:num w:numId="20">
    <w:abstractNumId w:val="26"/>
  </w:num>
  <w:num w:numId="21">
    <w:abstractNumId w:val="1"/>
  </w:num>
  <w:num w:numId="22">
    <w:abstractNumId w:val="15"/>
  </w:num>
  <w:num w:numId="23">
    <w:abstractNumId w:val="24"/>
  </w:num>
  <w:num w:numId="24">
    <w:abstractNumId w:val="13"/>
  </w:num>
  <w:num w:numId="25">
    <w:abstractNumId w:val="6"/>
  </w:num>
  <w:num w:numId="26">
    <w:abstractNumId w:val="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489"/>
    <w:rsid w:val="00003467"/>
    <w:rsid w:val="00044426"/>
    <w:rsid w:val="00060C58"/>
    <w:rsid w:val="00067E83"/>
    <w:rsid w:val="000A444C"/>
    <w:rsid w:val="000D7E84"/>
    <w:rsid w:val="00122DE7"/>
    <w:rsid w:val="00137B89"/>
    <w:rsid w:val="00142780"/>
    <w:rsid w:val="001429FE"/>
    <w:rsid w:val="001665B1"/>
    <w:rsid w:val="0018414E"/>
    <w:rsid w:val="002616DD"/>
    <w:rsid w:val="00282D4D"/>
    <w:rsid w:val="002A1FA4"/>
    <w:rsid w:val="002B7E44"/>
    <w:rsid w:val="002C2096"/>
    <w:rsid w:val="002D1A3A"/>
    <w:rsid w:val="002D22E4"/>
    <w:rsid w:val="002D4B68"/>
    <w:rsid w:val="00322EB1"/>
    <w:rsid w:val="00331FE1"/>
    <w:rsid w:val="0037590B"/>
    <w:rsid w:val="003A7386"/>
    <w:rsid w:val="003C24B5"/>
    <w:rsid w:val="003C7078"/>
    <w:rsid w:val="003D1FAA"/>
    <w:rsid w:val="003E3936"/>
    <w:rsid w:val="003E45E7"/>
    <w:rsid w:val="00412881"/>
    <w:rsid w:val="00480B02"/>
    <w:rsid w:val="0049445F"/>
    <w:rsid w:val="004A13B9"/>
    <w:rsid w:val="004E14A7"/>
    <w:rsid w:val="004F797B"/>
    <w:rsid w:val="005125AA"/>
    <w:rsid w:val="00533238"/>
    <w:rsid w:val="00546C55"/>
    <w:rsid w:val="005714C2"/>
    <w:rsid w:val="00582E68"/>
    <w:rsid w:val="005C565F"/>
    <w:rsid w:val="005C5CFB"/>
    <w:rsid w:val="00605F99"/>
    <w:rsid w:val="0060764E"/>
    <w:rsid w:val="00631E41"/>
    <w:rsid w:val="00640FDB"/>
    <w:rsid w:val="006520C5"/>
    <w:rsid w:val="00682846"/>
    <w:rsid w:val="00691795"/>
    <w:rsid w:val="0069460E"/>
    <w:rsid w:val="006B05F7"/>
    <w:rsid w:val="006B3E5E"/>
    <w:rsid w:val="006B5516"/>
    <w:rsid w:val="006D36BC"/>
    <w:rsid w:val="00737CF2"/>
    <w:rsid w:val="00766C24"/>
    <w:rsid w:val="007C08FD"/>
    <w:rsid w:val="007D2740"/>
    <w:rsid w:val="007F7A5B"/>
    <w:rsid w:val="00862C8C"/>
    <w:rsid w:val="00887E3A"/>
    <w:rsid w:val="008A31D2"/>
    <w:rsid w:val="008B0815"/>
    <w:rsid w:val="008D4802"/>
    <w:rsid w:val="008D4B9B"/>
    <w:rsid w:val="008F2B69"/>
    <w:rsid w:val="00904C52"/>
    <w:rsid w:val="00926089"/>
    <w:rsid w:val="00932B70"/>
    <w:rsid w:val="00935379"/>
    <w:rsid w:val="00960EFB"/>
    <w:rsid w:val="00974489"/>
    <w:rsid w:val="009B6EC4"/>
    <w:rsid w:val="009E228E"/>
    <w:rsid w:val="009E5A3E"/>
    <w:rsid w:val="00A13EB6"/>
    <w:rsid w:val="00A45637"/>
    <w:rsid w:val="00A57A1D"/>
    <w:rsid w:val="00A81CF6"/>
    <w:rsid w:val="00A87861"/>
    <w:rsid w:val="00AA65EB"/>
    <w:rsid w:val="00AB548B"/>
    <w:rsid w:val="00B05D0A"/>
    <w:rsid w:val="00B41675"/>
    <w:rsid w:val="00B45D89"/>
    <w:rsid w:val="00B465A0"/>
    <w:rsid w:val="00B80A2E"/>
    <w:rsid w:val="00BD7216"/>
    <w:rsid w:val="00C05579"/>
    <w:rsid w:val="00C536C9"/>
    <w:rsid w:val="00CB1CC2"/>
    <w:rsid w:val="00CD069C"/>
    <w:rsid w:val="00D00872"/>
    <w:rsid w:val="00D6101E"/>
    <w:rsid w:val="00D847CF"/>
    <w:rsid w:val="00DB0794"/>
    <w:rsid w:val="00DE2F86"/>
    <w:rsid w:val="00E85719"/>
    <w:rsid w:val="00F2470A"/>
    <w:rsid w:val="00F56B7D"/>
    <w:rsid w:val="00F63B7E"/>
    <w:rsid w:val="00F83B74"/>
    <w:rsid w:val="00F94949"/>
    <w:rsid w:val="00FA063B"/>
    <w:rsid w:val="00FA47AA"/>
    <w:rsid w:val="00FE4C92"/>
    <w:rsid w:val="00FF62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89EE1A4-B287-45F5-8D79-BBFF05D75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34"/>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74489"/>
    <w:pPr>
      <w:spacing w:line="240" w:lineRule="auto"/>
    </w:pPr>
    <w:rPr>
      <w:rFonts w:ascii="Arial" w:eastAsia="Cambria" w:hAnsi="Arial" w:cs="Times New Roman"/>
      <w:sz w:val="24"/>
      <w:szCs w:val="24"/>
    </w:rPr>
  </w:style>
  <w:style w:type="paragraph" w:styleId="Heading1">
    <w:name w:val="heading 1"/>
    <w:basedOn w:val="AHPRASubhead"/>
    <w:next w:val="Normal"/>
    <w:link w:val="Heading1Char"/>
    <w:uiPriority w:val="9"/>
    <w:qFormat/>
    <w:rsid w:val="006B3E5E"/>
    <w:pPr>
      <w:outlineLvl w:val="0"/>
    </w:pPr>
  </w:style>
  <w:style w:type="paragraph" w:styleId="Heading2">
    <w:name w:val="heading 2"/>
    <w:basedOn w:val="AHPRASubheadinglevel2"/>
    <w:next w:val="Normal"/>
    <w:link w:val="Heading2Char"/>
    <w:uiPriority w:val="9"/>
    <w:unhideWhenUsed/>
    <w:qFormat/>
    <w:rsid w:val="006B3E5E"/>
    <w:pPr>
      <w:outlineLvl w:val="1"/>
    </w:pPr>
  </w:style>
  <w:style w:type="paragraph" w:styleId="Heading3">
    <w:name w:val="heading 3"/>
    <w:basedOn w:val="AHPRASubheading"/>
    <w:next w:val="Normal"/>
    <w:link w:val="Heading3Char"/>
    <w:uiPriority w:val="9"/>
    <w:unhideWhenUsed/>
    <w:qFormat/>
    <w:rsid w:val="006B3E5E"/>
    <w:pPr>
      <w:outlineLvl w:val="2"/>
    </w:pPr>
  </w:style>
  <w:style w:type="paragraph" w:styleId="Heading4">
    <w:name w:val="heading 4"/>
    <w:basedOn w:val="Normal"/>
    <w:next w:val="Normal"/>
    <w:link w:val="Heading4Char"/>
    <w:uiPriority w:val="9"/>
    <w:unhideWhenUsed/>
    <w:qFormat/>
    <w:rsid w:val="00FA063B"/>
    <w:pPr>
      <w:outlineLvl w:val="3"/>
    </w:pPr>
    <w:rPr>
      <w:b/>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PRAbody">
    <w:name w:val="AHPRA body"/>
    <w:basedOn w:val="Normal"/>
    <w:link w:val="AHPRAbodyChar"/>
    <w:qFormat/>
    <w:rsid w:val="008F2B69"/>
    <w:rPr>
      <w:sz w:val="20"/>
    </w:rPr>
  </w:style>
  <w:style w:type="paragraph" w:customStyle="1" w:styleId="AHPRASubheadinglevel2">
    <w:name w:val="AHPRA Subheading level 2"/>
    <w:basedOn w:val="Normal"/>
    <w:next w:val="Normal"/>
    <w:qFormat/>
    <w:rsid w:val="008F2B69"/>
    <w:pPr>
      <w:spacing w:before="200"/>
      <w:outlineLvl w:val="2"/>
    </w:pPr>
    <w:rPr>
      <w:b/>
      <w:szCs w:val="20"/>
    </w:rPr>
  </w:style>
  <w:style w:type="paragraph" w:customStyle="1" w:styleId="AHPRASubheadinglevel3">
    <w:name w:val="AHPRA Subheading level 3"/>
    <w:basedOn w:val="Normal"/>
    <w:next w:val="Normal"/>
    <w:qFormat/>
    <w:rsid w:val="008F2B69"/>
    <w:pPr>
      <w:spacing w:before="200"/>
      <w:outlineLvl w:val="3"/>
    </w:pPr>
    <w:rPr>
      <w:color w:val="007DC3"/>
      <w:sz w:val="20"/>
      <w:szCs w:val="20"/>
    </w:rPr>
  </w:style>
  <w:style w:type="character" w:styleId="Hyperlink">
    <w:name w:val="Hyperlink"/>
    <w:uiPriority w:val="99"/>
    <w:unhideWhenUsed/>
    <w:rsid w:val="008F2B69"/>
    <w:rPr>
      <w:color w:val="0000FF"/>
      <w:u w:val="single"/>
    </w:rPr>
  </w:style>
  <w:style w:type="character" w:customStyle="1" w:styleId="AHPRAbodyChar">
    <w:name w:val="AHPRA body Char"/>
    <w:link w:val="AHPRAbody"/>
    <w:rsid w:val="008F2B69"/>
    <w:rPr>
      <w:rFonts w:ascii="Arial" w:eastAsia="Cambria" w:hAnsi="Arial" w:cs="Times New Roman"/>
      <w:sz w:val="20"/>
      <w:szCs w:val="24"/>
    </w:rPr>
  </w:style>
  <w:style w:type="character" w:styleId="CommentReference">
    <w:name w:val="annotation reference"/>
    <w:uiPriority w:val="99"/>
    <w:unhideWhenUsed/>
    <w:rsid w:val="008F2B69"/>
    <w:rPr>
      <w:sz w:val="16"/>
      <w:szCs w:val="16"/>
    </w:rPr>
  </w:style>
  <w:style w:type="paragraph" w:styleId="CommentText">
    <w:name w:val="annotation text"/>
    <w:basedOn w:val="Normal"/>
    <w:link w:val="CommentTextChar"/>
    <w:uiPriority w:val="99"/>
    <w:unhideWhenUsed/>
    <w:rsid w:val="008F2B69"/>
    <w:rPr>
      <w:sz w:val="20"/>
      <w:szCs w:val="20"/>
    </w:rPr>
  </w:style>
  <w:style w:type="character" w:customStyle="1" w:styleId="CommentTextChar">
    <w:name w:val="Comment Text Char"/>
    <w:basedOn w:val="DefaultParagraphFont"/>
    <w:link w:val="CommentText"/>
    <w:uiPriority w:val="99"/>
    <w:rsid w:val="008F2B69"/>
    <w:rPr>
      <w:rFonts w:ascii="Arial" w:eastAsia="Cambria" w:hAnsi="Arial" w:cs="Times New Roman"/>
      <w:sz w:val="20"/>
      <w:szCs w:val="20"/>
    </w:rPr>
  </w:style>
  <w:style w:type="numbering" w:customStyle="1" w:styleId="AHPRABullets">
    <w:name w:val="AHPRA Bullets"/>
    <w:uiPriority w:val="99"/>
    <w:rsid w:val="008F2B69"/>
    <w:pPr>
      <w:numPr>
        <w:numId w:val="1"/>
      </w:numPr>
    </w:pPr>
  </w:style>
  <w:style w:type="paragraph" w:customStyle="1" w:styleId="Bulletlevel1">
    <w:name w:val="Bullet level 1"/>
    <w:qFormat/>
    <w:rsid w:val="008F2B69"/>
    <w:pPr>
      <w:numPr>
        <w:numId w:val="1"/>
      </w:numPr>
      <w:spacing w:after="0" w:line="240" w:lineRule="auto"/>
    </w:pPr>
    <w:rPr>
      <w:rFonts w:ascii="Arial" w:eastAsia="Times New Roman" w:hAnsi="Arial" w:cs="Times New Roman"/>
      <w:sz w:val="24"/>
      <w:szCs w:val="24"/>
      <w:lang w:val="en-US"/>
    </w:rPr>
  </w:style>
  <w:style w:type="paragraph" w:customStyle="1" w:styleId="Bulletlevel2">
    <w:name w:val="Bullet level 2"/>
    <w:basedOn w:val="Bulletlevel1"/>
    <w:rsid w:val="008F2B69"/>
    <w:pPr>
      <w:numPr>
        <w:ilvl w:val="1"/>
      </w:numPr>
    </w:pPr>
  </w:style>
  <w:style w:type="paragraph" w:customStyle="1" w:styleId="Bulletlevel3">
    <w:name w:val="Bullet level 3"/>
    <w:rsid w:val="008F2B69"/>
    <w:pPr>
      <w:numPr>
        <w:ilvl w:val="2"/>
        <w:numId w:val="1"/>
      </w:numPr>
      <w:spacing w:after="0" w:line="240" w:lineRule="auto"/>
    </w:pPr>
    <w:rPr>
      <w:rFonts w:ascii="Arial" w:eastAsia="Times New Roman" w:hAnsi="Arial" w:cs="Times New Roman"/>
      <w:sz w:val="24"/>
      <w:szCs w:val="24"/>
      <w:lang w:val="en-US"/>
    </w:rPr>
  </w:style>
  <w:style w:type="paragraph" w:styleId="BodyText">
    <w:name w:val="Body Text"/>
    <w:basedOn w:val="Normal"/>
    <w:link w:val="BodyTextChar"/>
    <w:uiPriority w:val="99"/>
    <w:rsid w:val="008F2B69"/>
    <w:rPr>
      <w:sz w:val="20"/>
    </w:rPr>
  </w:style>
  <w:style w:type="character" w:customStyle="1" w:styleId="BodyTextChar">
    <w:name w:val="Body Text Char"/>
    <w:basedOn w:val="DefaultParagraphFont"/>
    <w:link w:val="BodyText"/>
    <w:uiPriority w:val="99"/>
    <w:rsid w:val="008F2B69"/>
    <w:rPr>
      <w:rFonts w:ascii="Arial" w:eastAsia="Cambria" w:hAnsi="Arial" w:cs="Times New Roman"/>
      <w:sz w:val="20"/>
      <w:szCs w:val="24"/>
    </w:rPr>
  </w:style>
  <w:style w:type="paragraph" w:customStyle="1" w:styleId="AHPRASubhead">
    <w:name w:val="AHPRA Subhead"/>
    <w:basedOn w:val="Normal"/>
    <w:qFormat/>
    <w:rsid w:val="006B3E5E"/>
    <w:pPr>
      <w:spacing w:after="240"/>
      <w:outlineLvl w:val="1"/>
    </w:pPr>
    <w:rPr>
      <w:rFonts w:eastAsia="Calibri"/>
      <w:b/>
      <w:color w:val="008EC4"/>
      <w:sz w:val="28"/>
      <w:szCs w:val="22"/>
    </w:rPr>
  </w:style>
  <w:style w:type="paragraph" w:customStyle="1" w:styleId="Tabletitle-AHPRA">
    <w:name w:val="Table title - AHPRA"/>
    <w:basedOn w:val="Normal"/>
    <w:uiPriority w:val="1"/>
    <w:rsid w:val="008F2B69"/>
    <w:pPr>
      <w:spacing w:before="120" w:after="120"/>
    </w:pPr>
    <w:rPr>
      <w:rFonts w:cs="Arial"/>
      <w:b/>
      <w:sz w:val="20"/>
    </w:rPr>
  </w:style>
  <w:style w:type="paragraph" w:styleId="BalloonText">
    <w:name w:val="Balloon Text"/>
    <w:basedOn w:val="Normal"/>
    <w:link w:val="BalloonTextChar"/>
    <w:uiPriority w:val="99"/>
    <w:semiHidden/>
    <w:unhideWhenUsed/>
    <w:rsid w:val="008F2B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B69"/>
    <w:rPr>
      <w:rFonts w:ascii="Tahoma" w:eastAsia="Cambria" w:hAnsi="Tahoma" w:cs="Tahoma"/>
      <w:sz w:val="16"/>
      <w:szCs w:val="16"/>
    </w:rPr>
  </w:style>
  <w:style w:type="paragraph" w:customStyle="1" w:styleId="AHPRASubheading">
    <w:name w:val="AHPRA Subheading"/>
    <w:basedOn w:val="Normal"/>
    <w:link w:val="AHPRASubheadingChar"/>
    <w:qFormat/>
    <w:rsid w:val="00AA65EB"/>
    <w:pPr>
      <w:spacing w:before="200"/>
    </w:pPr>
    <w:rPr>
      <w:b/>
      <w:color w:val="007DC3"/>
      <w:sz w:val="20"/>
    </w:rPr>
  </w:style>
  <w:style w:type="character" w:customStyle="1" w:styleId="AHPRASubheadingChar">
    <w:name w:val="AHPRA Subheading Char"/>
    <w:link w:val="AHPRASubheading"/>
    <w:rsid w:val="00AA65EB"/>
    <w:rPr>
      <w:rFonts w:ascii="Arial" w:eastAsia="Cambria" w:hAnsi="Arial" w:cs="Times New Roman"/>
      <w:b/>
      <w:color w:val="007DC3"/>
      <w:sz w:val="20"/>
      <w:szCs w:val="24"/>
    </w:rPr>
  </w:style>
  <w:style w:type="paragraph" w:customStyle="1" w:styleId="AHPRABody0">
    <w:name w:val="AHPRA Body"/>
    <w:basedOn w:val="Normal"/>
    <w:qFormat/>
    <w:rsid w:val="0069460E"/>
    <w:pPr>
      <w:spacing w:after="0"/>
    </w:pPr>
    <w:rPr>
      <w:rFonts w:eastAsia="Times New Roman" w:cs="Arial"/>
      <w:sz w:val="20"/>
      <w:szCs w:val="20"/>
      <w:lang w:eastAsia="en-AU"/>
    </w:rPr>
  </w:style>
  <w:style w:type="paragraph" w:styleId="CommentSubject">
    <w:name w:val="annotation subject"/>
    <w:basedOn w:val="CommentText"/>
    <w:next w:val="CommentText"/>
    <w:link w:val="CommentSubjectChar"/>
    <w:uiPriority w:val="99"/>
    <w:semiHidden/>
    <w:unhideWhenUsed/>
    <w:rsid w:val="00766C24"/>
    <w:rPr>
      <w:b/>
      <w:bCs/>
    </w:rPr>
  </w:style>
  <w:style w:type="character" w:customStyle="1" w:styleId="CommentSubjectChar">
    <w:name w:val="Comment Subject Char"/>
    <w:basedOn w:val="CommentTextChar"/>
    <w:link w:val="CommentSubject"/>
    <w:uiPriority w:val="99"/>
    <w:semiHidden/>
    <w:rsid w:val="00766C24"/>
    <w:rPr>
      <w:rFonts w:ascii="Arial" w:eastAsia="Cambria" w:hAnsi="Arial" w:cs="Times New Roman"/>
      <w:b/>
      <w:bCs/>
      <w:sz w:val="20"/>
      <w:szCs w:val="20"/>
    </w:rPr>
  </w:style>
  <w:style w:type="paragraph" w:styleId="FootnoteText">
    <w:name w:val="footnote text"/>
    <w:basedOn w:val="Normal"/>
    <w:link w:val="FootnoteTextChar"/>
    <w:uiPriority w:val="99"/>
    <w:semiHidden/>
    <w:unhideWhenUsed/>
    <w:rsid w:val="00766C24"/>
    <w:pPr>
      <w:spacing w:after="0"/>
    </w:pPr>
    <w:rPr>
      <w:sz w:val="20"/>
      <w:szCs w:val="20"/>
    </w:rPr>
  </w:style>
  <w:style w:type="character" w:customStyle="1" w:styleId="FootnoteTextChar">
    <w:name w:val="Footnote Text Char"/>
    <w:basedOn w:val="DefaultParagraphFont"/>
    <w:link w:val="FootnoteText"/>
    <w:uiPriority w:val="99"/>
    <w:semiHidden/>
    <w:rsid w:val="00766C24"/>
    <w:rPr>
      <w:rFonts w:ascii="Arial" w:eastAsia="Cambria" w:hAnsi="Arial" w:cs="Times New Roman"/>
      <w:sz w:val="20"/>
      <w:szCs w:val="20"/>
    </w:rPr>
  </w:style>
  <w:style w:type="character" w:styleId="FootnoteReference">
    <w:name w:val="footnote reference"/>
    <w:basedOn w:val="DefaultParagraphFont"/>
    <w:uiPriority w:val="99"/>
    <w:semiHidden/>
    <w:unhideWhenUsed/>
    <w:rsid w:val="00766C24"/>
    <w:rPr>
      <w:vertAlign w:val="superscript"/>
    </w:rPr>
  </w:style>
  <w:style w:type="paragraph" w:styleId="ListParagraph">
    <w:name w:val="List Paragraph"/>
    <w:basedOn w:val="Normal"/>
    <w:uiPriority w:val="34"/>
    <w:qFormat/>
    <w:rsid w:val="00003467"/>
    <w:pPr>
      <w:ind w:left="720"/>
      <w:contextualSpacing/>
    </w:pPr>
  </w:style>
  <w:style w:type="paragraph" w:styleId="Revision">
    <w:name w:val="Revision"/>
    <w:hidden/>
    <w:uiPriority w:val="99"/>
    <w:semiHidden/>
    <w:rsid w:val="005C5CFB"/>
    <w:pPr>
      <w:spacing w:after="0" w:line="240" w:lineRule="auto"/>
    </w:pPr>
    <w:rPr>
      <w:rFonts w:ascii="Arial" w:eastAsia="Cambria" w:hAnsi="Arial" w:cs="Times New Roman"/>
      <w:sz w:val="24"/>
      <w:szCs w:val="24"/>
    </w:rPr>
  </w:style>
  <w:style w:type="character" w:styleId="FollowedHyperlink">
    <w:name w:val="FollowedHyperlink"/>
    <w:basedOn w:val="DefaultParagraphFont"/>
    <w:uiPriority w:val="99"/>
    <w:semiHidden/>
    <w:unhideWhenUsed/>
    <w:rsid w:val="00A81CF6"/>
    <w:rPr>
      <w:color w:val="800080" w:themeColor="followedHyperlink"/>
      <w:u w:val="single"/>
    </w:rPr>
  </w:style>
  <w:style w:type="character" w:customStyle="1" w:styleId="Heading1Char">
    <w:name w:val="Heading 1 Char"/>
    <w:basedOn w:val="DefaultParagraphFont"/>
    <w:link w:val="Heading1"/>
    <w:uiPriority w:val="9"/>
    <w:rsid w:val="006B3E5E"/>
    <w:rPr>
      <w:rFonts w:ascii="Arial" w:eastAsia="Calibri" w:hAnsi="Arial" w:cs="Times New Roman"/>
      <w:b/>
      <w:color w:val="008EC4"/>
      <w:sz w:val="28"/>
    </w:rPr>
  </w:style>
  <w:style w:type="paragraph" w:styleId="TOCHeading">
    <w:name w:val="TOC Heading"/>
    <w:basedOn w:val="Heading1"/>
    <w:next w:val="Normal"/>
    <w:uiPriority w:val="39"/>
    <w:semiHidden/>
    <w:unhideWhenUsed/>
    <w:qFormat/>
    <w:rsid w:val="007D2740"/>
    <w:pPr>
      <w:spacing w:line="276" w:lineRule="auto"/>
      <w:outlineLvl w:val="9"/>
    </w:pPr>
    <w:rPr>
      <w:lang w:val="en-US" w:eastAsia="ja-JP"/>
    </w:rPr>
  </w:style>
  <w:style w:type="paragraph" w:styleId="TOC2">
    <w:name w:val="toc 2"/>
    <w:basedOn w:val="Normal"/>
    <w:next w:val="Normal"/>
    <w:autoRedefine/>
    <w:uiPriority w:val="39"/>
    <w:unhideWhenUsed/>
    <w:qFormat/>
    <w:rsid w:val="00060C58"/>
    <w:pPr>
      <w:tabs>
        <w:tab w:val="right" w:leader="dot" w:pos="9016"/>
      </w:tabs>
      <w:spacing w:before="120" w:after="0"/>
    </w:pPr>
    <w:rPr>
      <w:iCs/>
      <w:sz w:val="20"/>
      <w:szCs w:val="20"/>
    </w:rPr>
  </w:style>
  <w:style w:type="paragraph" w:styleId="TOC3">
    <w:name w:val="toc 3"/>
    <w:basedOn w:val="TOC2"/>
    <w:next w:val="Normal"/>
    <w:autoRedefine/>
    <w:uiPriority w:val="39"/>
    <w:unhideWhenUsed/>
    <w:qFormat/>
    <w:rsid w:val="0060764E"/>
    <w:pPr>
      <w:spacing w:after="240"/>
    </w:pPr>
    <w:rPr>
      <w:noProof/>
    </w:rPr>
  </w:style>
  <w:style w:type="character" w:customStyle="1" w:styleId="Heading2Char">
    <w:name w:val="Heading 2 Char"/>
    <w:basedOn w:val="DefaultParagraphFont"/>
    <w:link w:val="Heading2"/>
    <w:uiPriority w:val="9"/>
    <w:rsid w:val="006B3E5E"/>
    <w:rPr>
      <w:rFonts w:ascii="Arial" w:eastAsia="Cambria" w:hAnsi="Arial" w:cs="Times New Roman"/>
      <w:b/>
      <w:sz w:val="24"/>
      <w:szCs w:val="20"/>
    </w:rPr>
  </w:style>
  <w:style w:type="paragraph" w:styleId="TOC1">
    <w:name w:val="toc 1"/>
    <w:basedOn w:val="Normal"/>
    <w:next w:val="Normal"/>
    <w:autoRedefine/>
    <w:uiPriority w:val="39"/>
    <w:unhideWhenUsed/>
    <w:qFormat/>
    <w:rsid w:val="00060C58"/>
    <w:pPr>
      <w:tabs>
        <w:tab w:val="right" w:leader="dot" w:pos="9016"/>
      </w:tabs>
      <w:spacing w:before="240" w:after="120"/>
    </w:pPr>
    <w:rPr>
      <w:rFonts w:cs="Arial"/>
      <w:bCs/>
      <w:noProof/>
      <w:sz w:val="20"/>
      <w:szCs w:val="20"/>
    </w:rPr>
  </w:style>
  <w:style w:type="paragraph" w:styleId="TOC4">
    <w:name w:val="toc 4"/>
    <w:basedOn w:val="Normal"/>
    <w:next w:val="Normal"/>
    <w:autoRedefine/>
    <w:uiPriority w:val="39"/>
    <w:unhideWhenUsed/>
    <w:rsid w:val="007D2740"/>
    <w:pPr>
      <w:spacing w:after="0"/>
      <w:ind w:left="720"/>
    </w:pPr>
    <w:rPr>
      <w:rFonts w:asciiTheme="minorHAnsi" w:hAnsiTheme="minorHAnsi"/>
      <w:sz w:val="20"/>
      <w:szCs w:val="20"/>
    </w:rPr>
  </w:style>
  <w:style w:type="paragraph" w:styleId="TOC5">
    <w:name w:val="toc 5"/>
    <w:basedOn w:val="Normal"/>
    <w:next w:val="Normal"/>
    <w:autoRedefine/>
    <w:uiPriority w:val="39"/>
    <w:unhideWhenUsed/>
    <w:rsid w:val="007D2740"/>
    <w:pPr>
      <w:spacing w:after="0"/>
      <w:ind w:left="960"/>
    </w:pPr>
    <w:rPr>
      <w:rFonts w:asciiTheme="minorHAnsi" w:hAnsiTheme="minorHAnsi"/>
      <w:sz w:val="20"/>
      <w:szCs w:val="20"/>
    </w:rPr>
  </w:style>
  <w:style w:type="paragraph" w:styleId="TOC6">
    <w:name w:val="toc 6"/>
    <w:basedOn w:val="Normal"/>
    <w:next w:val="Normal"/>
    <w:autoRedefine/>
    <w:uiPriority w:val="39"/>
    <w:unhideWhenUsed/>
    <w:rsid w:val="007D2740"/>
    <w:pPr>
      <w:spacing w:after="0"/>
      <w:ind w:left="1200"/>
    </w:pPr>
    <w:rPr>
      <w:rFonts w:asciiTheme="minorHAnsi" w:hAnsiTheme="minorHAnsi"/>
      <w:sz w:val="20"/>
      <w:szCs w:val="20"/>
    </w:rPr>
  </w:style>
  <w:style w:type="paragraph" w:styleId="TOC7">
    <w:name w:val="toc 7"/>
    <w:basedOn w:val="Normal"/>
    <w:next w:val="Normal"/>
    <w:autoRedefine/>
    <w:uiPriority w:val="39"/>
    <w:unhideWhenUsed/>
    <w:rsid w:val="007D2740"/>
    <w:pPr>
      <w:spacing w:after="0"/>
      <w:ind w:left="1440"/>
    </w:pPr>
    <w:rPr>
      <w:rFonts w:asciiTheme="minorHAnsi" w:hAnsiTheme="minorHAnsi"/>
      <w:sz w:val="20"/>
      <w:szCs w:val="20"/>
    </w:rPr>
  </w:style>
  <w:style w:type="paragraph" w:styleId="TOC8">
    <w:name w:val="toc 8"/>
    <w:basedOn w:val="Normal"/>
    <w:next w:val="Normal"/>
    <w:autoRedefine/>
    <w:uiPriority w:val="39"/>
    <w:unhideWhenUsed/>
    <w:rsid w:val="007D2740"/>
    <w:pPr>
      <w:spacing w:after="0"/>
      <w:ind w:left="1680"/>
    </w:pPr>
    <w:rPr>
      <w:rFonts w:asciiTheme="minorHAnsi" w:hAnsiTheme="minorHAnsi"/>
      <w:sz w:val="20"/>
      <w:szCs w:val="20"/>
    </w:rPr>
  </w:style>
  <w:style w:type="paragraph" w:styleId="TOC9">
    <w:name w:val="toc 9"/>
    <w:basedOn w:val="Normal"/>
    <w:next w:val="Normal"/>
    <w:autoRedefine/>
    <w:uiPriority w:val="39"/>
    <w:unhideWhenUsed/>
    <w:rsid w:val="007D2740"/>
    <w:pPr>
      <w:spacing w:after="0"/>
      <w:ind w:left="1920"/>
    </w:pPr>
    <w:rPr>
      <w:rFonts w:asciiTheme="minorHAnsi" w:hAnsiTheme="minorHAnsi"/>
      <w:sz w:val="20"/>
      <w:szCs w:val="20"/>
    </w:rPr>
  </w:style>
  <w:style w:type="paragraph" w:styleId="Header">
    <w:name w:val="header"/>
    <w:basedOn w:val="Normal"/>
    <w:link w:val="HeaderChar"/>
    <w:uiPriority w:val="99"/>
    <w:unhideWhenUsed/>
    <w:rsid w:val="006B3E5E"/>
    <w:pPr>
      <w:tabs>
        <w:tab w:val="center" w:pos="4513"/>
        <w:tab w:val="right" w:pos="9026"/>
      </w:tabs>
      <w:spacing w:after="0"/>
    </w:pPr>
  </w:style>
  <w:style w:type="character" w:customStyle="1" w:styleId="HeaderChar">
    <w:name w:val="Header Char"/>
    <w:basedOn w:val="DefaultParagraphFont"/>
    <w:link w:val="Header"/>
    <w:uiPriority w:val="99"/>
    <w:rsid w:val="006B3E5E"/>
    <w:rPr>
      <w:rFonts w:ascii="Arial" w:eastAsia="Cambria" w:hAnsi="Arial" w:cs="Times New Roman"/>
      <w:sz w:val="24"/>
      <w:szCs w:val="24"/>
    </w:rPr>
  </w:style>
  <w:style w:type="paragraph" w:styleId="Footer">
    <w:name w:val="footer"/>
    <w:basedOn w:val="Normal"/>
    <w:link w:val="FooterChar"/>
    <w:uiPriority w:val="99"/>
    <w:unhideWhenUsed/>
    <w:rsid w:val="006B3E5E"/>
    <w:pPr>
      <w:tabs>
        <w:tab w:val="center" w:pos="4513"/>
        <w:tab w:val="right" w:pos="9026"/>
      </w:tabs>
      <w:spacing w:after="0"/>
    </w:pPr>
  </w:style>
  <w:style w:type="character" w:customStyle="1" w:styleId="FooterChar">
    <w:name w:val="Footer Char"/>
    <w:basedOn w:val="DefaultParagraphFont"/>
    <w:link w:val="Footer"/>
    <w:uiPriority w:val="99"/>
    <w:rsid w:val="006B3E5E"/>
    <w:rPr>
      <w:rFonts w:ascii="Arial" w:eastAsia="Cambria" w:hAnsi="Arial" w:cs="Times New Roman"/>
      <w:sz w:val="24"/>
      <w:szCs w:val="24"/>
    </w:rPr>
  </w:style>
  <w:style w:type="character" w:customStyle="1" w:styleId="Heading3Char">
    <w:name w:val="Heading 3 Char"/>
    <w:basedOn w:val="DefaultParagraphFont"/>
    <w:link w:val="Heading3"/>
    <w:uiPriority w:val="9"/>
    <w:rsid w:val="006B3E5E"/>
    <w:rPr>
      <w:rFonts w:ascii="Arial" w:eastAsia="Cambria" w:hAnsi="Arial" w:cs="Times New Roman"/>
      <w:b/>
      <w:color w:val="007DC3"/>
      <w:sz w:val="20"/>
      <w:szCs w:val="24"/>
    </w:rPr>
  </w:style>
  <w:style w:type="paragraph" w:styleId="Caption">
    <w:name w:val="caption"/>
    <w:basedOn w:val="Normal"/>
    <w:next w:val="Normal"/>
    <w:uiPriority w:val="35"/>
    <w:unhideWhenUsed/>
    <w:qFormat/>
    <w:rsid w:val="006B3E5E"/>
    <w:pPr>
      <w:keepNext/>
      <w:spacing w:after="120"/>
      <w:jc w:val="center"/>
    </w:pPr>
    <w:rPr>
      <w:b/>
      <w:bCs/>
      <w:sz w:val="18"/>
      <w:szCs w:val="18"/>
    </w:rPr>
  </w:style>
  <w:style w:type="character" w:customStyle="1" w:styleId="Heading4Char">
    <w:name w:val="Heading 4 Char"/>
    <w:basedOn w:val="DefaultParagraphFont"/>
    <w:link w:val="Heading4"/>
    <w:uiPriority w:val="9"/>
    <w:rsid w:val="00FA063B"/>
    <w:rPr>
      <w:rFonts w:ascii="Arial" w:eastAsia="Cambria" w:hAnsi="Arial" w:cs="Times New Roman"/>
      <w:b/>
      <w:sz w:val="20"/>
      <w:szCs w:val="24"/>
      <w:lang w:val="en-US"/>
    </w:rPr>
  </w:style>
  <w:style w:type="paragraph" w:styleId="TableofFigures">
    <w:name w:val="table of figures"/>
    <w:basedOn w:val="Normal"/>
    <w:next w:val="Normal"/>
    <w:uiPriority w:val="99"/>
    <w:unhideWhenUsed/>
    <w:rsid w:val="00A45637"/>
    <w:pPr>
      <w:spacing w:before="360" w:after="0"/>
    </w:pPr>
    <w:rPr>
      <w:sz w:val="20"/>
    </w:rPr>
  </w:style>
  <w:style w:type="paragraph" w:customStyle="1" w:styleId="AHPRAbodybold">
    <w:name w:val="AHPRA body bold"/>
    <w:basedOn w:val="AHPRAbody"/>
    <w:link w:val="AHPRAbodyboldChar"/>
    <w:qFormat/>
    <w:rsid w:val="00974489"/>
    <w:rPr>
      <w:b/>
      <w:lang w:val="en-US"/>
    </w:rPr>
  </w:style>
  <w:style w:type="character" w:customStyle="1" w:styleId="AHPRAbodyboldChar">
    <w:name w:val="AHPRA body bold Char"/>
    <w:link w:val="AHPRAbodybold"/>
    <w:rsid w:val="00974489"/>
    <w:rPr>
      <w:rFonts w:ascii="Arial" w:eastAsia="Cambria" w:hAnsi="Arial" w:cs="Times New Roman"/>
      <w:b/>
      <w:sz w:val="20"/>
      <w:szCs w:val="24"/>
      <w:lang w:val="en-US"/>
    </w:rPr>
  </w:style>
  <w:style w:type="paragraph" w:customStyle="1" w:styleId="AHPRABulletlevel3">
    <w:name w:val="AHPRA Bullet level 3"/>
    <w:basedOn w:val="Normal"/>
    <w:rsid w:val="00974489"/>
    <w:pPr>
      <w:numPr>
        <w:numId w:val="14"/>
      </w:numPr>
      <w:spacing w:after="0"/>
      <w:ind w:left="1106" w:hanging="369"/>
    </w:pPr>
    <w:rPr>
      <w:sz w:val="20"/>
      <w:szCs w:val="20"/>
    </w:rPr>
  </w:style>
  <w:style w:type="character" w:customStyle="1" w:styleId="ColorfulShading-Accent3Char">
    <w:name w:val="Colorful Shading - Accent 3 Char"/>
    <w:aliases w:val="Recommendation Char,Medium List 2 - Accent 4 Char"/>
    <w:link w:val="ColorfulShading-Accent3"/>
    <w:uiPriority w:val="34"/>
    <w:locked/>
    <w:rsid w:val="00974489"/>
    <w:rPr>
      <w:rFonts w:eastAsia="Calibri"/>
      <w:szCs w:val="22"/>
      <w:lang w:eastAsia="en-US"/>
    </w:rPr>
  </w:style>
  <w:style w:type="table" w:styleId="ColorfulShading-Accent3">
    <w:name w:val="Colorful Shading Accent 3"/>
    <w:basedOn w:val="TableNormal"/>
    <w:link w:val="ColorfulShading-Accent3Char"/>
    <w:uiPriority w:val="34"/>
    <w:rsid w:val="00974489"/>
    <w:pPr>
      <w:spacing w:after="0" w:line="240" w:lineRule="auto"/>
    </w:pPr>
    <w:rPr>
      <w:rFonts w:eastAsia="Calibri"/>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5E7530" w:themeFill="accent3" w:themeFillShade="99"/>
      </w:tcPr>
    </w:tblStylePr>
    <w:tblStylePr w:type="firstCol">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601449">
      <w:bodyDiv w:val="1"/>
      <w:marLeft w:val="0"/>
      <w:marRight w:val="0"/>
      <w:marTop w:val="0"/>
      <w:marBottom w:val="0"/>
      <w:divBdr>
        <w:top w:val="none" w:sz="0" w:space="0" w:color="auto"/>
        <w:left w:val="none" w:sz="0" w:space="0" w:color="auto"/>
        <w:bottom w:val="none" w:sz="0" w:space="0" w:color="auto"/>
        <w:right w:val="none" w:sz="0" w:space="0" w:color="auto"/>
      </w:divBdr>
    </w:div>
    <w:div w:id="823350234">
      <w:bodyDiv w:val="1"/>
      <w:marLeft w:val="0"/>
      <w:marRight w:val="0"/>
      <w:marTop w:val="0"/>
      <w:marBottom w:val="0"/>
      <w:divBdr>
        <w:top w:val="none" w:sz="0" w:space="0" w:color="auto"/>
        <w:left w:val="none" w:sz="0" w:space="0" w:color="auto"/>
        <w:bottom w:val="none" w:sz="0" w:space="0" w:color="auto"/>
        <w:right w:val="none" w:sz="0" w:space="0" w:color="auto"/>
      </w:divBdr>
    </w:div>
    <w:div w:id="881210448">
      <w:bodyDiv w:val="1"/>
      <w:marLeft w:val="0"/>
      <w:marRight w:val="0"/>
      <w:marTop w:val="0"/>
      <w:marBottom w:val="0"/>
      <w:divBdr>
        <w:top w:val="none" w:sz="0" w:space="0" w:color="auto"/>
        <w:left w:val="none" w:sz="0" w:space="0" w:color="auto"/>
        <w:bottom w:val="none" w:sz="0" w:space="0" w:color="auto"/>
        <w:right w:val="none" w:sz="0" w:space="0" w:color="auto"/>
      </w:divBdr>
    </w:div>
    <w:div w:id="1089617224">
      <w:bodyDiv w:val="1"/>
      <w:marLeft w:val="0"/>
      <w:marRight w:val="0"/>
      <w:marTop w:val="0"/>
      <w:marBottom w:val="0"/>
      <w:divBdr>
        <w:top w:val="none" w:sz="0" w:space="0" w:color="auto"/>
        <w:left w:val="none" w:sz="0" w:space="0" w:color="auto"/>
        <w:bottom w:val="none" w:sz="0" w:space="0" w:color="auto"/>
        <w:right w:val="none" w:sz="0" w:space="0" w:color="auto"/>
      </w:divBdr>
    </w:div>
    <w:div w:id="1333989085">
      <w:bodyDiv w:val="1"/>
      <w:marLeft w:val="0"/>
      <w:marRight w:val="0"/>
      <w:marTop w:val="0"/>
      <w:marBottom w:val="0"/>
      <w:divBdr>
        <w:top w:val="none" w:sz="0" w:space="0" w:color="auto"/>
        <w:left w:val="none" w:sz="0" w:space="0" w:color="auto"/>
        <w:bottom w:val="none" w:sz="0" w:space="0" w:color="auto"/>
        <w:right w:val="none" w:sz="0" w:space="0" w:color="auto"/>
      </w:divBdr>
    </w:div>
    <w:div w:id="1336034403">
      <w:bodyDiv w:val="1"/>
      <w:marLeft w:val="0"/>
      <w:marRight w:val="0"/>
      <w:marTop w:val="0"/>
      <w:marBottom w:val="0"/>
      <w:divBdr>
        <w:top w:val="none" w:sz="0" w:space="0" w:color="auto"/>
        <w:left w:val="none" w:sz="0" w:space="0" w:color="auto"/>
        <w:bottom w:val="none" w:sz="0" w:space="0" w:color="auto"/>
        <w:right w:val="none" w:sz="0" w:space="0" w:color="auto"/>
      </w:divBdr>
    </w:div>
    <w:div w:id="1356228580">
      <w:bodyDiv w:val="1"/>
      <w:marLeft w:val="0"/>
      <w:marRight w:val="0"/>
      <w:marTop w:val="0"/>
      <w:marBottom w:val="0"/>
      <w:divBdr>
        <w:top w:val="none" w:sz="0" w:space="0" w:color="auto"/>
        <w:left w:val="none" w:sz="0" w:space="0" w:color="auto"/>
        <w:bottom w:val="none" w:sz="0" w:space="0" w:color="auto"/>
        <w:right w:val="none" w:sz="0" w:space="0" w:color="auto"/>
      </w:divBdr>
    </w:div>
    <w:div w:id="1434933201">
      <w:bodyDiv w:val="1"/>
      <w:marLeft w:val="0"/>
      <w:marRight w:val="0"/>
      <w:marTop w:val="0"/>
      <w:marBottom w:val="0"/>
      <w:divBdr>
        <w:top w:val="none" w:sz="0" w:space="0" w:color="auto"/>
        <w:left w:val="none" w:sz="0" w:space="0" w:color="auto"/>
        <w:bottom w:val="none" w:sz="0" w:space="0" w:color="auto"/>
        <w:right w:val="none" w:sz="0" w:space="0" w:color="auto"/>
      </w:divBdr>
    </w:div>
    <w:div w:id="174463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hpra.org.au" TargetMode="External"/><Relationship Id="rId13" Type="http://schemas.openxmlformats.org/officeDocument/2006/relationships/hyperlink" Target="http://www.ahpra.gov.au/annualreport/2015/" TargetMode="External"/><Relationship Id="rId18" Type="http://schemas.openxmlformats.org/officeDocument/2006/relationships/hyperlink" Target="http://www.ahpra.gov.au/annualreport/201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hpra.gov.au/annualreport/2015/" TargetMode="External"/><Relationship Id="rId17" Type="http://schemas.openxmlformats.org/officeDocument/2006/relationships/hyperlink" Target="http://www.ahpra.gov.au/annualreport/2015/" TargetMode="External"/><Relationship Id="rId2" Type="http://schemas.openxmlformats.org/officeDocument/2006/relationships/numbering" Target="numbering.xml"/><Relationship Id="rId16" Type="http://schemas.openxmlformats.org/officeDocument/2006/relationships/hyperlink" Target="http://www.ahpra.gov.au/annualreport/2015/" TargetMode="External"/><Relationship Id="rId20" Type="http://schemas.openxmlformats.org/officeDocument/2006/relationships/hyperlink" Target="http://www.psychologyboard.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annualreport/2015/" TargetMode="External"/><Relationship Id="rId5" Type="http://schemas.openxmlformats.org/officeDocument/2006/relationships/webSettings" Target="webSettings.xml"/><Relationship Id="rId15" Type="http://schemas.openxmlformats.org/officeDocument/2006/relationships/hyperlink" Target="http://www.ahpra.gov.au/annualreport/2015/" TargetMode="External"/><Relationship Id="rId10" Type="http://schemas.openxmlformats.org/officeDocument/2006/relationships/hyperlink" Target="http://www.ahpra.gov.au/annualreport/2015/" TargetMode="External"/><Relationship Id="rId19" Type="http://schemas.openxmlformats.org/officeDocument/2006/relationships/hyperlink" Target="http://www.ahpra.gov.au/annualreport/2015/" TargetMode="External"/><Relationship Id="rId4" Type="http://schemas.openxmlformats.org/officeDocument/2006/relationships/settings" Target="settings.xml"/><Relationship Id="rId9" Type="http://schemas.openxmlformats.org/officeDocument/2006/relationships/hyperlink" Target="http://www.psychologyboard.org.au" TargetMode="External"/><Relationship Id="rId14" Type="http://schemas.openxmlformats.org/officeDocument/2006/relationships/hyperlink" Target="http://www.ahpra.gov.au/Notifications.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00564-C7DE-4AE2-9BD2-3F19BAE8C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5558</Words>
  <Characters>31682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Aboriginal and Torres Strait Islander health practitioner regulation at work in Australia, 2014/15</vt:lpstr>
    </vt:vector>
  </TitlesOfParts>
  <Company>AHPRA</Company>
  <LinksUpToDate>false</LinksUpToDate>
  <CharactersWithSpaces>37166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regulation at work in Australia, 2014/15</dc:title>
  <dc:subject>Report</dc:subject>
  <dc:creator>Psychology Board</dc:creator>
  <cp:lastModifiedBy>Gareth Meade</cp:lastModifiedBy>
  <cp:revision>2</cp:revision>
  <dcterms:created xsi:type="dcterms:W3CDTF">2016-06-21T00:56:00Z</dcterms:created>
  <dcterms:modified xsi:type="dcterms:W3CDTF">2016-06-21T00:56:00Z</dcterms:modified>
</cp:coreProperties>
</file>