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178" w:rsidRPr="00C35DE1" w:rsidRDefault="00210DF5" w:rsidP="0079578A">
      <w:pPr>
        <w:pStyle w:val="AHPRATitle"/>
        <w:rPr>
          <w:color w:val="00BCCE"/>
          <w:sz w:val="32"/>
          <w:szCs w:val="32"/>
        </w:rPr>
      </w:pPr>
      <w:r>
        <w:rPr>
          <w:rFonts w:cs="Times New Roman"/>
          <w:color w:val="auto"/>
          <w:sz w:val="20"/>
          <w:szCs w:val="24"/>
          <w:lang w:val="en-US"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5.65pt;margin-top:19.7pt;width:130.95pt;height:0;z-index:251657728" o:connectortype="straight"/>
        </w:pict>
      </w:r>
      <w:r w:rsidR="009D5E6A">
        <w:rPr>
          <w:color w:val="00BCCE"/>
          <w:sz w:val="32"/>
          <w:szCs w:val="32"/>
        </w:rPr>
        <w:t>Fact sheet</w:t>
      </w:r>
    </w:p>
    <w:p w:rsidR="00B559ED" w:rsidRPr="009D5E6A" w:rsidRDefault="003F3850" w:rsidP="00B559ED">
      <w:pPr>
        <w:pStyle w:val="AHPRAHeadline"/>
        <w:outlineLvl w:val="0"/>
        <w:rPr>
          <w:color w:val="auto"/>
          <w:sz w:val="20"/>
          <w:lang w:val="en-US" w:eastAsia="en-AU"/>
        </w:rPr>
      </w:pPr>
      <w:r>
        <w:rPr>
          <w:color w:val="auto"/>
          <w:sz w:val="20"/>
          <w:lang w:val="en-US" w:eastAsia="en-AU"/>
        </w:rPr>
        <w:t>February</w:t>
      </w:r>
      <w:r w:rsidR="00785587" w:rsidRPr="00E314CC">
        <w:rPr>
          <w:color w:val="auto"/>
          <w:sz w:val="20"/>
          <w:lang w:val="en-US" w:eastAsia="en-AU"/>
        </w:rPr>
        <w:t xml:space="preserve"> </w:t>
      </w:r>
      <w:r w:rsidR="00BD11D4">
        <w:rPr>
          <w:color w:val="auto"/>
          <w:sz w:val="20"/>
          <w:lang w:val="en-US" w:eastAsia="en-AU"/>
        </w:rPr>
        <w:t>2015</w:t>
      </w:r>
    </w:p>
    <w:p w:rsidR="00B559ED" w:rsidRDefault="009D5E6A" w:rsidP="00B559ED">
      <w:pPr>
        <w:pStyle w:val="AHPRAHeadline"/>
        <w:spacing w:after="0"/>
        <w:outlineLvl w:val="0"/>
        <w:rPr>
          <w:color w:val="60605B"/>
        </w:rPr>
      </w:pPr>
      <w:r>
        <w:rPr>
          <w:color w:val="60605B"/>
        </w:rPr>
        <w:t xml:space="preserve">International criminal history checks </w:t>
      </w:r>
      <w:r w:rsidR="00C90491">
        <w:rPr>
          <w:color w:val="60605B"/>
        </w:rPr>
        <w:t>for new applicants</w:t>
      </w:r>
    </w:p>
    <w:p w:rsidR="00DD45AA" w:rsidRDefault="00DD45AA" w:rsidP="00B559ED">
      <w:pPr>
        <w:pStyle w:val="AHPRAHeadline"/>
        <w:spacing w:after="0"/>
        <w:outlineLvl w:val="0"/>
        <w:rPr>
          <w:color w:val="60605B"/>
        </w:rPr>
      </w:pPr>
    </w:p>
    <w:p w:rsidR="00B559ED" w:rsidRDefault="00B559ED" w:rsidP="00B559E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en-US" w:eastAsia="en-AU"/>
        </w:rPr>
      </w:pPr>
    </w:p>
    <w:p w:rsidR="0039292A" w:rsidRDefault="003F3850" w:rsidP="0039292A">
      <w:pPr>
        <w:pStyle w:val="AHPRASubhead"/>
        <w:rPr>
          <w:b w:val="0"/>
          <w:color w:val="auto"/>
          <w:lang w:val="en-US" w:eastAsia="en-AU"/>
        </w:rPr>
      </w:pPr>
      <w:r>
        <w:rPr>
          <w:b w:val="0"/>
          <w:color w:val="auto"/>
          <w:lang w:val="en-US" w:eastAsia="en-AU"/>
        </w:rPr>
        <w:t>As of</w:t>
      </w:r>
      <w:r w:rsidR="00E2750F">
        <w:rPr>
          <w:b w:val="0"/>
          <w:color w:val="auto"/>
          <w:lang w:val="en-US" w:eastAsia="en-AU"/>
        </w:rPr>
        <w:t xml:space="preserve"> 4 February 2015,</w:t>
      </w:r>
      <w:r w:rsidR="009D5E6A">
        <w:rPr>
          <w:b w:val="0"/>
          <w:color w:val="auto"/>
          <w:lang w:val="en-US" w:eastAsia="en-AU"/>
        </w:rPr>
        <w:t xml:space="preserve"> National Boards</w:t>
      </w:r>
      <w:r w:rsidR="00210DF5">
        <w:rPr>
          <w:b w:val="0"/>
          <w:color w:val="auto"/>
          <w:lang w:val="en-US" w:eastAsia="en-AU"/>
        </w:rPr>
        <w:t xml:space="preserve"> have</w:t>
      </w:r>
      <w:r w:rsidR="009D5E6A">
        <w:rPr>
          <w:b w:val="0"/>
          <w:color w:val="auto"/>
          <w:lang w:val="en-US" w:eastAsia="en-AU"/>
        </w:rPr>
        <w:t xml:space="preserve"> </w:t>
      </w:r>
      <w:r>
        <w:rPr>
          <w:b w:val="0"/>
          <w:color w:val="auto"/>
          <w:lang w:val="en-US" w:eastAsia="en-AU"/>
        </w:rPr>
        <w:t>implemented</w:t>
      </w:r>
      <w:r w:rsidR="009D5E6A">
        <w:rPr>
          <w:b w:val="0"/>
          <w:color w:val="auto"/>
          <w:lang w:val="en-US" w:eastAsia="en-AU"/>
        </w:rPr>
        <w:t xml:space="preserve"> a new approach to check international criminal history</w:t>
      </w:r>
      <w:r w:rsidR="0039292A">
        <w:rPr>
          <w:b w:val="0"/>
          <w:color w:val="auto"/>
          <w:lang w:val="en-US" w:eastAsia="en-AU"/>
        </w:rPr>
        <w:t>.</w:t>
      </w:r>
      <w:r w:rsidR="009D5E6A">
        <w:rPr>
          <w:b w:val="0"/>
          <w:color w:val="auto"/>
          <w:lang w:val="en-US" w:eastAsia="en-AU"/>
        </w:rPr>
        <w:t xml:space="preserve"> This approach will be piloted for </w:t>
      </w:r>
      <w:r w:rsidR="00706836">
        <w:rPr>
          <w:b w:val="0"/>
          <w:color w:val="auto"/>
          <w:lang w:val="en-US" w:eastAsia="en-AU"/>
        </w:rPr>
        <w:t xml:space="preserve">one </w:t>
      </w:r>
      <w:r w:rsidR="00C90491">
        <w:rPr>
          <w:b w:val="0"/>
          <w:color w:val="auto"/>
          <w:lang w:val="en-US" w:eastAsia="en-AU"/>
        </w:rPr>
        <w:t>year</w:t>
      </w:r>
      <w:r w:rsidR="009D5E6A">
        <w:rPr>
          <w:b w:val="0"/>
          <w:color w:val="auto"/>
          <w:lang w:val="en-US" w:eastAsia="en-AU"/>
        </w:rPr>
        <w:t xml:space="preserve"> so that it can be evaluated to see if it is working as intended.</w:t>
      </w:r>
    </w:p>
    <w:p w:rsidR="00D77E67" w:rsidRPr="003269F4" w:rsidRDefault="00D77E67" w:rsidP="00D77E67">
      <w:pPr>
        <w:pStyle w:val="Default"/>
        <w:rPr>
          <w:color w:val="auto"/>
          <w:sz w:val="20"/>
          <w:szCs w:val="20"/>
        </w:rPr>
      </w:pPr>
      <w:r>
        <w:rPr>
          <w:sz w:val="20"/>
          <w:szCs w:val="20"/>
        </w:rPr>
        <w:t>The new approach introduces the requirement of a third party international criminal history check to bring it in to line with what is required for domestic criminal history checks</w:t>
      </w:r>
      <w:r w:rsidRPr="003269F4">
        <w:rPr>
          <w:color w:val="auto"/>
          <w:sz w:val="20"/>
          <w:szCs w:val="20"/>
        </w:rPr>
        <w:t xml:space="preserve">. The </w:t>
      </w:r>
      <w:r w:rsidR="009050DD" w:rsidRPr="003269F4">
        <w:rPr>
          <w:color w:val="auto"/>
          <w:sz w:val="20"/>
          <w:szCs w:val="20"/>
        </w:rPr>
        <w:t xml:space="preserve">aim is to strike a balance between public safety and regulatory burden for practitioners. We need to understand and manage any risk to patients and the public without delaying the registration process for applicants.   </w:t>
      </w:r>
    </w:p>
    <w:p w:rsidR="00D77E67" w:rsidRDefault="00D77E67" w:rsidP="00DD45AA">
      <w:pPr>
        <w:pStyle w:val="AHPRASubhead"/>
        <w:spacing w:after="0"/>
        <w:rPr>
          <w:b w:val="0"/>
          <w:color w:val="auto"/>
          <w:lang w:val="en-US" w:eastAsia="en-AU"/>
        </w:rPr>
      </w:pPr>
    </w:p>
    <w:p w:rsidR="009D5E6A" w:rsidRDefault="009D5E6A" w:rsidP="00DD45AA">
      <w:pPr>
        <w:pStyle w:val="AHPRASubhead"/>
        <w:spacing w:after="0"/>
        <w:rPr>
          <w:b w:val="0"/>
          <w:color w:val="auto"/>
          <w:lang w:val="en-US" w:eastAsia="en-AU"/>
        </w:rPr>
      </w:pPr>
      <w:r>
        <w:rPr>
          <w:b w:val="0"/>
          <w:color w:val="auto"/>
          <w:lang w:val="en-US" w:eastAsia="en-AU"/>
        </w:rPr>
        <w:t xml:space="preserve">This fact sheet outlines how this approach will work </w:t>
      </w:r>
      <w:r w:rsidR="00C90491">
        <w:rPr>
          <w:b w:val="0"/>
          <w:color w:val="auto"/>
          <w:lang w:val="en-US" w:eastAsia="en-AU"/>
        </w:rPr>
        <w:t>and how individuals applying for registration in Australia will be affected.</w:t>
      </w:r>
    </w:p>
    <w:p w:rsidR="00230969" w:rsidRDefault="00230969" w:rsidP="00DD45AA">
      <w:pPr>
        <w:pStyle w:val="AHPRASubhead"/>
        <w:spacing w:after="0"/>
        <w:rPr>
          <w:b w:val="0"/>
          <w:color w:val="auto"/>
          <w:lang w:val="en-US" w:eastAsia="en-AU"/>
        </w:rPr>
      </w:pPr>
    </w:p>
    <w:p w:rsidR="0039292A" w:rsidRDefault="00230969" w:rsidP="00230969">
      <w:pPr>
        <w:rPr>
          <w:rFonts w:ascii="Arial" w:hAnsi="Arial" w:cs="Arial"/>
          <w:color w:val="000000"/>
          <w:sz w:val="20"/>
          <w:szCs w:val="20"/>
          <w:lang w:val="en-US" w:eastAsia="en-AU"/>
        </w:rPr>
      </w:pPr>
      <w:r>
        <w:rPr>
          <w:rFonts w:ascii="Arial" w:hAnsi="Arial" w:cs="Arial"/>
          <w:sz w:val="20"/>
          <w:szCs w:val="20"/>
        </w:rPr>
        <w:t xml:space="preserve">Please note that under the National Law, National Boards (and AHPRA as their delegate) are able to seek a criminal history check for registered health practitioners at any time (for Australia or other countries).  This means that if an applicant becomes a registered practitioner in Australia, they may </w:t>
      </w:r>
      <w:r w:rsidR="00706836">
        <w:rPr>
          <w:rFonts w:ascii="Arial" w:hAnsi="Arial" w:cs="Arial"/>
          <w:sz w:val="20"/>
          <w:szCs w:val="20"/>
        </w:rPr>
        <w:t xml:space="preserve">also </w:t>
      </w:r>
      <w:r>
        <w:rPr>
          <w:rFonts w:ascii="Arial" w:hAnsi="Arial" w:cs="Arial"/>
          <w:sz w:val="20"/>
          <w:szCs w:val="20"/>
        </w:rPr>
        <w:t xml:space="preserve">be </w:t>
      </w:r>
      <w:r w:rsidR="00B857DC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subject of further criminal history checks at any time.</w:t>
      </w:r>
    </w:p>
    <w:p w:rsidR="0039292A" w:rsidRDefault="009D5E6A" w:rsidP="00230969">
      <w:pPr>
        <w:pStyle w:val="AHPRASubhead"/>
        <w:spacing w:before="240"/>
        <w:rPr>
          <w:lang w:val="en-US" w:eastAsia="en-AU"/>
        </w:rPr>
      </w:pPr>
      <w:r>
        <w:rPr>
          <w:lang w:val="en-US" w:eastAsia="en-AU"/>
        </w:rPr>
        <w:t>A new approach to internatio</w:t>
      </w:r>
      <w:r w:rsidR="00210DF5">
        <w:rPr>
          <w:lang w:val="en-US" w:eastAsia="en-AU"/>
        </w:rPr>
        <w:t>nal criminal history checks has</w:t>
      </w:r>
      <w:r>
        <w:rPr>
          <w:lang w:val="en-US" w:eastAsia="en-AU"/>
        </w:rPr>
        <w:t xml:space="preserve"> </w:t>
      </w:r>
      <w:r w:rsidR="00C431E3">
        <w:rPr>
          <w:lang w:val="en-US" w:eastAsia="en-AU"/>
        </w:rPr>
        <w:t>take</w:t>
      </w:r>
      <w:r w:rsidR="00210DF5">
        <w:rPr>
          <w:lang w:val="en-US" w:eastAsia="en-AU"/>
        </w:rPr>
        <w:t xml:space="preserve">n effect as of </w:t>
      </w:r>
      <w:r w:rsidR="00E2750F">
        <w:rPr>
          <w:lang w:val="en-US" w:eastAsia="en-AU"/>
        </w:rPr>
        <w:t>4 February 2015</w:t>
      </w:r>
    </w:p>
    <w:p w:rsidR="00E302D0" w:rsidRDefault="00E302D0" w:rsidP="00B559ED">
      <w:pPr>
        <w:pStyle w:val="AHPRASubhead"/>
        <w:rPr>
          <w:b w:val="0"/>
          <w:color w:val="auto"/>
          <w:lang w:val="en-US" w:eastAsia="en-AU"/>
        </w:rPr>
      </w:pPr>
      <w:r>
        <w:rPr>
          <w:b w:val="0"/>
          <w:color w:val="auto"/>
          <w:lang w:val="en-US" w:eastAsia="en-AU"/>
        </w:rPr>
        <w:t xml:space="preserve">This means that </w:t>
      </w:r>
      <w:r w:rsidR="00C431E3">
        <w:rPr>
          <w:b w:val="0"/>
          <w:color w:val="auto"/>
          <w:lang w:val="en-US" w:eastAsia="en-AU"/>
        </w:rPr>
        <w:t>new applicants seeking registration in Australia</w:t>
      </w:r>
      <w:r>
        <w:rPr>
          <w:b w:val="0"/>
          <w:color w:val="auto"/>
          <w:lang w:val="en-US" w:eastAsia="en-AU"/>
        </w:rPr>
        <w:t xml:space="preserve"> will need to obtain an independent international criminal history check from </w:t>
      </w:r>
      <w:r w:rsidR="00801A1C">
        <w:rPr>
          <w:b w:val="0"/>
          <w:color w:val="auto"/>
          <w:lang w:val="en-US" w:eastAsia="en-AU"/>
        </w:rPr>
        <w:t>an</w:t>
      </w:r>
      <w:r w:rsidR="00E04C9B">
        <w:rPr>
          <w:b w:val="0"/>
          <w:color w:val="auto"/>
          <w:lang w:val="en-US" w:eastAsia="en-AU"/>
        </w:rPr>
        <w:t xml:space="preserve"> AHPRA</w:t>
      </w:r>
      <w:r w:rsidR="00CF5582">
        <w:rPr>
          <w:b w:val="0"/>
          <w:color w:val="auto"/>
          <w:lang w:val="en-US" w:eastAsia="en-AU"/>
        </w:rPr>
        <w:t xml:space="preserve"> </w:t>
      </w:r>
      <w:r w:rsidR="00801A1C">
        <w:rPr>
          <w:b w:val="0"/>
          <w:color w:val="auto"/>
          <w:lang w:val="en-US" w:eastAsia="en-AU"/>
        </w:rPr>
        <w:t>approved supplier (as listed on the AHPRA website)</w:t>
      </w:r>
      <w:r>
        <w:rPr>
          <w:b w:val="0"/>
          <w:color w:val="auto"/>
          <w:lang w:val="en-US" w:eastAsia="en-AU"/>
        </w:rPr>
        <w:t>, who will provide the report to them as well as directly to AHPRA.</w:t>
      </w:r>
    </w:p>
    <w:p w:rsidR="00230969" w:rsidRPr="00230969" w:rsidRDefault="00E302D0" w:rsidP="00230969">
      <w:pPr>
        <w:pStyle w:val="AHPRASubhead"/>
        <w:rPr>
          <w:lang w:val="en-US"/>
        </w:rPr>
      </w:pPr>
      <w:r w:rsidRPr="00230969">
        <w:rPr>
          <w:b w:val="0"/>
          <w:color w:val="auto"/>
          <w:lang w:val="en-US" w:eastAsia="en-AU"/>
        </w:rPr>
        <w:t xml:space="preserve">The new approach applies to all individuals when they apply for registration in Australia </w:t>
      </w:r>
      <w:r w:rsidR="00236FEB" w:rsidRPr="00230969">
        <w:rPr>
          <w:b w:val="0"/>
          <w:color w:val="auto"/>
          <w:lang w:val="en-US" w:eastAsia="en-AU"/>
        </w:rPr>
        <w:t>(</w:t>
      </w:r>
      <w:r w:rsidRPr="00230969">
        <w:rPr>
          <w:b w:val="0"/>
          <w:color w:val="auto"/>
          <w:lang w:val="en-US" w:eastAsia="en-AU"/>
        </w:rPr>
        <w:t>if they are currently unregistered in Australia</w:t>
      </w:r>
      <w:r w:rsidR="00236FEB" w:rsidRPr="00230969">
        <w:rPr>
          <w:b w:val="0"/>
          <w:color w:val="auto"/>
          <w:lang w:val="en-US" w:eastAsia="en-AU"/>
        </w:rPr>
        <w:t>)</w:t>
      </w:r>
      <w:r w:rsidR="00C431E3" w:rsidRPr="00230969">
        <w:rPr>
          <w:b w:val="0"/>
          <w:color w:val="auto"/>
          <w:lang w:val="en-US" w:eastAsia="en-AU"/>
        </w:rPr>
        <w:t xml:space="preserve"> and have</w:t>
      </w:r>
      <w:r w:rsidR="00DB3144">
        <w:rPr>
          <w:b w:val="0"/>
          <w:color w:val="auto"/>
          <w:lang w:val="en-US" w:eastAsia="en-AU"/>
        </w:rPr>
        <w:t xml:space="preserve"> declared an international criminal history and/or have</w:t>
      </w:r>
      <w:r w:rsidR="00DB3144" w:rsidRPr="00230969">
        <w:rPr>
          <w:b w:val="0"/>
          <w:color w:val="auto"/>
          <w:lang w:val="en-US" w:eastAsia="en-AU"/>
        </w:rPr>
        <w:t xml:space="preserve"> </w:t>
      </w:r>
      <w:r w:rsidR="006E1ECD" w:rsidRPr="00230969">
        <w:rPr>
          <w:b w:val="0"/>
          <w:color w:val="auto"/>
          <w:lang w:val="en-US" w:eastAsia="en-AU"/>
        </w:rPr>
        <w:t>lived, or been primarily based</w:t>
      </w:r>
      <w:r w:rsidR="00230969" w:rsidRPr="00230969">
        <w:rPr>
          <w:b w:val="0"/>
          <w:color w:val="auto"/>
          <w:lang w:val="en-US" w:eastAsia="en-AU"/>
        </w:rPr>
        <w:t>, in a</w:t>
      </w:r>
      <w:r w:rsidR="00DB3144">
        <w:rPr>
          <w:b w:val="0"/>
          <w:color w:val="auto"/>
          <w:lang w:val="en-US" w:eastAsia="en-AU"/>
        </w:rPr>
        <w:t>ny</w:t>
      </w:r>
      <w:r w:rsidR="00230969" w:rsidRPr="00230969">
        <w:rPr>
          <w:b w:val="0"/>
          <w:color w:val="auto"/>
          <w:lang w:val="en-US" w:eastAsia="en-AU"/>
        </w:rPr>
        <w:t xml:space="preserve"> country other than Australia for six consecutive months or more when aged 18 years or </w:t>
      </w:r>
      <w:r w:rsidR="003F0D3F">
        <w:rPr>
          <w:b w:val="0"/>
          <w:color w:val="auto"/>
          <w:lang w:val="en-US" w:eastAsia="en-AU"/>
        </w:rPr>
        <w:t>over</w:t>
      </w:r>
      <w:r w:rsidR="00230969">
        <w:rPr>
          <w:b w:val="0"/>
          <w:color w:val="auto"/>
          <w:lang w:val="en-US" w:eastAsia="en-AU"/>
        </w:rPr>
        <w:t>.</w:t>
      </w:r>
    </w:p>
    <w:p w:rsidR="00230969" w:rsidRPr="00876154" w:rsidRDefault="00230969" w:rsidP="00230969">
      <w:pPr>
        <w:pStyle w:val="BodyText"/>
        <w:spacing w:after="0"/>
        <w:rPr>
          <w:rFonts w:ascii="Arial" w:hAnsi="Arial" w:cs="Arial"/>
          <w:b/>
          <w:sz w:val="20"/>
          <w:szCs w:val="20"/>
        </w:rPr>
      </w:pPr>
      <w:r w:rsidRPr="00876154">
        <w:rPr>
          <w:rFonts w:ascii="Arial" w:hAnsi="Arial" w:cs="Arial"/>
          <w:b/>
          <w:sz w:val="20"/>
          <w:szCs w:val="20"/>
        </w:rPr>
        <w:t>Applicants from New Zealand</w:t>
      </w:r>
      <w:bookmarkStart w:id="0" w:name="_GoBack"/>
      <w:bookmarkEnd w:id="0"/>
    </w:p>
    <w:p w:rsidR="00230969" w:rsidRDefault="00230969" w:rsidP="00230969">
      <w:pPr>
        <w:pStyle w:val="AHPRABulletlevel1"/>
        <w:numPr>
          <w:ilvl w:val="0"/>
          <w:numId w:val="0"/>
        </w:numPr>
      </w:pPr>
      <w:r w:rsidRPr="00876154">
        <w:t xml:space="preserve">While it is not </w:t>
      </w:r>
      <w:r w:rsidR="00E314CC">
        <w:t>mandated</w:t>
      </w:r>
      <w:r w:rsidR="00E314CC" w:rsidRPr="00876154">
        <w:t xml:space="preserve"> </w:t>
      </w:r>
      <w:r w:rsidRPr="00876154">
        <w:t>under the Trans-Tasman Mutual Recognition (TTMR) arrangements, the National Law allo</w:t>
      </w:r>
      <w:r>
        <w:t>w</w:t>
      </w:r>
      <w:r w:rsidRPr="00876154">
        <w:t xml:space="preserve">s a National Board to check </w:t>
      </w:r>
      <w:r>
        <w:t xml:space="preserve">a </w:t>
      </w:r>
      <w:r w:rsidRPr="00876154">
        <w:t>practitioner</w:t>
      </w:r>
      <w:r w:rsidR="000C5E11">
        <w:t>’</w:t>
      </w:r>
      <w:r w:rsidRPr="00876154">
        <w:t>s criminal history at any time. Practitioners registered under TTMR will be required to apply for a</w:t>
      </w:r>
      <w:r>
        <w:t>n</w:t>
      </w:r>
      <w:r w:rsidRPr="00876154">
        <w:t xml:space="preserve"> </w:t>
      </w:r>
      <w:r>
        <w:t xml:space="preserve">international </w:t>
      </w:r>
      <w:r w:rsidRPr="00876154">
        <w:t xml:space="preserve">criminal history check from </w:t>
      </w:r>
      <w:r w:rsidR="003F79AC">
        <w:t>an</w:t>
      </w:r>
      <w:r w:rsidRPr="00876154">
        <w:t xml:space="preserve"> </w:t>
      </w:r>
      <w:r w:rsidR="003F79AC">
        <w:t xml:space="preserve">AHPRA </w:t>
      </w:r>
      <w:r w:rsidRPr="00876154">
        <w:t>approved</w:t>
      </w:r>
      <w:r w:rsidR="003F79AC">
        <w:t xml:space="preserve"> supplier</w:t>
      </w:r>
      <w:r w:rsidRPr="00876154">
        <w:t>.</w:t>
      </w:r>
    </w:p>
    <w:p w:rsidR="009D5E6A" w:rsidRPr="009D5E6A" w:rsidRDefault="000033B9" w:rsidP="00230969">
      <w:pPr>
        <w:spacing w:before="240"/>
        <w:rPr>
          <w:rFonts w:ascii="Arial" w:hAnsi="Arial"/>
          <w:b/>
          <w:color w:val="008EC4"/>
          <w:sz w:val="20"/>
          <w:lang w:val="en-US" w:eastAsia="en-AU"/>
        </w:rPr>
      </w:pPr>
      <w:r>
        <w:rPr>
          <w:rFonts w:ascii="Arial" w:hAnsi="Arial"/>
          <w:b/>
          <w:color w:val="008EC4"/>
          <w:sz w:val="20"/>
          <w:lang w:val="en-US" w:eastAsia="en-AU"/>
        </w:rPr>
        <w:t>A</w:t>
      </w:r>
      <w:r w:rsidR="009D5E6A" w:rsidRPr="009D5E6A">
        <w:rPr>
          <w:rFonts w:ascii="Arial" w:hAnsi="Arial"/>
          <w:b/>
          <w:color w:val="008EC4"/>
          <w:sz w:val="20"/>
          <w:lang w:val="en-US" w:eastAsia="en-AU"/>
        </w:rPr>
        <w:t xml:space="preserve">pplicants </w:t>
      </w:r>
      <w:r w:rsidR="00055F8D">
        <w:rPr>
          <w:rFonts w:ascii="Arial" w:hAnsi="Arial"/>
          <w:b/>
          <w:color w:val="008EC4"/>
          <w:sz w:val="20"/>
          <w:lang w:val="en-US" w:eastAsia="en-AU"/>
        </w:rPr>
        <w:t>will need to obtain an international criminal history check from an approved supplier</w:t>
      </w:r>
    </w:p>
    <w:p w:rsidR="00E302D0" w:rsidRDefault="009050DD" w:rsidP="009D5E6A">
      <w:pPr>
        <w:rPr>
          <w:rFonts w:ascii="Arial" w:hAnsi="Arial"/>
          <w:bCs/>
          <w:sz w:val="20"/>
          <w:lang w:val="en-US"/>
        </w:rPr>
      </w:pPr>
      <w:r>
        <w:rPr>
          <w:rFonts w:ascii="Arial" w:hAnsi="Arial"/>
          <w:bCs/>
          <w:sz w:val="20"/>
          <w:lang w:val="en-US"/>
        </w:rPr>
        <w:t>A</w:t>
      </w:r>
      <w:r w:rsidR="00ED3606">
        <w:rPr>
          <w:rFonts w:ascii="Arial" w:hAnsi="Arial"/>
          <w:bCs/>
          <w:sz w:val="20"/>
          <w:lang w:val="en-US"/>
        </w:rPr>
        <w:t>pplicants</w:t>
      </w:r>
      <w:r>
        <w:rPr>
          <w:rFonts w:ascii="Arial" w:hAnsi="Arial"/>
          <w:bCs/>
          <w:sz w:val="20"/>
          <w:lang w:val="en-US"/>
        </w:rPr>
        <w:t xml:space="preserve"> who </w:t>
      </w:r>
      <w:r w:rsidR="00E302D0" w:rsidRPr="00C7234C">
        <w:rPr>
          <w:rFonts w:ascii="Arial" w:hAnsi="Arial"/>
          <w:bCs/>
          <w:sz w:val="20"/>
          <w:lang w:val="en-US"/>
        </w:rPr>
        <w:t>need</w:t>
      </w:r>
      <w:r w:rsidR="00230969">
        <w:rPr>
          <w:rFonts w:ascii="Arial" w:hAnsi="Arial"/>
          <w:bCs/>
          <w:sz w:val="20"/>
          <w:lang w:val="en-US"/>
        </w:rPr>
        <w:t xml:space="preserve"> to</w:t>
      </w:r>
      <w:r w:rsidR="00E302D0" w:rsidRPr="00C7234C">
        <w:rPr>
          <w:rFonts w:ascii="Arial" w:hAnsi="Arial"/>
          <w:bCs/>
          <w:sz w:val="20"/>
          <w:lang w:val="en-US"/>
        </w:rPr>
        <w:t xml:space="preserve"> </w:t>
      </w:r>
      <w:r w:rsidR="00801A1C">
        <w:rPr>
          <w:rFonts w:ascii="Arial" w:hAnsi="Arial"/>
          <w:bCs/>
          <w:sz w:val="20"/>
          <w:lang w:val="en-US"/>
        </w:rPr>
        <w:t>apply for</w:t>
      </w:r>
      <w:r w:rsidR="00E302D0" w:rsidRPr="00C7234C">
        <w:rPr>
          <w:rFonts w:ascii="Arial" w:hAnsi="Arial"/>
          <w:bCs/>
          <w:sz w:val="20"/>
          <w:lang w:val="en-US"/>
        </w:rPr>
        <w:t xml:space="preserve"> a criminal history check </w:t>
      </w:r>
      <w:r>
        <w:rPr>
          <w:rFonts w:ascii="Arial" w:hAnsi="Arial"/>
          <w:bCs/>
          <w:sz w:val="20"/>
          <w:lang w:val="en-US"/>
        </w:rPr>
        <w:t>will have to do so</w:t>
      </w:r>
      <w:r w:rsidRPr="00C7234C">
        <w:rPr>
          <w:rFonts w:ascii="Arial" w:hAnsi="Arial"/>
          <w:bCs/>
          <w:sz w:val="20"/>
          <w:lang w:val="en-US"/>
        </w:rPr>
        <w:t xml:space="preserve"> </w:t>
      </w:r>
      <w:r w:rsidR="00E302D0" w:rsidRPr="00C7234C">
        <w:rPr>
          <w:rFonts w:ascii="Arial" w:hAnsi="Arial"/>
          <w:bCs/>
          <w:sz w:val="20"/>
          <w:lang w:val="en-US"/>
        </w:rPr>
        <w:t>from one of the a</w:t>
      </w:r>
      <w:r w:rsidR="00546B8E">
        <w:rPr>
          <w:rFonts w:ascii="Arial" w:hAnsi="Arial"/>
          <w:bCs/>
          <w:sz w:val="20"/>
          <w:lang w:val="en-US"/>
        </w:rPr>
        <w:t xml:space="preserve">pproved suppliers </w:t>
      </w:r>
      <w:r w:rsidR="008C30EF">
        <w:rPr>
          <w:rFonts w:ascii="Arial" w:hAnsi="Arial"/>
          <w:bCs/>
          <w:sz w:val="20"/>
          <w:lang w:val="en-US"/>
        </w:rPr>
        <w:t>in order to complete</w:t>
      </w:r>
      <w:r w:rsidR="00AF4D5E">
        <w:rPr>
          <w:rFonts w:ascii="Arial" w:hAnsi="Arial"/>
          <w:bCs/>
          <w:sz w:val="20"/>
          <w:lang w:val="en-US"/>
        </w:rPr>
        <w:t xml:space="preserve"> the registration application process.</w:t>
      </w:r>
    </w:p>
    <w:p w:rsidR="009050DD" w:rsidRDefault="009050DD" w:rsidP="009D5E6A">
      <w:pPr>
        <w:rPr>
          <w:rFonts w:ascii="Arial" w:hAnsi="Arial"/>
          <w:bCs/>
          <w:sz w:val="20"/>
          <w:lang w:val="en-US"/>
        </w:rPr>
      </w:pPr>
      <w:r>
        <w:rPr>
          <w:rFonts w:ascii="Arial" w:hAnsi="Arial"/>
          <w:bCs/>
          <w:sz w:val="20"/>
          <w:lang w:val="en-US"/>
        </w:rPr>
        <w:t xml:space="preserve">The </w:t>
      </w:r>
      <w:r w:rsidRPr="00463557">
        <w:rPr>
          <w:rFonts w:ascii="Arial" w:hAnsi="Arial"/>
          <w:bCs/>
          <w:sz w:val="20"/>
          <w:lang w:val="en-US"/>
        </w:rPr>
        <w:t xml:space="preserve">international criminal history report must be received and the check completed before the decision to register </w:t>
      </w:r>
      <w:r>
        <w:rPr>
          <w:rFonts w:ascii="Arial" w:hAnsi="Arial"/>
          <w:bCs/>
          <w:sz w:val="20"/>
          <w:lang w:val="en-US"/>
        </w:rPr>
        <w:t xml:space="preserve">will be </w:t>
      </w:r>
      <w:r w:rsidRPr="00463557">
        <w:rPr>
          <w:rFonts w:ascii="Arial" w:hAnsi="Arial"/>
          <w:bCs/>
          <w:sz w:val="20"/>
          <w:lang w:val="en-US"/>
        </w:rPr>
        <w:t>considered</w:t>
      </w:r>
      <w:r>
        <w:rPr>
          <w:rFonts w:ascii="Arial" w:hAnsi="Arial"/>
          <w:bCs/>
          <w:sz w:val="20"/>
          <w:lang w:val="en-US"/>
        </w:rPr>
        <w:t>.</w:t>
      </w:r>
    </w:p>
    <w:p w:rsidR="00E302D0" w:rsidRDefault="00E302D0" w:rsidP="009D5E6A">
      <w:pPr>
        <w:rPr>
          <w:rFonts w:ascii="Arial" w:hAnsi="Arial"/>
          <w:bCs/>
          <w:sz w:val="20"/>
          <w:lang w:val="en-US"/>
        </w:rPr>
      </w:pPr>
      <w:r>
        <w:rPr>
          <w:rFonts w:ascii="Arial" w:hAnsi="Arial"/>
          <w:bCs/>
          <w:sz w:val="20"/>
          <w:lang w:val="en-US"/>
        </w:rPr>
        <w:t xml:space="preserve">The time it takes for the supplier to conduct the check and provide a report </w:t>
      </w:r>
      <w:r w:rsidR="00706836">
        <w:rPr>
          <w:rFonts w:ascii="Arial" w:hAnsi="Arial"/>
          <w:bCs/>
          <w:sz w:val="20"/>
          <w:lang w:val="en-US"/>
        </w:rPr>
        <w:t>may vary</w:t>
      </w:r>
      <w:r w:rsidR="00A12953">
        <w:rPr>
          <w:rFonts w:ascii="Arial" w:hAnsi="Arial"/>
          <w:bCs/>
          <w:sz w:val="20"/>
          <w:lang w:val="en-US"/>
        </w:rPr>
        <w:t>,</w:t>
      </w:r>
      <w:r w:rsidR="00706836">
        <w:rPr>
          <w:rFonts w:ascii="Arial" w:hAnsi="Arial"/>
          <w:bCs/>
          <w:sz w:val="20"/>
          <w:lang w:val="en-US"/>
        </w:rPr>
        <w:t xml:space="preserve"> </w:t>
      </w:r>
      <w:r>
        <w:rPr>
          <w:rFonts w:ascii="Arial" w:hAnsi="Arial"/>
          <w:bCs/>
          <w:sz w:val="20"/>
          <w:lang w:val="en-US"/>
        </w:rPr>
        <w:t xml:space="preserve">depending on </w:t>
      </w:r>
      <w:r w:rsidR="00706836">
        <w:rPr>
          <w:rFonts w:ascii="Arial" w:hAnsi="Arial"/>
          <w:bCs/>
          <w:sz w:val="20"/>
          <w:lang w:val="en-US"/>
        </w:rPr>
        <w:t xml:space="preserve">in </w:t>
      </w:r>
      <w:r>
        <w:rPr>
          <w:rFonts w:ascii="Arial" w:hAnsi="Arial"/>
          <w:bCs/>
          <w:sz w:val="20"/>
          <w:lang w:val="en-US"/>
        </w:rPr>
        <w:t>which country or countries the check has to be undertaken. More information about the logistics of the checks is avai</w:t>
      </w:r>
      <w:r w:rsidR="00DD45AA">
        <w:rPr>
          <w:rFonts w:ascii="Arial" w:hAnsi="Arial"/>
          <w:bCs/>
          <w:sz w:val="20"/>
          <w:lang w:val="en-US"/>
        </w:rPr>
        <w:t>lable from the supplier</w:t>
      </w:r>
      <w:r w:rsidR="000C5E11">
        <w:rPr>
          <w:rFonts w:ascii="Arial" w:hAnsi="Arial"/>
          <w:bCs/>
          <w:sz w:val="20"/>
          <w:lang w:val="en-US"/>
        </w:rPr>
        <w:t>’</w:t>
      </w:r>
      <w:r w:rsidR="00DD45AA">
        <w:rPr>
          <w:rFonts w:ascii="Arial" w:hAnsi="Arial"/>
          <w:bCs/>
          <w:sz w:val="20"/>
          <w:lang w:val="en-US"/>
        </w:rPr>
        <w:t>s</w:t>
      </w:r>
      <w:r w:rsidR="00A26C53">
        <w:rPr>
          <w:rFonts w:ascii="Arial" w:hAnsi="Arial"/>
          <w:bCs/>
          <w:sz w:val="20"/>
          <w:lang w:val="en-US"/>
        </w:rPr>
        <w:t xml:space="preserve"> websites, which are accessible from the AHPRA </w:t>
      </w:r>
      <w:r w:rsidR="00CF5582">
        <w:rPr>
          <w:rFonts w:ascii="Arial" w:hAnsi="Arial"/>
          <w:bCs/>
          <w:sz w:val="20"/>
          <w:lang w:val="en-US"/>
        </w:rPr>
        <w:t>web</w:t>
      </w:r>
      <w:r w:rsidR="00A26C53">
        <w:rPr>
          <w:rFonts w:ascii="Arial" w:hAnsi="Arial"/>
          <w:bCs/>
          <w:sz w:val="20"/>
          <w:lang w:val="en-US"/>
        </w:rPr>
        <w:t>site</w:t>
      </w:r>
      <w:r w:rsidR="00DD45AA">
        <w:rPr>
          <w:rFonts w:ascii="Arial" w:hAnsi="Arial"/>
          <w:bCs/>
          <w:sz w:val="20"/>
          <w:lang w:val="en-US"/>
        </w:rPr>
        <w:t>.</w:t>
      </w:r>
      <w:r w:rsidRPr="00E302D0">
        <w:rPr>
          <w:rFonts w:ascii="Arial" w:hAnsi="Arial"/>
          <w:bCs/>
          <w:sz w:val="20"/>
          <w:lang w:val="en-US"/>
        </w:rPr>
        <w:t xml:space="preserve"> </w:t>
      </w:r>
    </w:p>
    <w:p w:rsidR="00007071" w:rsidRDefault="009050DD" w:rsidP="00007071">
      <w:pPr>
        <w:rPr>
          <w:rFonts w:ascii="Arial" w:hAnsi="Arial"/>
          <w:bCs/>
          <w:sz w:val="20"/>
          <w:lang w:val="en-US"/>
        </w:rPr>
      </w:pPr>
      <w:r w:rsidRPr="00F24366">
        <w:rPr>
          <w:rFonts w:ascii="Arial" w:hAnsi="Arial"/>
          <w:bCs/>
          <w:sz w:val="20"/>
          <w:lang w:val="en-US"/>
        </w:rPr>
        <w:t xml:space="preserve">In most cases, the international criminal history check will be available by the time the registration application has been assessed. </w:t>
      </w:r>
      <w:r w:rsidR="00B22A83" w:rsidRPr="00C7234C">
        <w:rPr>
          <w:rFonts w:ascii="Arial" w:hAnsi="Arial"/>
          <w:bCs/>
          <w:sz w:val="20"/>
          <w:lang w:val="en-US"/>
        </w:rPr>
        <w:t xml:space="preserve">It is </w:t>
      </w:r>
      <w:r>
        <w:rPr>
          <w:rFonts w:ascii="Arial" w:hAnsi="Arial"/>
          <w:bCs/>
          <w:sz w:val="20"/>
          <w:lang w:val="en-US"/>
        </w:rPr>
        <w:t xml:space="preserve">however </w:t>
      </w:r>
      <w:r w:rsidR="00B22A83" w:rsidRPr="00C7234C">
        <w:rPr>
          <w:rFonts w:ascii="Arial" w:hAnsi="Arial"/>
          <w:bCs/>
          <w:sz w:val="20"/>
          <w:lang w:val="en-US"/>
        </w:rPr>
        <w:t xml:space="preserve">important that applicants allow adequate time to prepare their </w:t>
      </w:r>
      <w:r w:rsidR="00B22A83" w:rsidRPr="00C7234C">
        <w:rPr>
          <w:rFonts w:ascii="Arial" w:hAnsi="Arial"/>
          <w:bCs/>
          <w:sz w:val="20"/>
          <w:lang w:val="en-US"/>
        </w:rPr>
        <w:lastRenderedPageBreak/>
        <w:t xml:space="preserve">applications before they plan to practise. </w:t>
      </w:r>
      <w:r w:rsidR="00007071" w:rsidRPr="005E4DA2">
        <w:rPr>
          <w:rFonts w:ascii="Arial" w:hAnsi="Arial"/>
          <w:bCs/>
          <w:sz w:val="20"/>
          <w:lang w:val="en-US"/>
        </w:rPr>
        <w:t>International criminal history reports will remain valid for a period of three months from date of issue.</w:t>
      </w:r>
    </w:p>
    <w:p w:rsidR="00236FEB" w:rsidRPr="00236FEB" w:rsidRDefault="00236FEB" w:rsidP="00236FEB">
      <w:pPr>
        <w:rPr>
          <w:rFonts w:ascii="Arial" w:hAnsi="Arial"/>
          <w:bCs/>
          <w:sz w:val="20"/>
          <w:lang w:val="en-US"/>
        </w:rPr>
      </w:pPr>
      <w:r w:rsidRPr="00C7234C">
        <w:rPr>
          <w:rFonts w:ascii="Arial" w:hAnsi="Arial"/>
          <w:bCs/>
          <w:sz w:val="20"/>
          <w:lang w:val="en-US"/>
        </w:rPr>
        <w:t>The intention of the new approach</w:t>
      </w:r>
      <w:r w:rsidR="00085A56">
        <w:rPr>
          <w:rFonts w:ascii="Arial" w:hAnsi="Arial"/>
          <w:bCs/>
          <w:sz w:val="20"/>
          <w:lang w:val="en-US"/>
        </w:rPr>
        <w:t xml:space="preserve"> is</w:t>
      </w:r>
      <w:r w:rsidRPr="00C7234C">
        <w:rPr>
          <w:rFonts w:ascii="Arial" w:hAnsi="Arial"/>
          <w:bCs/>
          <w:sz w:val="20"/>
          <w:lang w:val="en-US"/>
        </w:rPr>
        <w:t xml:space="preserve"> to </w:t>
      </w:r>
      <w:r w:rsidR="009050DD">
        <w:rPr>
          <w:rFonts w:ascii="Arial" w:hAnsi="Arial"/>
          <w:bCs/>
          <w:sz w:val="20"/>
          <w:lang w:val="en-US"/>
        </w:rPr>
        <w:t xml:space="preserve">ensure that only practitioners who meet all requirements are registered and allowed to practice in Australia. </w:t>
      </w:r>
      <w:r w:rsidR="00C7234C">
        <w:rPr>
          <w:rFonts w:ascii="Arial" w:hAnsi="Arial"/>
          <w:bCs/>
          <w:sz w:val="20"/>
          <w:lang w:val="en-US"/>
        </w:rPr>
        <w:t>This will discourage those with a significant criminal history outside of Australia from applying for registration as well as identify anyone who has made a false declaration about their history.</w:t>
      </w:r>
    </w:p>
    <w:p w:rsidR="00055F8D" w:rsidRDefault="00055F8D" w:rsidP="00055F8D">
      <w:pPr>
        <w:rPr>
          <w:rFonts w:ascii="Arial" w:hAnsi="Arial"/>
          <w:b/>
          <w:color w:val="008EC4"/>
          <w:sz w:val="20"/>
          <w:lang w:val="en-US" w:eastAsia="en-AU"/>
        </w:rPr>
      </w:pPr>
      <w:r w:rsidRPr="009D5E6A">
        <w:rPr>
          <w:rFonts w:ascii="Arial" w:hAnsi="Arial"/>
          <w:b/>
          <w:color w:val="008EC4"/>
          <w:sz w:val="20"/>
          <w:lang w:val="en-US" w:eastAsia="en-AU"/>
        </w:rPr>
        <w:t>The approach balance</w:t>
      </w:r>
      <w:r w:rsidR="009050DD">
        <w:rPr>
          <w:rFonts w:ascii="Arial" w:hAnsi="Arial"/>
          <w:b/>
          <w:color w:val="008EC4"/>
          <w:sz w:val="20"/>
          <w:lang w:val="en-US" w:eastAsia="en-AU"/>
        </w:rPr>
        <w:t>s</w:t>
      </w:r>
      <w:r w:rsidRPr="009D5E6A">
        <w:rPr>
          <w:rFonts w:ascii="Arial" w:hAnsi="Arial"/>
          <w:b/>
          <w:color w:val="008EC4"/>
          <w:sz w:val="20"/>
          <w:lang w:val="en-US" w:eastAsia="en-AU"/>
        </w:rPr>
        <w:t xml:space="preserve"> the need for public protection without creating </w:t>
      </w:r>
      <w:r w:rsidR="00706836">
        <w:rPr>
          <w:rFonts w:ascii="Arial" w:hAnsi="Arial"/>
          <w:b/>
          <w:color w:val="008EC4"/>
          <w:sz w:val="20"/>
          <w:lang w:val="en-US" w:eastAsia="en-AU"/>
        </w:rPr>
        <w:t>delay</w:t>
      </w:r>
      <w:r w:rsidR="00CF5582">
        <w:rPr>
          <w:rFonts w:ascii="Arial" w:hAnsi="Arial"/>
          <w:b/>
          <w:color w:val="008EC4"/>
          <w:sz w:val="20"/>
          <w:lang w:val="en-US" w:eastAsia="en-AU"/>
        </w:rPr>
        <w:t>s</w:t>
      </w:r>
      <w:r w:rsidRPr="009D5E6A">
        <w:rPr>
          <w:rFonts w:ascii="Arial" w:hAnsi="Arial"/>
          <w:b/>
          <w:color w:val="008EC4"/>
          <w:sz w:val="20"/>
          <w:lang w:val="en-US" w:eastAsia="en-AU"/>
        </w:rPr>
        <w:t xml:space="preserve"> for applicants</w:t>
      </w:r>
    </w:p>
    <w:p w:rsidR="00055F8D" w:rsidRDefault="00055F8D" w:rsidP="00055F8D">
      <w:pPr>
        <w:rPr>
          <w:rFonts w:ascii="Arial" w:hAnsi="Arial"/>
          <w:sz w:val="20"/>
          <w:lang w:val="en-US" w:eastAsia="en-AU"/>
        </w:rPr>
      </w:pPr>
      <w:r w:rsidRPr="00B22A83">
        <w:rPr>
          <w:rFonts w:ascii="Arial" w:hAnsi="Arial"/>
          <w:sz w:val="20"/>
          <w:lang w:val="en-US" w:eastAsia="en-AU"/>
        </w:rPr>
        <w:t xml:space="preserve">National Boards have protecting the public as </w:t>
      </w:r>
      <w:r w:rsidR="00706836">
        <w:rPr>
          <w:rFonts w:ascii="Arial" w:hAnsi="Arial"/>
          <w:sz w:val="20"/>
          <w:lang w:val="en-US" w:eastAsia="en-AU"/>
        </w:rPr>
        <w:t>a key</w:t>
      </w:r>
      <w:r w:rsidRPr="00B22A83">
        <w:rPr>
          <w:rFonts w:ascii="Arial" w:hAnsi="Arial"/>
          <w:sz w:val="20"/>
          <w:lang w:val="en-US" w:eastAsia="en-AU"/>
        </w:rPr>
        <w:t xml:space="preserve"> objective</w:t>
      </w:r>
      <w:r w:rsidR="00AD040A">
        <w:rPr>
          <w:rFonts w:ascii="Arial" w:hAnsi="Arial"/>
          <w:sz w:val="20"/>
          <w:lang w:val="en-US" w:eastAsia="en-AU"/>
        </w:rPr>
        <w:t xml:space="preserve"> and regulate the registered health professions in the public interest.</w:t>
      </w:r>
      <w:r>
        <w:rPr>
          <w:rFonts w:ascii="Arial" w:hAnsi="Arial"/>
          <w:sz w:val="20"/>
          <w:lang w:val="en-US" w:eastAsia="en-AU"/>
        </w:rPr>
        <w:t xml:space="preserve"> </w:t>
      </w:r>
      <w:r w:rsidR="00AD040A">
        <w:rPr>
          <w:rFonts w:ascii="Arial" w:hAnsi="Arial"/>
          <w:sz w:val="20"/>
          <w:lang w:val="en-US" w:eastAsia="en-AU"/>
        </w:rPr>
        <w:t>This means that they must ensure there are adequate checks and balances to keep the public safe.</w:t>
      </w:r>
    </w:p>
    <w:p w:rsidR="00AD040A" w:rsidRDefault="00AD040A" w:rsidP="00055F8D">
      <w:pPr>
        <w:rPr>
          <w:rFonts w:ascii="Arial" w:hAnsi="Arial"/>
          <w:sz w:val="20"/>
          <w:lang w:val="en-US" w:eastAsia="en-AU"/>
        </w:rPr>
      </w:pPr>
      <w:r>
        <w:rPr>
          <w:rFonts w:ascii="Arial" w:hAnsi="Arial"/>
          <w:sz w:val="20"/>
          <w:lang w:val="en-US" w:eastAsia="en-AU"/>
        </w:rPr>
        <w:t xml:space="preserve">The new approach offers an increased level of </w:t>
      </w:r>
      <w:r w:rsidR="007E155F">
        <w:rPr>
          <w:rFonts w:ascii="Arial" w:hAnsi="Arial"/>
          <w:sz w:val="20"/>
          <w:lang w:val="en-US" w:eastAsia="en-AU"/>
        </w:rPr>
        <w:t xml:space="preserve">safety for the public in that it requires a check to be conducted by a third party and for the report that is produced to be provided directly to AHPRA </w:t>
      </w:r>
      <w:r w:rsidR="007C372C">
        <w:rPr>
          <w:rFonts w:ascii="Arial" w:hAnsi="Arial"/>
          <w:sz w:val="20"/>
          <w:lang w:val="en-US" w:eastAsia="en-AU"/>
        </w:rPr>
        <w:t>(</w:t>
      </w:r>
      <w:r w:rsidR="007E155F">
        <w:rPr>
          <w:rFonts w:ascii="Arial" w:hAnsi="Arial"/>
          <w:sz w:val="20"/>
          <w:lang w:val="en-US" w:eastAsia="en-AU"/>
        </w:rPr>
        <w:t>as well as to the practitioner</w:t>
      </w:r>
      <w:r w:rsidR="007C372C">
        <w:rPr>
          <w:rFonts w:ascii="Arial" w:hAnsi="Arial"/>
          <w:sz w:val="20"/>
          <w:lang w:val="en-US" w:eastAsia="en-AU"/>
        </w:rPr>
        <w:t>)</w:t>
      </w:r>
      <w:r w:rsidR="007E155F">
        <w:rPr>
          <w:rFonts w:ascii="Arial" w:hAnsi="Arial"/>
          <w:sz w:val="20"/>
          <w:lang w:val="en-US" w:eastAsia="en-AU"/>
        </w:rPr>
        <w:t xml:space="preserve">. </w:t>
      </w:r>
      <w:r w:rsidR="00AF4D5E">
        <w:rPr>
          <w:rFonts w:ascii="Arial" w:hAnsi="Arial"/>
          <w:sz w:val="20"/>
          <w:lang w:val="en-US" w:eastAsia="en-AU"/>
        </w:rPr>
        <w:t>Previously, we relied on a statutory declaration from the applicant.</w:t>
      </w:r>
    </w:p>
    <w:p w:rsidR="00055F8D" w:rsidRDefault="00055F8D" w:rsidP="00055F8D">
      <w:pPr>
        <w:rPr>
          <w:rFonts w:ascii="Arial" w:hAnsi="Arial"/>
          <w:b/>
          <w:color w:val="008EC4"/>
          <w:sz w:val="20"/>
          <w:lang w:val="en-US" w:eastAsia="en-AU"/>
        </w:rPr>
      </w:pPr>
      <w:r w:rsidRPr="009D5E6A">
        <w:rPr>
          <w:rFonts w:ascii="Arial" w:hAnsi="Arial"/>
          <w:b/>
          <w:color w:val="008EC4"/>
          <w:sz w:val="20"/>
          <w:lang w:val="en-US" w:eastAsia="en-AU"/>
        </w:rPr>
        <w:t xml:space="preserve">The new approach was developed after extensive consultation </w:t>
      </w:r>
    </w:p>
    <w:p w:rsidR="00055F8D" w:rsidRPr="009806D4" w:rsidRDefault="00055F8D" w:rsidP="009806D4">
      <w:pPr>
        <w:rPr>
          <w:rFonts w:ascii="Arial" w:hAnsi="Arial"/>
          <w:sz w:val="20"/>
          <w:lang w:val="en-US" w:eastAsia="en-AU"/>
        </w:rPr>
      </w:pPr>
      <w:r w:rsidRPr="00B22A83">
        <w:rPr>
          <w:rFonts w:ascii="Arial" w:hAnsi="Arial"/>
          <w:sz w:val="20"/>
          <w:lang w:val="en-US" w:eastAsia="en-AU"/>
        </w:rPr>
        <w:t xml:space="preserve">This approach was developed after three rounds of consultations. These consultations and the feedback they received are published </w:t>
      </w:r>
      <w:r w:rsidRPr="00BD1EBA">
        <w:rPr>
          <w:rFonts w:ascii="Arial" w:hAnsi="Arial"/>
          <w:sz w:val="20"/>
          <w:lang w:val="en-US" w:eastAsia="en-AU"/>
        </w:rPr>
        <w:t xml:space="preserve">on the </w:t>
      </w:r>
      <w:hyperlink r:id="rId8" w:history="1">
        <w:r w:rsidRPr="00BD1EBA">
          <w:rPr>
            <w:rStyle w:val="Hyperlink"/>
            <w:rFonts w:ascii="Arial" w:hAnsi="Arial"/>
            <w:sz w:val="20"/>
            <w:lang w:val="en-US" w:eastAsia="en-AU"/>
          </w:rPr>
          <w:t>AHPRA website</w:t>
        </w:r>
      </w:hyperlink>
      <w:r w:rsidRPr="00BD1EBA">
        <w:rPr>
          <w:rFonts w:ascii="Arial" w:hAnsi="Arial"/>
          <w:sz w:val="20"/>
          <w:lang w:val="en-US" w:eastAsia="en-AU"/>
        </w:rPr>
        <w:t>.</w:t>
      </w:r>
      <w:r w:rsidRPr="00B22A83">
        <w:rPr>
          <w:rFonts w:ascii="Arial" w:hAnsi="Arial"/>
          <w:sz w:val="20"/>
          <w:lang w:val="en-US" w:eastAsia="en-AU"/>
        </w:rPr>
        <w:t xml:space="preserve"> </w:t>
      </w:r>
      <w:r w:rsidR="005E1888">
        <w:rPr>
          <w:rFonts w:ascii="Arial" w:hAnsi="Arial"/>
          <w:sz w:val="20"/>
          <w:lang w:val="en-US" w:eastAsia="en-AU"/>
        </w:rPr>
        <w:t xml:space="preserve"> </w:t>
      </w:r>
      <w:r w:rsidRPr="00B22A83">
        <w:rPr>
          <w:rFonts w:ascii="Arial" w:hAnsi="Arial"/>
          <w:sz w:val="20"/>
          <w:lang w:val="en-US" w:eastAsia="en-AU"/>
        </w:rPr>
        <w:t>A report on the last of these consultations is also available, which outlines the feedback received and how National Boards</w:t>
      </w:r>
      <w:r w:rsidR="00AF4D5E">
        <w:rPr>
          <w:rFonts w:ascii="Arial" w:hAnsi="Arial"/>
          <w:sz w:val="20"/>
          <w:lang w:val="en-US" w:eastAsia="en-AU"/>
        </w:rPr>
        <w:t xml:space="preserve"> and AHPRA</w:t>
      </w:r>
      <w:r w:rsidRPr="00B22A83">
        <w:rPr>
          <w:rFonts w:ascii="Arial" w:hAnsi="Arial"/>
          <w:sz w:val="20"/>
          <w:lang w:val="en-US" w:eastAsia="en-AU"/>
        </w:rPr>
        <w:t xml:space="preserve"> responded to develop the approach that is being piloted from </w:t>
      </w:r>
      <w:r w:rsidR="00E2750F">
        <w:rPr>
          <w:rFonts w:ascii="Arial" w:hAnsi="Arial"/>
          <w:sz w:val="20"/>
          <w:lang w:val="en-US" w:eastAsia="en-AU"/>
        </w:rPr>
        <w:t>4 February 2015</w:t>
      </w:r>
      <w:r w:rsidRPr="00B22A83">
        <w:rPr>
          <w:rFonts w:ascii="Arial" w:hAnsi="Arial"/>
          <w:sz w:val="20"/>
          <w:lang w:val="en-US" w:eastAsia="en-AU"/>
        </w:rPr>
        <w:t>.</w:t>
      </w:r>
      <w:r w:rsidR="00757B2C" w:rsidRPr="00B22A83">
        <w:rPr>
          <w:rFonts w:ascii="Arial" w:hAnsi="Arial"/>
          <w:sz w:val="20"/>
          <w:lang w:val="en-US" w:eastAsia="en-AU"/>
        </w:rPr>
        <w:t xml:space="preserve"> </w:t>
      </w:r>
    </w:p>
    <w:p w:rsidR="00055F8D" w:rsidRDefault="00055F8D" w:rsidP="009D5E6A">
      <w:pPr>
        <w:rPr>
          <w:rFonts w:ascii="Arial" w:hAnsi="Arial"/>
          <w:b/>
          <w:color w:val="008EC4"/>
          <w:sz w:val="20"/>
          <w:lang w:val="en-US" w:eastAsia="en-AU"/>
        </w:rPr>
      </w:pPr>
      <w:r>
        <w:rPr>
          <w:rFonts w:ascii="Arial" w:hAnsi="Arial"/>
          <w:b/>
          <w:color w:val="008EC4"/>
          <w:sz w:val="20"/>
          <w:lang w:val="en-US" w:eastAsia="en-AU"/>
        </w:rPr>
        <w:t xml:space="preserve">Checks will need to be undertaken on all countries where </w:t>
      </w:r>
      <w:r w:rsidR="008061FB">
        <w:rPr>
          <w:rFonts w:ascii="Arial" w:hAnsi="Arial"/>
          <w:b/>
          <w:color w:val="008EC4"/>
          <w:sz w:val="20"/>
          <w:lang w:val="en-US" w:eastAsia="en-AU"/>
        </w:rPr>
        <w:t>applicants have</w:t>
      </w:r>
      <w:r>
        <w:rPr>
          <w:rFonts w:ascii="Arial" w:hAnsi="Arial"/>
          <w:b/>
          <w:color w:val="008EC4"/>
          <w:sz w:val="20"/>
          <w:lang w:val="en-US" w:eastAsia="en-AU"/>
        </w:rPr>
        <w:t xml:space="preserve"> lived for six months or more as an adult</w:t>
      </w:r>
    </w:p>
    <w:p w:rsidR="00230969" w:rsidRPr="00230969" w:rsidRDefault="00230969" w:rsidP="00230969">
      <w:pPr>
        <w:pStyle w:val="AHPRASubhead"/>
        <w:rPr>
          <w:b w:val="0"/>
          <w:bCs/>
          <w:color w:val="auto"/>
          <w:lang w:val="en-US"/>
        </w:rPr>
      </w:pPr>
      <w:r w:rsidRPr="00230969">
        <w:rPr>
          <w:b w:val="0"/>
          <w:bCs/>
          <w:color w:val="auto"/>
          <w:lang w:val="en-US"/>
        </w:rPr>
        <w:t xml:space="preserve">Applicants will need to get a check for every country outside of Australia where they have lived, or been primarily based, for six consecutive months or more when aged 18 years or </w:t>
      </w:r>
      <w:r w:rsidR="00D85607">
        <w:rPr>
          <w:b w:val="0"/>
          <w:bCs/>
          <w:color w:val="auto"/>
          <w:lang w:val="en-US"/>
        </w:rPr>
        <w:t>over</w:t>
      </w:r>
      <w:r w:rsidRPr="00230969">
        <w:rPr>
          <w:b w:val="0"/>
          <w:bCs/>
          <w:color w:val="auto"/>
          <w:lang w:val="en-US"/>
        </w:rPr>
        <w:t>.</w:t>
      </w:r>
    </w:p>
    <w:p w:rsidR="00055F8D" w:rsidRDefault="00F23F6B" w:rsidP="009D5E6A">
      <w:pPr>
        <w:rPr>
          <w:rFonts w:ascii="Arial" w:hAnsi="Arial"/>
          <w:bCs/>
          <w:sz w:val="20"/>
          <w:lang w:val="en-US"/>
        </w:rPr>
      </w:pPr>
      <w:r>
        <w:rPr>
          <w:rFonts w:ascii="Arial" w:hAnsi="Arial"/>
          <w:bCs/>
          <w:sz w:val="20"/>
          <w:lang w:val="en-US"/>
        </w:rPr>
        <w:t>Some applicants</w:t>
      </w:r>
      <w:r w:rsidR="00055F8D">
        <w:rPr>
          <w:rFonts w:ascii="Arial" w:hAnsi="Arial"/>
          <w:bCs/>
          <w:sz w:val="20"/>
          <w:lang w:val="en-US"/>
        </w:rPr>
        <w:t xml:space="preserve"> may need to obtain checks</w:t>
      </w:r>
      <w:r w:rsidR="00801A1C">
        <w:rPr>
          <w:rFonts w:ascii="Arial" w:hAnsi="Arial"/>
          <w:bCs/>
          <w:sz w:val="20"/>
          <w:lang w:val="en-US"/>
        </w:rPr>
        <w:t xml:space="preserve"> for several countries</w:t>
      </w:r>
      <w:r w:rsidR="00055F8D">
        <w:rPr>
          <w:rFonts w:ascii="Arial" w:hAnsi="Arial"/>
          <w:bCs/>
          <w:sz w:val="20"/>
          <w:lang w:val="en-US"/>
        </w:rPr>
        <w:t>.</w:t>
      </w:r>
    </w:p>
    <w:p w:rsidR="009D5E6A" w:rsidRDefault="00055F8D" w:rsidP="0025708F">
      <w:pPr>
        <w:spacing w:after="0"/>
        <w:rPr>
          <w:rFonts w:ascii="Arial" w:hAnsi="Arial"/>
          <w:b/>
          <w:color w:val="008EC4"/>
          <w:sz w:val="20"/>
          <w:lang w:val="en-US" w:eastAsia="en-AU"/>
        </w:rPr>
      </w:pPr>
      <w:r>
        <w:rPr>
          <w:rFonts w:ascii="Arial" w:hAnsi="Arial"/>
          <w:b/>
          <w:color w:val="008EC4"/>
          <w:sz w:val="20"/>
          <w:lang w:val="en-US" w:eastAsia="en-AU"/>
        </w:rPr>
        <w:t xml:space="preserve">The checks will be paid </w:t>
      </w:r>
      <w:r w:rsidR="008061FB">
        <w:rPr>
          <w:rFonts w:ascii="Arial" w:hAnsi="Arial"/>
          <w:b/>
          <w:color w:val="008EC4"/>
          <w:sz w:val="20"/>
          <w:lang w:val="en-US" w:eastAsia="en-AU"/>
        </w:rPr>
        <w:t xml:space="preserve">for </w:t>
      </w:r>
      <w:r>
        <w:rPr>
          <w:rFonts w:ascii="Arial" w:hAnsi="Arial"/>
          <w:b/>
          <w:color w:val="008EC4"/>
          <w:sz w:val="20"/>
          <w:lang w:val="en-US" w:eastAsia="en-AU"/>
        </w:rPr>
        <w:t xml:space="preserve">by </w:t>
      </w:r>
      <w:r w:rsidR="008061FB">
        <w:rPr>
          <w:rFonts w:ascii="Arial" w:hAnsi="Arial"/>
          <w:b/>
          <w:color w:val="008EC4"/>
          <w:sz w:val="20"/>
          <w:lang w:val="en-US" w:eastAsia="en-AU"/>
        </w:rPr>
        <w:t>applicants</w:t>
      </w:r>
    </w:p>
    <w:p w:rsidR="00055F8D" w:rsidRDefault="00055F8D" w:rsidP="0025708F">
      <w:pPr>
        <w:spacing w:after="0"/>
        <w:rPr>
          <w:rFonts w:ascii="Arial" w:hAnsi="Arial"/>
          <w:b/>
          <w:color w:val="008EC4"/>
          <w:sz w:val="20"/>
          <w:lang w:val="en-US" w:eastAsia="en-AU"/>
        </w:rPr>
      </w:pPr>
    </w:p>
    <w:p w:rsidR="008061FB" w:rsidRDefault="008061FB" w:rsidP="0025708F">
      <w:pPr>
        <w:spacing w:after="0"/>
        <w:rPr>
          <w:rFonts w:ascii="Arial" w:hAnsi="Arial"/>
          <w:bCs/>
          <w:sz w:val="20"/>
          <w:lang w:val="en-US"/>
        </w:rPr>
      </w:pPr>
      <w:r>
        <w:rPr>
          <w:rFonts w:ascii="Arial" w:hAnsi="Arial"/>
          <w:bCs/>
          <w:sz w:val="20"/>
          <w:lang w:val="en-US"/>
        </w:rPr>
        <w:t>Applicants will be</w:t>
      </w:r>
      <w:r w:rsidR="00055F8D">
        <w:rPr>
          <w:rFonts w:ascii="Arial" w:hAnsi="Arial"/>
          <w:bCs/>
          <w:sz w:val="20"/>
          <w:lang w:val="en-US"/>
        </w:rPr>
        <w:t xml:space="preserve"> responsible for paying</w:t>
      </w:r>
      <w:r>
        <w:rPr>
          <w:rFonts w:ascii="Arial" w:hAnsi="Arial"/>
          <w:bCs/>
          <w:sz w:val="20"/>
          <w:lang w:val="en-US"/>
        </w:rPr>
        <w:t xml:space="preserve"> for their international criminal history check. </w:t>
      </w:r>
      <w:r w:rsidR="001C0BD2">
        <w:rPr>
          <w:rFonts w:ascii="Arial" w:hAnsi="Arial"/>
          <w:bCs/>
          <w:sz w:val="20"/>
          <w:lang w:val="en-US"/>
        </w:rPr>
        <w:t xml:space="preserve">More information is available from </w:t>
      </w:r>
      <w:r w:rsidR="00ED6C01">
        <w:rPr>
          <w:rFonts w:ascii="Arial" w:hAnsi="Arial"/>
          <w:bCs/>
          <w:sz w:val="20"/>
          <w:lang w:val="en-US"/>
        </w:rPr>
        <w:t xml:space="preserve">the </w:t>
      </w:r>
      <w:r w:rsidR="00977726">
        <w:rPr>
          <w:rFonts w:ascii="Arial" w:hAnsi="Arial"/>
          <w:bCs/>
          <w:sz w:val="20"/>
          <w:lang w:val="en-US"/>
        </w:rPr>
        <w:t>vendors</w:t>
      </w:r>
      <w:r w:rsidR="001C0BD2">
        <w:rPr>
          <w:rFonts w:ascii="Arial" w:hAnsi="Arial"/>
          <w:bCs/>
          <w:sz w:val="20"/>
          <w:lang w:val="en-US"/>
        </w:rPr>
        <w:t xml:space="preserve"> websites (accessible via the AHPRA website).</w:t>
      </w:r>
    </w:p>
    <w:p w:rsidR="008061FB" w:rsidRDefault="008061FB" w:rsidP="0025708F">
      <w:pPr>
        <w:spacing w:after="0"/>
        <w:rPr>
          <w:rFonts w:ascii="Arial" w:hAnsi="Arial"/>
          <w:bCs/>
          <w:sz w:val="20"/>
          <w:lang w:val="en-US"/>
        </w:rPr>
      </w:pPr>
    </w:p>
    <w:p w:rsidR="00055F8D" w:rsidRPr="00055F8D" w:rsidRDefault="008061FB" w:rsidP="0025708F">
      <w:pPr>
        <w:spacing w:after="0"/>
        <w:rPr>
          <w:rFonts w:ascii="Arial" w:hAnsi="Arial"/>
          <w:bCs/>
          <w:sz w:val="20"/>
          <w:lang w:val="en-US"/>
        </w:rPr>
      </w:pPr>
      <w:r>
        <w:rPr>
          <w:rFonts w:ascii="Arial" w:hAnsi="Arial"/>
          <w:bCs/>
          <w:sz w:val="20"/>
          <w:lang w:val="en-US"/>
        </w:rPr>
        <w:t xml:space="preserve"> </w:t>
      </w:r>
    </w:p>
    <w:p w:rsidR="009D5E6A" w:rsidRPr="009D5E6A" w:rsidRDefault="009D5E6A" w:rsidP="0025708F">
      <w:pPr>
        <w:spacing w:after="0"/>
        <w:rPr>
          <w:rFonts w:ascii="Arial" w:hAnsi="Arial"/>
          <w:b/>
          <w:color w:val="008EC4"/>
          <w:sz w:val="20"/>
          <w:lang w:val="en-US" w:eastAsia="en-AU"/>
        </w:rPr>
      </w:pPr>
    </w:p>
    <w:sectPr w:rsidR="009D5E6A" w:rsidRPr="009D5E6A" w:rsidSect="00236FE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1385" w:right="1270" w:bottom="1560" w:left="1134" w:header="284" w:footer="32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DF4" w:rsidRDefault="00FC5DF4" w:rsidP="001F7178">
      <w:pPr>
        <w:spacing w:after="0"/>
      </w:pPr>
      <w:r>
        <w:separator/>
      </w:r>
    </w:p>
  </w:endnote>
  <w:endnote w:type="continuationSeparator" w:id="0">
    <w:p w:rsidR="00FC5DF4" w:rsidRDefault="00FC5DF4" w:rsidP="001F71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MT L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EEA" w:rsidRDefault="00D2168E" w:rsidP="001F71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87EE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7EEA" w:rsidRDefault="00E87EEA" w:rsidP="001F717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EEA" w:rsidRPr="003079DE" w:rsidRDefault="00D2168E" w:rsidP="001F7178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3079DE">
      <w:rPr>
        <w:rStyle w:val="PageNumber"/>
        <w:rFonts w:ascii="Arial" w:hAnsi="Arial" w:cs="Arial"/>
        <w:sz w:val="18"/>
        <w:szCs w:val="18"/>
      </w:rPr>
      <w:fldChar w:fldCharType="begin"/>
    </w:r>
    <w:r w:rsidR="00E87EEA" w:rsidRPr="003079DE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3079DE">
      <w:rPr>
        <w:rStyle w:val="PageNumber"/>
        <w:rFonts w:ascii="Arial" w:hAnsi="Arial" w:cs="Arial"/>
        <w:sz w:val="18"/>
        <w:szCs w:val="18"/>
      </w:rPr>
      <w:fldChar w:fldCharType="separate"/>
    </w:r>
    <w:r w:rsidR="00210DF5">
      <w:rPr>
        <w:rStyle w:val="PageNumber"/>
        <w:rFonts w:ascii="Arial" w:hAnsi="Arial" w:cs="Arial"/>
        <w:noProof/>
        <w:sz w:val="18"/>
        <w:szCs w:val="18"/>
      </w:rPr>
      <w:t>2</w:t>
    </w:r>
    <w:r w:rsidRPr="003079DE">
      <w:rPr>
        <w:rStyle w:val="PageNumber"/>
        <w:rFonts w:ascii="Arial" w:hAnsi="Arial" w:cs="Arial"/>
        <w:sz w:val="18"/>
        <w:szCs w:val="18"/>
      </w:rPr>
      <w:fldChar w:fldCharType="end"/>
    </w:r>
  </w:p>
  <w:p w:rsidR="00E87EEA" w:rsidRPr="00D638E0" w:rsidRDefault="00E87EEA" w:rsidP="001F7178">
    <w:pPr>
      <w:pStyle w:val="AHPRAbody"/>
      <w:spacing w:after="100"/>
      <w:ind w:right="360"/>
      <w:jc w:val="center"/>
      <w:rPr>
        <w:rFonts w:ascii="Arial" w:hAnsi="Arial" w:cs="Arial"/>
        <w:b/>
        <w:color w:val="008EC4"/>
      </w:rPr>
    </w:pPr>
    <w:r w:rsidRPr="00D638E0">
      <w:rPr>
        <w:rFonts w:ascii="Arial" w:hAnsi="Arial" w:cs="Arial"/>
        <w:b/>
        <w:color w:val="424342"/>
      </w:rPr>
      <w:t>Australian</w:t>
    </w:r>
    <w:r w:rsidRPr="00D638E0">
      <w:rPr>
        <w:rFonts w:ascii="Arial" w:hAnsi="Arial" w:cs="Arial"/>
        <w:b/>
        <w:color w:val="008EC4"/>
      </w:rPr>
      <w:t xml:space="preserve"> Health Practitioner </w:t>
    </w:r>
    <w:r w:rsidRPr="00D638E0">
      <w:rPr>
        <w:rFonts w:ascii="Arial" w:hAnsi="Arial" w:cs="Arial"/>
        <w:b/>
        <w:color w:val="424342"/>
      </w:rPr>
      <w:t>Regulation Agency</w:t>
    </w:r>
  </w:p>
  <w:p w:rsidR="00E87EEA" w:rsidRPr="00D638E0" w:rsidRDefault="00E87EEA" w:rsidP="001F7178">
    <w:pPr>
      <w:pStyle w:val="AHPRAbody"/>
      <w:tabs>
        <w:tab w:val="center" w:pos="4749"/>
      </w:tabs>
      <w:rPr>
        <w:rFonts w:ascii="Arial" w:hAnsi="Arial" w:cs="Arial"/>
        <w:szCs w:val="20"/>
      </w:rPr>
    </w:pPr>
    <w:r w:rsidRPr="00D638E0">
      <w:rPr>
        <w:rFonts w:ascii="Arial" w:hAnsi="Arial" w:cs="Arial"/>
        <w:szCs w:val="20"/>
      </w:rPr>
      <w:tab/>
      <w:t xml:space="preserve">G.P.O. Box </w:t>
    </w:r>
    <w:r>
      <w:rPr>
        <w:rFonts w:ascii="Arial" w:hAnsi="Arial" w:cs="Arial"/>
        <w:szCs w:val="20"/>
      </w:rPr>
      <w:t>9958</w:t>
    </w:r>
    <w:r w:rsidRPr="00D638E0">
      <w:rPr>
        <w:rFonts w:ascii="Arial" w:hAnsi="Arial" w:cs="Arial"/>
        <w:szCs w:val="20"/>
      </w:rPr>
      <w:t xml:space="preserve">   </w:t>
    </w:r>
    <w:r w:rsidRPr="00D638E0">
      <w:rPr>
        <w:rFonts w:ascii="Arial" w:hAnsi="Arial" w:cs="Arial"/>
        <w:b/>
        <w:color w:val="008EC4"/>
        <w:sz w:val="24"/>
        <w:szCs w:val="28"/>
      </w:rPr>
      <w:t>|</w:t>
    </w:r>
    <w:r w:rsidRPr="00D638E0">
      <w:rPr>
        <w:rFonts w:ascii="Arial" w:hAnsi="Arial" w:cs="Arial"/>
        <w:szCs w:val="20"/>
      </w:rPr>
      <w:t xml:space="preserve">   Melbourne VIC 3001   </w:t>
    </w:r>
    <w:r w:rsidRPr="00D638E0">
      <w:rPr>
        <w:rFonts w:ascii="Arial" w:hAnsi="Arial" w:cs="Arial"/>
        <w:b/>
        <w:color w:val="008EC4"/>
        <w:sz w:val="24"/>
        <w:szCs w:val="28"/>
      </w:rPr>
      <w:t>|</w:t>
    </w:r>
    <w:r w:rsidRPr="00D638E0">
      <w:rPr>
        <w:rFonts w:ascii="Arial" w:hAnsi="Arial" w:cs="Arial"/>
        <w:szCs w:val="20"/>
      </w:rPr>
      <w:t xml:space="preserve">   www.ahpra.gov.au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88394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87EEA" w:rsidRPr="003079DE" w:rsidRDefault="00D2168E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3079DE">
          <w:rPr>
            <w:rFonts w:ascii="Arial" w:hAnsi="Arial" w:cs="Arial"/>
            <w:sz w:val="18"/>
            <w:szCs w:val="18"/>
          </w:rPr>
          <w:fldChar w:fldCharType="begin"/>
        </w:r>
        <w:r w:rsidR="00E87EEA" w:rsidRPr="003079DE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3079DE">
          <w:rPr>
            <w:rFonts w:ascii="Arial" w:hAnsi="Arial" w:cs="Arial"/>
            <w:sz w:val="18"/>
            <w:szCs w:val="18"/>
          </w:rPr>
          <w:fldChar w:fldCharType="separate"/>
        </w:r>
        <w:r w:rsidR="00210DF5">
          <w:rPr>
            <w:rFonts w:ascii="Arial" w:hAnsi="Arial" w:cs="Arial"/>
            <w:noProof/>
            <w:sz w:val="18"/>
            <w:szCs w:val="18"/>
          </w:rPr>
          <w:t>1</w:t>
        </w:r>
        <w:r w:rsidRPr="003079DE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E87EEA" w:rsidRPr="00D638E0" w:rsidRDefault="00E87EEA" w:rsidP="005214A0">
    <w:pPr>
      <w:pStyle w:val="AHPRAbody"/>
      <w:spacing w:after="100"/>
      <w:ind w:right="360"/>
      <w:jc w:val="center"/>
      <w:rPr>
        <w:rFonts w:ascii="Arial" w:hAnsi="Arial" w:cs="Arial"/>
        <w:b/>
        <w:color w:val="008EC4"/>
      </w:rPr>
    </w:pPr>
    <w:r w:rsidRPr="00D638E0">
      <w:rPr>
        <w:rFonts w:ascii="Arial" w:hAnsi="Arial" w:cs="Arial"/>
        <w:b/>
        <w:color w:val="424342"/>
      </w:rPr>
      <w:t>Australian</w:t>
    </w:r>
    <w:r w:rsidRPr="00D638E0">
      <w:rPr>
        <w:rFonts w:ascii="Arial" w:hAnsi="Arial" w:cs="Arial"/>
        <w:b/>
        <w:color w:val="008EC4"/>
      </w:rPr>
      <w:t xml:space="preserve"> Health Practitioner </w:t>
    </w:r>
    <w:r w:rsidRPr="00D638E0">
      <w:rPr>
        <w:rFonts w:ascii="Arial" w:hAnsi="Arial" w:cs="Arial"/>
        <w:b/>
        <w:color w:val="424342"/>
      </w:rPr>
      <w:t>Regulation Agency</w:t>
    </w:r>
  </w:p>
  <w:p w:rsidR="00E87EEA" w:rsidRPr="00AD312E" w:rsidRDefault="00E87EEA" w:rsidP="003079DE">
    <w:pPr>
      <w:pStyle w:val="AHPRAbody"/>
      <w:tabs>
        <w:tab w:val="center" w:pos="4749"/>
        <w:tab w:val="right" w:pos="9496"/>
      </w:tabs>
      <w:rPr>
        <w:rFonts w:ascii="Arial" w:hAnsi="Arial" w:cs="Arial"/>
        <w:szCs w:val="20"/>
      </w:rPr>
    </w:pPr>
    <w:r w:rsidRPr="00D638E0">
      <w:rPr>
        <w:rFonts w:ascii="Arial" w:hAnsi="Arial" w:cs="Arial"/>
        <w:szCs w:val="20"/>
      </w:rPr>
      <w:tab/>
      <w:t xml:space="preserve">G.P.O. Box </w:t>
    </w:r>
    <w:r>
      <w:rPr>
        <w:rFonts w:ascii="Arial" w:hAnsi="Arial" w:cs="Arial"/>
        <w:szCs w:val="20"/>
      </w:rPr>
      <w:t>9958</w:t>
    </w:r>
    <w:r w:rsidRPr="00D638E0">
      <w:rPr>
        <w:rFonts w:ascii="Arial" w:hAnsi="Arial" w:cs="Arial"/>
        <w:szCs w:val="20"/>
      </w:rPr>
      <w:t xml:space="preserve">   </w:t>
    </w:r>
    <w:r w:rsidRPr="00D638E0">
      <w:rPr>
        <w:rFonts w:ascii="Arial" w:hAnsi="Arial" w:cs="Arial"/>
        <w:b/>
        <w:color w:val="008EC4"/>
        <w:sz w:val="24"/>
        <w:szCs w:val="28"/>
      </w:rPr>
      <w:t>|</w:t>
    </w:r>
    <w:r w:rsidRPr="00D638E0">
      <w:rPr>
        <w:rFonts w:ascii="Arial" w:hAnsi="Arial" w:cs="Arial"/>
        <w:szCs w:val="20"/>
      </w:rPr>
      <w:t xml:space="preserve">   Melbourne VIC 3001   </w:t>
    </w:r>
    <w:r w:rsidRPr="00D638E0">
      <w:rPr>
        <w:rFonts w:ascii="Arial" w:hAnsi="Arial" w:cs="Arial"/>
        <w:b/>
        <w:color w:val="008EC4"/>
        <w:sz w:val="24"/>
        <w:szCs w:val="28"/>
      </w:rPr>
      <w:t>|</w:t>
    </w:r>
    <w:r w:rsidRPr="00D638E0">
      <w:rPr>
        <w:rFonts w:ascii="Arial" w:hAnsi="Arial" w:cs="Arial"/>
        <w:szCs w:val="20"/>
      </w:rPr>
      <w:t xml:space="preserve">   www.ahpra.gov.au</w:t>
    </w:r>
    <w:r>
      <w:rPr>
        <w:rFonts w:ascii="Arial" w:hAnsi="Arial" w:cs="Arial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DF4" w:rsidRDefault="00FC5DF4" w:rsidP="001F7178">
      <w:pPr>
        <w:spacing w:after="0"/>
      </w:pPr>
      <w:r>
        <w:separator/>
      </w:r>
    </w:p>
  </w:footnote>
  <w:footnote w:type="continuationSeparator" w:id="0">
    <w:p w:rsidR="00FC5DF4" w:rsidRDefault="00FC5DF4" w:rsidP="001F71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EEA" w:rsidRPr="00315933" w:rsidRDefault="00E87EEA" w:rsidP="001F7178">
    <w:pPr>
      <w:pStyle w:val="Header"/>
      <w:ind w:left="-1134" w:right="-567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EEA" w:rsidRDefault="00E87EEA">
    <w:pPr>
      <w:pStyle w:val="Header"/>
    </w:pPr>
  </w:p>
  <w:p w:rsidR="00E87EEA" w:rsidRDefault="00E87EEA" w:rsidP="001F7178">
    <w:pPr>
      <w:pStyle w:val="Header"/>
      <w:ind w:left="-1134"/>
      <w:jc w:val="right"/>
    </w:pPr>
    <w:r>
      <w:rPr>
        <w:noProof/>
        <w:lang w:eastAsia="en-AU"/>
      </w:rPr>
      <w:drawing>
        <wp:inline distT="0" distB="0" distL="0" distR="0">
          <wp:extent cx="2960516" cy="1238250"/>
          <wp:effectExtent l="0" t="0" r="0" b="0"/>
          <wp:docPr id="1" name="Picture 1" descr="AHPRA and National Boards lo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eerkat\users\arivera\My Documents\Z. Admin\LOGOS\7483 AHPRA_CombinedBoards_1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1313" cy="12385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D083A"/>
    <w:multiLevelType w:val="hybridMultilevel"/>
    <w:tmpl w:val="2ACAD82C"/>
    <w:lvl w:ilvl="0" w:tplc="8FFE9F70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B65B0"/>
    <w:multiLevelType w:val="hybridMultilevel"/>
    <w:tmpl w:val="C2BE99A0"/>
    <w:lvl w:ilvl="0" w:tplc="1C6E000A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95010E"/>
    <w:multiLevelType w:val="hybridMultilevel"/>
    <w:tmpl w:val="2B34F8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57A0F"/>
    <w:multiLevelType w:val="hybridMultilevel"/>
    <w:tmpl w:val="548A92B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C09001B">
      <w:start w:val="1"/>
      <w:numFmt w:val="lowerRoman"/>
      <w:lvlText w:val="%2."/>
      <w:lvlJc w:val="righ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A3F42D5"/>
    <w:multiLevelType w:val="hybridMultilevel"/>
    <w:tmpl w:val="3C3E63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B5202"/>
    <w:multiLevelType w:val="hybridMultilevel"/>
    <w:tmpl w:val="24D2C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01430D"/>
    <w:multiLevelType w:val="hybridMultilevel"/>
    <w:tmpl w:val="0A142218"/>
    <w:lvl w:ilvl="0" w:tplc="0C09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7">
    <w:nsid w:val="18D71A10"/>
    <w:multiLevelType w:val="multilevel"/>
    <w:tmpl w:val="B4CA2EF2"/>
    <w:lvl w:ilvl="0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8">
    <w:nsid w:val="1F5A0185"/>
    <w:multiLevelType w:val="hybridMultilevel"/>
    <w:tmpl w:val="14067F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A78A2"/>
    <w:multiLevelType w:val="hybridMultilevel"/>
    <w:tmpl w:val="95CA0394"/>
    <w:lvl w:ilvl="0" w:tplc="7F6CEC96">
      <w:start w:val="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C2CEC"/>
    <w:multiLevelType w:val="hybridMultilevel"/>
    <w:tmpl w:val="2F52D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F5274"/>
    <w:multiLevelType w:val="hybridMultilevel"/>
    <w:tmpl w:val="E5F6D4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BD533CF"/>
    <w:multiLevelType w:val="hybridMultilevel"/>
    <w:tmpl w:val="B90C76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DF674D"/>
    <w:multiLevelType w:val="hybridMultilevel"/>
    <w:tmpl w:val="9AA643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D64FC"/>
    <w:multiLevelType w:val="hybridMultilevel"/>
    <w:tmpl w:val="C5725966"/>
    <w:lvl w:ilvl="0" w:tplc="040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>
    <w:nsid w:val="32FF2E43"/>
    <w:multiLevelType w:val="hybridMultilevel"/>
    <w:tmpl w:val="D6643BC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39D5A47"/>
    <w:multiLevelType w:val="hybridMultilevel"/>
    <w:tmpl w:val="4EBA9C82"/>
    <w:lvl w:ilvl="0" w:tplc="30E07B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>
    <w:nsid w:val="3A9A65BC"/>
    <w:multiLevelType w:val="hybridMultilevel"/>
    <w:tmpl w:val="4EBA9C82"/>
    <w:lvl w:ilvl="0" w:tplc="30E07B3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8">
    <w:nsid w:val="3B2954E5"/>
    <w:multiLevelType w:val="hybridMultilevel"/>
    <w:tmpl w:val="4E36D1BE"/>
    <w:lvl w:ilvl="0" w:tplc="04E2A806">
      <w:numFmt w:val="bullet"/>
      <w:lvlText w:val="•"/>
      <w:lvlJc w:val="left"/>
      <w:pPr>
        <w:ind w:left="720" w:hanging="720"/>
      </w:pPr>
      <w:rPr>
        <w:rFonts w:ascii="Arial" w:eastAsia="Cambria" w:hAnsi="Arial" w:cs="Tahoma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CFD74EA"/>
    <w:multiLevelType w:val="hybridMultilevel"/>
    <w:tmpl w:val="14067F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E6992"/>
    <w:multiLevelType w:val="hybridMultilevel"/>
    <w:tmpl w:val="AE78D5FA"/>
    <w:lvl w:ilvl="0" w:tplc="04E2A806">
      <w:numFmt w:val="bullet"/>
      <w:lvlText w:val="•"/>
      <w:lvlJc w:val="left"/>
      <w:pPr>
        <w:ind w:left="1080" w:hanging="720"/>
      </w:pPr>
      <w:rPr>
        <w:rFonts w:ascii="Arial" w:eastAsia="Cambria" w:hAnsi="Aria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8865D5"/>
    <w:multiLevelType w:val="hybridMultilevel"/>
    <w:tmpl w:val="C2D60D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22DCE"/>
    <w:multiLevelType w:val="hybridMultilevel"/>
    <w:tmpl w:val="1A161C9E"/>
    <w:lvl w:ilvl="0" w:tplc="04E2A806">
      <w:numFmt w:val="bullet"/>
      <w:lvlText w:val="•"/>
      <w:lvlJc w:val="left"/>
      <w:pPr>
        <w:ind w:left="1080" w:hanging="720"/>
      </w:pPr>
      <w:rPr>
        <w:rFonts w:ascii="Arial" w:eastAsia="Cambria" w:hAnsi="Arial" w:cs="Tahoma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9975DD"/>
    <w:multiLevelType w:val="hybridMultilevel"/>
    <w:tmpl w:val="313C15C4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4">
    <w:nsid w:val="45150377"/>
    <w:multiLevelType w:val="hybridMultilevel"/>
    <w:tmpl w:val="12A00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192FC6"/>
    <w:multiLevelType w:val="hybridMultilevel"/>
    <w:tmpl w:val="068A29CC"/>
    <w:lvl w:ilvl="0" w:tplc="0C090017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36755D"/>
    <w:multiLevelType w:val="hybridMultilevel"/>
    <w:tmpl w:val="95486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037E09"/>
    <w:multiLevelType w:val="hybridMultilevel"/>
    <w:tmpl w:val="D018D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E089A"/>
    <w:multiLevelType w:val="hybridMultilevel"/>
    <w:tmpl w:val="7798A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984A0A"/>
    <w:multiLevelType w:val="hybridMultilevel"/>
    <w:tmpl w:val="59F0A308"/>
    <w:lvl w:ilvl="0" w:tplc="04E2A806">
      <w:numFmt w:val="bullet"/>
      <w:lvlText w:val="•"/>
      <w:lvlJc w:val="left"/>
      <w:pPr>
        <w:ind w:left="1080" w:hanging="720"/>
      </w:pPr>
      <w:rPr>
        <w:rFonts w:ascii="Arial" w:eastAsia="Cambria" w:hAnsi="Aria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2E5E6E"/>
    <w:multiLevelType w:val="hybridMultilevel"/>
    <w:tmpl w:val="94AE7E08"/>
    <w:lvl w:ilvl="0" w:tplc="958A6148">
      <w:start w:val="1"/>
      <w:numFmt w:val="bullet"/>
      <w:pStyle w:val="AHPRABulletTex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1">
    <w:nsid w:val="58A86602"/>
    <w:multiLevelType w:val="hybridMultilevel"/>
    <w:tmpl w:val="395CF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142EBA"/>
    <w:multiLevelType w:val="multilevel"/>
    <w:tmpl w:val="A0E04DE2"/>
    <w:lvl w:ilvl="0">
      <w:start w:val="1"/>
      <w:numFmt w:val="decimal"/>
      <w:pStyle w:val="Heading1"/>
      <w:lvlText w:val="%1."/>
      <w:lvlJc w:val="left"/>
      <w:pPr>
        <w:ind w:left="369" w:hanging="369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9" w:hanging="36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539" w:hanging="539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>
    <w:nsid w:val="60A20048"/>
    <w:multiLevelType w:val="multilevel"/>
    <w:tmpl w:val="29006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34">
    <w:nsid w:val="61A96DE3"/>
    <w:multiLevelType w:val="hybridMultilevel"/>
    <w:tmpl w:val="5A84D192"/>
    <w:lvl w:ilvl="0" w:tplc="F15624CE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C13504"/>
    <w:multiLevelType w:val="hybridMultilevel"/>
    <w:tmpl w:val="492208B6"/>
    <w:lvl w:ilvl="0" w:tplc="F84C312A">
      <w:start w:val="1"/>
      <w:numFmt w:val="decimal"/>
      <w:pStyle w:val="AHPRANumberedTex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36">
    <w:nsid w:val="690E18D2"/>
    <w:multiLevelType w:val="hybridMultilevel"/>
    <w:tmpl w:val="D8A81C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C803933"/>
    <w:multiLevelType w:val="hybridMultilevel"/>
    <w:tmpl w:val="44806AF4"/>
    <w:lvl w:ilvl="0" w:tplc="0C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DCE5636"/>
    <w:multiLevelType w:val="hybridMultilevel"/>
    <w:tmpl w:val="33165EFA"/>
    <w:lvl w:ilvl="0" w:tplc="CD06DF5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FBE0BA4"/>
    <w:multiLevelType w:val="hybridMultilevel"/>
    <w:tmpl w:val="80D87338"/>
    <w:lvl w:ilvl="0" w:tplc="F84C31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40">
    <w:nsid w:val="72127F80"/>
    <w:multiLevelType w:val="hybridMultilevel"/>
    <w:tmpl w:val="1360C1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6302DC"/>
    <w:multiLevelType w:val="hybridMultilevel"/>
    <w:tmpl w:val="CDE8B9C0"/>
    <w:lvl w:ilvl="0" w:tplc="8FFE9F70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1F2B5A"/>
    <w:multiLevelType w:val="multilevel"/>
    <w:tmpl w:val="A2C2798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43">
    <w:nsid w:val="76D470F6"/>
    <w:multiLevelType w:val="multilevel"/>
    <w:tmpl w:val="29006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44">
    <w:nsid w:val="76E875EE"/>
    <w:multiLevelType w:val="multilevel"/>
    <w:tmpl w:val="FEE42A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5">
    <w:nsid w:val="7BDE57C4"/>
    <w:multiLevelType w:val="hybridMultilevel"/>
    <w:tmpl w:val="D458B2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D70F53"/>
    <w:multiLevelType w:val="hybridMultilevel"/>
    <w:tmpl w:val="F1DE6664"/>
    <w:lvl w:ilvl="0" w:tplc="CD06DF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EB5510"/>
    <w:multiLevelType w:val="hybridMultilevel"/>
    <w:tmpl w:val="1BD29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47"/>
  </w:num>
  <w:num w:numId="4">
    <w:abstractNumId w:val="16"/>
  </w:num>
  <w:num w:numId="5">
    <w:abstractNumId w:val="39"/>
  </w:num>
  <w:num w:numId="6">
    <w:abstractNumId w:val="7"/>
  </w:num>
  <w:num w:numId="7">
    <w:abstractNumId w:val="30"/>
  </w:num>
  <w:num w:numId="8">
    <w:abstractNumId w:val="44"/>
  </w:num>
  <w:num w:numId="9">
    <w:abstractNumId w:val="43"/>
  </w:num>
  <w:num w:numId="10">
    <w:abstractNumId w:val="33"/>
  </w:num>
  <w:num w:numId="11">
    <w:abstractNumId w:val="42"/>
  </w:num>
  <w:num w:numId="12">
    <w:abstractNumId w:val="35"/>
  </w:num>
  <w:num w:numId="13">
    <w:abstractNumId w:val="12"/>
  </w:num>
  <w:num w:numId="14">
    <w:abstractNumId w:val="0"/>
  </w:num>
  <w:num w:numId="15">
    <w:abstractNumId w:val="34"/>
  </w:num>
  <w:num w:numId="16">
    <w:abstractNumId w:val="13"/>
  </w:num>
  <w:num w:numId="17">
    <w:abstractNumId w:val="2"/>
  </w:num>
  <w:num w:numId="18">
    <w:abstractNumId w:val="29"/>
  </w:num>
  <w:num w:numId="19">
    <w:abstractNumId w:val="22"/>
  </w:num>
  <w:num w:numId="20">
    <w:abstractNumId w:val="20"/>
  </w:num>
  <w:num w:numId="21">
    <w:abstractNumId w:val="18"/>
  </w:num>
  <w:num w:numId="22">
    <w:abstractNumId w:val="37"/>
  </w:num>
  <w:num w:numId="23">
    <w:abstractNumId w:val="21"/>
  </w:num>
  <w:num w:numId="24">
    <w:abstractNumId w:val="46"/>
  </w:num>
  <w:num w:numId="25">
    <w:abstractNumId w:val="38"/>
  </w:num>
  <w:num w:numId="26">
    <w:abstractNumId w:val="10"/>
  </w:num>
  <w:num w:numId="27">
    <w:abstractNumId w:val="9"/>
  </w:num>
  <w:num w:numId="28">
    <w:abstractNumId w:val="14"/>
  </w:num>
  <w:num w:numId="29">
    <w:abstractNumId w:val="24"/>
  </w:num>
  <w:num w:numId="30">
    <w:abstractNumId w:val="4"/>
  </w:num>
  <w:num w:numId="31">
    <w:abstractNumId w:val="31"/>
  </w:num>
  <w:num w:numId="32">
    <w:abstractNumId w:val="8"/>
  </w:num>
  <w:num w:numId="33">
    <w:abstractNumId w:val="19"/>
  </w:num>
  <w:num w:numId="34">
    <w:abstractNumId w:val="6"/>
  </w:num>
  <w:num w:numId="35">
    <w:abstractNumId w:val="26"/>
  </w:num>
  <w:num w:numId="36">
    <w:abstractNumId w:val="36"/>
  </w:num>
  <w:num w:numId="37">
    <w:abstractNumId w:val="45"/>
  </w:num>
  <w:num w:numId="38">
    <w:abstractNumId w:val="23"/>
  </w:num>
  <w:num w:numId="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28"/>
  </w:num>
  <w:num w:numId="4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11"/>
  </w:num>
  <w:num w:numId="47">
    <w:abstractNumId w:val="41"/>
  </w:num>
  <w:num w:numId="48">
    <w:abstractNumId w:val="32"/>
  </w:num>
  <w:num w:numId="49">
    <w:abstractNumId w:val="15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F40"/>
    <w:rsid w:val="00002CB8"/>
    <w:rsid w:val="000033B9"/>
    <w:rsid w:val="00007071"/>
    <w:rsid w:val="0000716E"/>
    <w:rsid w:val="00013BF1"/>
    <w:rsid w:val="000269F6"/>
    <w:rsid w:val="00026C0B"/>
    <w:rsid w:val="000329FD"/>
    <w:rsid w:val="00055AE0"/>
    <w:rsid w:val="00055F8D"/>
    <w:rsid w:val="00063C65"/>
    <w:rsid w:val="00064F14"/>
    <w:rsid w:val="00077157"/>
    <w:rsid w:val="00085A56"/>
    <w:rsid w:val="00093571"/>
    <w:rsid w:val="000A64AA"/>
    <w:rsid w:val="000B71EF"/>
    <w:rsid w:val="000C5E11"/>
    <w:rsid w:val="000E5E92"/>
    <w:rsid w:val="000F1D66"/>
    <w:rsid w:val="0011026F"/>
    <w:rsid w:val="00126734"/>
    <w:rsid w:val="00133664"/>
    <w:rsid w:val="00135412"/>
    <w:rsid w:val="001673C8"/>
    <w:rsid w:val="001A0641"/>
    <w:rsid w:val="001A39C7"/>
    <w:rsid w:val="001C0BD2"/>
    <w:rsid w:val="001E0375"/>
    <w:rsid w:val="001E6874"/>
    <w:rsid w:val="001F0CCB"/>
    <w:rsid w:val="001F7178"/>
    <w:rsid w:val="00206C1D"/>
    <w:rsid w:val="00210DF5"/>
    <w:rsid w:val="00230969"/>
    <w:rsid w:val="00231F9A"/>
    <w:rsid w:val="00236FEB"/>
    <w:rsid w:val="00237B04"/>
    <w:rsid w:val="00241CBC"/>
    <w:rsid w:val="00241FA4"/>
    <w:rsid w:val="0025708F"/>
    <w:rsid w:val="00262FDE"/>
    <w:rsid w:val="002B6696"/>
    <w:rsid w:val="002E378F"/>
    <w:rsid w:val="003079DE"/>
    <w:rsid w:val="003265E1"/>
    <w:rsid w:val="003269F4"/>
    <w:rsid w:val="00341C1B"/>
    <w:rsid w:val="003542C2"/>
    <w:rsid w:val="00361034"/>
    <w:rsid w:val="0039292A"/>
    <w:rsid w:val="003975F4"/>
    <w:rsid w:val="003D29BF"/>
    <w:rsid w:val="003D778F"/>
    <w:rsid w:val="003D7DC9"/>
    <w:rsid w:val="003E0BFC"/>
    <w:rsid w:val="003F0D3F"/>
    <w:rsid w:val="003F3850"/>
    <w:rsid w:val="003F647C"/>
    <w:rsid w:val="003F79AC"/>
    <w:rsid w:val="0042745C"/>
    <w:rsid w:val="0043256E"/>
    <w:rsid w:val="00436C98"/>
    <w:rsid w:val="00437164"/>
    <w:rsid w:val="004456D9"/>
    <w:rsid w:val="00483D1C"/>
    <w:rsid w:val="00485314"/>
    <w:rsid w:val="004A40BB"/>
    <w:rsid w:val="004F4CC4"/>
    <w:rsid w:val="00505039"/>
    <w:rsid w:val="005214A0"/>
    <w:rsid w:val="0052517A"/>
    <w:rsid w:val="00546B8E"/>
    <w:rsid w:val="00555BD9"/>
    <w:rsid w:val="00556CFA"/>
    <w:rsid w:val="005752D2"/>
    <w:rsid w:val="00583EFF"/>
    <w:rsid w:val="005966EC"/>
    <w:rsid w:val="005B5BA2"/>
    <w:rsid w:val="005C3E06"/>
    <w:rsid w:val="005E1888"/>
    <w:rsid w:val="005F3EDB"/>
    <w:rsid w:val="00600836"/>
    <w:rsid w:val="006141A4"/>
    <w:rsid w:val="006179C4"/>
    <w:rsid w:val="00667494"/>
    <w:rsid w:val="00687F29"/>
    <w:rsid w:val="006A230C"/>
    <w:rsid w:val="006B214D"/>
    <w:rsid w:val="006C1FAD"/>
    <w:rsid w:val="006D03BC"/>
    <w:rsid w:val="006E1ECD"/>
    <w:rsid w:val="006E3698"/>
    <w:rsid w:val="00706836"/>
    <w:rsid w:val="00743C65"/>
    <w:rsid w:val="007578FC"/>
    <w:rsid w:val="00757B2C"/>
    <w:rsid w:val="007777C6"/>
    <w:rsid w:val="00781150"/>
    <w:rsid w:val="00782659"/>
    <w:rsid w:val="00782905"/>
    <w:rsid w:val="00785587"/>
    <w:rsid w:val="0079578A"/>
    <w:rsid w:val="0079735A"/>
    <w:rsid w:val="007A27AA"/>
    <w:rsid w:val="007B38F5"/>
    <w:rsid w:val="007C196C"/>
    <w:rsid w:val="007C372C"/>
    <w:rsid w:val="007D55B8"/>
    <w:rsid w:val="007E155F"/>
    <w:rsid w:val="007F127D"/>
    <w:rsid w:val="00801A1C"/>
    <w:rsid w:val="008061FB"/>
    <w:rsid w:val="008115F3"/>
    <w:rsid w:val="008316C0"/>
    <w:rsid w:val="00837BB0"/>
    <w:rsid w:val="00855259"/>
    <w:rsid w:val="00860F40"/>
    <w:rsid w:val="00864178"/>
    <w:rsid w:val="008752D4"/>
    <w:rsid w:val="00894D52"/>
    <w:rsid w:val="008B09FA"/>
    <w:rsid w:val="008C1766"/>
    <w:rsid w:val="008C30EF"/>
    <w:rsid w:val="008D37C9"/>
    <w:rsid w:val="008E3F27"/>
    <w:rsid w:val="008F127C"/>
    <w:rsid w:val="00903DAB"/>
    <w:rsid w:val="009050DD"/>
    <w:rsid w:val="00905682"/>
    <w:rsid w:val="0091438D"/>
    <w:rsid w:val="00952EAE"/>
    <w:rsid w:val="0097420A"/>
    <w:rsid w:val="00974ECD"/>
    <w:rsid w:val="00977726"/>
    <w:rsid w:val="009806D4"/>
    <w:rsid w:val="00994B93"/>
    <w:rsid w:val="009C756E"/>
    <w:rsid w:val="009D5E6A"/>
    <w:rsid w:val="009F63C7"/>
    <w:rsid w:val="00A12953"/>
    <w:rsid w:val="00A216EB"/>
    <w:rsid w:val="00A26C53"/>
    <w:rsid w:val="00A623BD"/>
    <w:rsid w:val="00A62A5E"/>
    <w:rsid w:val="00A90C11"/>
    <w:rsid w:val="00AA65FB"/>
    <w:rsid w:val="00AB44D8"/>
    <w:rsid w:val="00AD040A"/>
    <w:rsid w:val="00AF209D"/>
    <w:rsid w:val="00AF4D5E"/>
    <w:rsid w:val="00B1452F"/>
    <w:rsid w:val="00B22A83"/>
    <w:rsid w:val="00B32E87"/>
    <w:rsid w:val="00B44042"/>
    <w:rsid w:val="00B559ED"/>
    <w:rsid w:val="00B857DC"/>
    <w:rsid w:val="00BC0403"/>
    <w:rsid w:val="00BD11D4"/>
    <w:rsid w:val="00BD1EBA"/>
    <w:rsid w:val="00C21C8D"/>
    <w:rsid w:val="00C415F0"/>
    <w:rsid w:val="00C431E3"/>
    <w:rsid w:val="00C531A6"/>
    <w:rsid w:val="00C7234C"/>
    <w:rsid w:val="00C7590E"/>
    <w:rsid w:val="00C86221"/>
    <w:rsid w:val="00C90491"/>
    <w:rsid w:val="00C90C3A"/>
    <w:rsid w:val="00CC2D10"/>
    <w:rsid w:val="00CF5582"/>
    <w:rsid w:val="00D205E4"/>
    <w:rsid w:val="00D2168E"/>
    <w:rsid w:val="00D548B8"/>
    <w:rsid w:val="00D57C3B"/>
    <w:rsid w:val="00D76096"/>
    <w:rsid w:val="00D77E67"/>
    <w:rsid w:val="00D82758"/>
    <w:rsid w:val="00D85607"/>
    <w:rsid w:val="00D909E0"/>
    <w:rsid w:val="00D94B24"/>
    <w:rsid w:val="00DB3144"/>
    <w:rsid w:val="00DD45AA"/>
    <w:rsid w:val="00E02046"/>
    <w:rsid w:val="00E04C9B"/>
    <w:rsid w:val="00E201BC"/>
    <w:rsid w:val="00E250C1"/>
    <w:rsid w:val="00E2750F"/>
    <w:rsid w:val="00E302D0"/>
    <w:rsid w:val="00E314CC"/>
    <w:rsid w:val="00E33B48"/>
    <w:rsid w:val="00E35C1D"/>
    <w:rsid w:val="00E4055F"/>
    <w:rsid w:val="00E51B65"/>
    <w:rsid w:val="00E6717B"/>
    <w:rsid w:val="00E86152"/>
    <w:rsid w:val="00E87EEA"/>
    <w:rsid w:val="00E95143"/>
    <w:rsid w:val="00E95B38"/>
    <w:rsid w:val="00E9705B"/>
    <w:rsid w:val="00EA41E6"/>
    <w:rsid w:val="00EB3E1D"/>
    <w:rsid w:val="00ED11EF"/>
    <w:rsid w:val="00ED3453"/>
    <w:rsid w:val="00ED3606"/>
    <w:rsid w:val="00ED447E"/>
    <w:rsid w:val="00ED6C01"/>
    <w:rsid w:val="00EE3029"/>
    <w:rsid w:val="00EE47D0"/>
    <w:rsid w:val="00EF55AD"/>
    <w:rsid w:val="00F134BD"/>
    <w:rsid w:val="00F23F6B"/>
    <w:rsid w:val="00FC5041"/>
    <w:rsid w:val="00FC5DF4"/>
    <w:rsid w:val="00FF70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245EADB5-2E82-4D60-AC97-C5EB2EC9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FDE"/>
    <w:pPr>
      <w:spacing w:after="200"/>
    </w:pPr>
    <w:rPr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230969"/>
    <w:pPr>
      <w:numPr>
        <w:numId w:val="48"/>
      </w:numPr>
      <w:spacing w:before="200"/>
      <w:outlineLvl w:val="0"/>
    </w:pPr>
    <w:rPr>
      <w:rFonts w:ascii="Arial" w:eastAsiaTheme="minorEastAsia" w:hAnsi="Arial"/>
      <w:b/>
      <w:color w:val="007DC3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B77EEC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C44B7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0F4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0F40"/>
  </w:style>
  <w:style w:type="paragraph" w:styleId="Footer">
    <w:name w:val="footer"/>
    <w:basedOn w:val="Normal"/>
    <w:link w:val="FooterChar"/>
    <w:uiPriority w:val="99"/>
    <w:unhideWhenUsed/>
    <w:rsid w:val="00860F4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0F40"/>
  </w:style>
  <w:style w:type="paragraph" w:customStyle="1" w:styleId="AHPRAbody">
    <w:name w:val="AHPRA body"/>
    <w:basedOn w:val="Normal"/>
    <w:link w:val="AHPRAbodyChar"/>
    <w:qFormat/>
    <w:rsid w:val="00607E4B"/>
    <w:rPr>
      <w:rFonts w:ascii="Arial MT Lt" w:hAnsi="Arial MT Lt"/>
      <w:sz w:val="20"/>
    </w:rPr>
  </w:style>
  <w:style w:type="paragraph" w:customStyle="1" w:styleId="AHPRAHeadline">
    <w:name w:val="AHPRA Headline"/>
    <w:basedOn w:val="Normal"/>
    <w:qFormat/>
    <w:rsid w:val="002C4C51"/>
    <w:rPr>
      <w:rFonts w:ascii="Arial" w:hAnsi="Arial"/>
      <w:color w:val="008EC4"/>
      <w:sz w:val="28"/>
    </w:rPr>
  </w:style>
  <w:style w:type="paragraph" w:customStyle="1" w:styleId="BasicParagraph">
    <w:name w:val="[Basic Paragraph]"/>
    <w:basedOn w:val="Normal"/>
    <w:uiPriority w:val="99"/>
    <w:rsid w:val="0041734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rsid w:val="00AC00E2"/>
    <w:rPr>
      <w:color w:val="0000FF"/>
      <w:u w:val="single"/>
    </w:rPr>
  </w:style>
  <w:style w:type="character" w:customStyle="1" w:styleId="BalloonTextChar1">
    <w:name w:val="Balloon Text Char1"/>
    <w:link w:val="BalloonText"/>
    <w:rsid w:val="00B77EE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77E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7EEC"/>
    <w:rPr>
      <w:sz w:val="20"/>
      <w:szCs w:val="20"/>
    </w:rPr>
  </w:style>
  <w:style w:type="character" w:customStyle="1" w:styleId="CommentTextChar">
    <w:name w:val="Comment Text Char"/>
    <w:link w:val="CommentText"/>
    <w:rsid w:val="00B77E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77EEC"/>
    <w:rPr>
      <w:b/>
      <w:bCs/>
    </w:rPr>
  </w:style>
  <w:style w:type="character" w:customStyle="1" w:styleId="CommentSubjectChar">
    <w:name w:val="Comment Subject Char"/>
    <w:link w:val="CommentSubject"/>
    <w:rsid w:val="00B77EEC"/>
    <w:rPr>
      <w:b/>
      <w:bCs/>
      <w:sz w:val="20"/>
      <w:szCs w:val="20"/>
    </w:rPr>
  </w:style>
  <w:style w:type="character" w:styleId="PageNumber">
    <w:name w:val="page number"/>
    <w:basedOn w:val="DefaultParagraphFont"/>
    <w:rsid w:val="00383826"/>
  </w:style>
  <w:style w:type="paragraph" w:customStyle="1" w:styleId="AHPRASubhead">
    <w:name w:val="AHPRA Subhead"/>
    <w:basedOn w:val="Normal"/>
    <w:qFormat/>
    <w:rsid w:val="002C4C51"/>
    <w:rPr>
      <w:rFonts w:ascii="Arial" w:hAnsi="Arial"/>
      <w:b/>
      <w:color w:val="008EC4"/>
      <w:sz w:val="20"/>
    </w:rPr>
  </w:style>
  <w:style w:type="paragraph" w:customStyle="1" w:styleId="AHPRABulletText">
    <w:name w:val="AHPRA Bullet Text"/>
    <w:basedOn w:val="AHPRAbody"/>
    <w:next w:val="AHPRAbody"/>
    <w:qFormat/>
    <w:rsid w:val="00AF1191"/>
    <w:pPr>
      <w:numPr>
        <w:numId w:val="7"/>
      </w:numPr>
    </w:pPr>
  </w:style>
  <w:style w:type="paragraph" w:customStyle="1" w:styleId="AHPRATitle">
    <w:name w:val="AHPRA Title"/>
    <w:basedOn w:val="Normal"/>
    <w:next w:val="AHPRAHeadline"/>
    <w:qFormat/>
    <w:rsid w:val="004B5F65"/>
    <w:pPr>
      <w:outlineLvl w:val="0"/>
    </w:pPr>
    <w:rPr>
      <w:rFonts w:ascii="Arial" w:hAnsi="Arial" w:cs="Arial"/>
      <w:color w:val="808080"/>
      <w:sz w:val="44"/>
      <w:szCs w:val="52"/>
    </w:rPr>
  </w:style>
  <w:style w:type="paragraph" w:customStyle="1" w:styleId="AHPRANumberedText">
    <w:name w:val="AHPRA Numbered Text"/>
    <w:basedOn w:val="AHPRABulletText"/>
    <w:qFormat/>
    <w:rsid w:val="00AF1191"/>
    <w:pPr>
      <w:numPr>
        <w:numId w:val="12"/>
      </w:numPr>
    </w:pPr>
  </w:style>
  <w:style w:type="character" w:styleId="FollowedHyperlink">
    <w:name w:val="FollowedHyperlink"/>
    <w:rsid w:val="004A1F6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86152"/>
    <w:pPr>
      <w:ind w:left="720"/>
      <w:contextualSpacing/>
    </w:pPr>
  </w:style>
  <w:style w:type="table" w:styleId="TableGrid">
    <w:name w:val="Table Grid"/>
    <w:basedOn w:val="TableNormal"/>
    <w:rsid w:val="007F1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03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rsid w:val="001E037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0375"/>
    <w:rPr>
      <w:lang w:eastAsia="en-US"/>
    </w:rPr>
  </w:style>
  <w:style w:type="character" w:styleId="FootnoteReference">
    <w:name w:val="footnote reference"/>
    <w:basedOn w:val="DefaultParagraphFont"/>
    <w:rsid w:val="001E0375"/>
    <w:rPr>
      <w:vertAlign w:val="superscript"/>
    </w:rPr>
  </w:style>
  <w:style w:type="paragraph" w:customStyle="1" w:styleId="AHPRABulletlevel1">
    <w:name w:val="AHPRA Bullet level 1"/>
    <w:basedOn w:val="Normal"/>
    <w:qFormat/>
    <w:rsid w:val="00E302D0"/>
    <w:pPr>
      <w:numPr>
        <w:numId w:val="43"/>
      </w:numPr>
      <w:spacing w:after="0"/>
    </w:pPr>
    <w:rPr>
      <w:rFonts w:ascii="Arial" w:eastAsiaTheme="minorHAnsi" w:hAnsi="Arial" w:cs="Arial"/>
      <w:sz w:val="20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230969"/>
    <w:rPr>
      <w:rFonts w:ascii="Arial" w:eastAsiaTheme="minorEastAsia" w:hAnsi="Arial"/>
      <w:b/>
      <w:color w:val="007DC3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230969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230969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AHPRAbodyChar">
    <w:name w:val="AHPRA body Char"/>
    <w:basedOn w:val="DefaultParagraphFont"/>
    <w:link w:val="AHPRAbody"/>
    <w:rsid w:val="005966EC"/>
    <w:rPr>
      <w:rFonts w:ascii="Arial MT Lt" w:hAnsi="Arial MT Lt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1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pra.gov.au/News/Consultations/Past-Consultations.aspx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2CF5D-0A1C-4E4F-B81A-BA8A9B94C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criminal history checks for new applicants</vt:lpstr>
    </vt:vector>
  </TitlesOfParts>
  <Company>Johanna Villani Design</Company>
  <LinksUpToDate>false</LinksUpToDate>
  <CharactersWithSpaces>5392</CharactersWithSpaces>
  <SharedDoc>false</SharedDoc>
  <HyperlinkBase/>
  <HLinks>
    <vt:vector size="96" baseType="variant">
      <vt:variant>
        <vt:i4>3342378</vt:i4>
      </vt:variant>
      <vt:variant>
        <vt:i4>39</vt:i4>
      </vt:variant>
      <vt:variant>
        <vt:i4>0</vt:i4>
      </vt:variant>
      <vt:variant>
        <vt:i4>5</vt:i4>
      </vt:variant>
      <vt:variant>
        <vt:lpwstr>http://www.podiatryboard.gov.au/Forms.aspx</vt:lpwstr>
      </vt:variant>
      <vt:variant>
        <vt:lpwstr/>
      </vt:variant>
      <vt:variant>
        <vt:i4>3342417</vt:i4>
      </vt:variant>
      <vt:variant>
        <vt:i4>36</vt:i4>
      </vt:variant>
      <vt:variant>
        <vt:i4>0</vt:i4>
      </vt:variant>
      <vt:variant>
        <vt:i4>5</vt:i4>
      </vt:variant>
      <vt:variant>
        <vt:lpwstr>http://www.physiotherapyboard.gov.au/Forms.aspx</vt:lpwstr>
      </vt:variant>
      <vt:variant>
        <vt:lpwstr/>
      </vt:variant>
      <vt:variant>
        <vt:i4>2818083</vt:i4>
      </vt:variant>
      <vt:variant>
        <vt:i4>33</vt:i4>
      </vt:variant>
      <vt:variant>
        <vt:i4>0</vt:i4>
      </vt:variant>
      <vt:variant>
        <vt:i4>5</vt:i4>
      </vt:variant>
      <vt:variant>
        <vt:lpwstr>http://www.pharmacyboard.gov.au/Forms.aspx</vt:lpwstr>
      </vt:variant>
      <vt:variant>
        <vt:lpwstr/>
      </vt:variant>
      <vt:variant>
        <vt:i4>4784202</vt:i4>
      </vt:variant>
      <vt:variant>
        <vt:i4>30</vt:i4>
      </vt:variant>
      <vt:variant>
        <vt:i4>0</vt:i4>
      </vt:variant>
      <vt:variant>
        <vt:i4>5</vt:i4>
      </vt:variant>
      <vt:variant>
        <vt:lpwstr>http://www.osteopathyboard.gov.au/Forms.aspx</vt:lpwstr>
      </vt:variant>
      <vt:variant>
        <vt:lpwstr/>
      </vt:variant>
      <vt:variant>
        <vt:i4>2162759</vt:i4>
      </vt:variant>
      <vt:variant>
        <vt:i4>27</vt:i4>
      </vt:variant>
      <vt:variant>
        <vt:i4>0</vt:i4>
      </vt:variant>
      <vt:variant>
        <vt:i4>5</vt:i4>
      </vt:variant>
      <vt:variant>
        <vt:lpwstr>http://www.optometryboard.gov.au/Forms.aspx</vt:lpwstr>
      </vt:variant>
      <vt:variant>
        <vt:lpwstr/>
      </vt:variant>
      <vt:variant>
        <vt:i4>2883637</vt:i4>
      </vt:variant>
      <vt:variant>
        <vt:i4>24</vt:i4>
      </vt:variant>
      <vt:variant>
        <vt:i4>0</vt:i4>
      </vt:variant>
      <vt:variant>
        <vt:i4>5</vt:i4>
      </vt:variant>
      <vt:variant>
        <vt:lpwstr>http://www.nursingmidwiferyboard.gov.au/Forms.aspx</vt:lpwstr>
      </vt:variant>
      <vt:variant>
        <vt:lpwstr/>
      </vt:variant>
      <vt:variant>
        <vt:i4>6029346</vt:i4>
      </vt:variant>
      <vt:variant>
        <vt:i4>21</vt:i4>
      </vt:variant>
      <vt:variant>
        <vt:i4>0</vt:i4>
      </vt:variant>
      <vt:variant>
        <vt:i4>5</vt:i4>
      </vt:variant>
      <vt:variant>
        <vt:lpwstr>http://www.medicalboard.gov.au/Forms.aspx</vt:lpwstr>
      </vt:variant>
      <vt:variant>
        <vt:lpwstr/>
      </vt:variant>
      <vt:variant>
        <vt:i4>6226012</vt:i4>
      </vt:variant>
      <vt:variant>
        <vt:i4>18</vt:i4>
      </vt:variant>
      <vt:variant>
        <vt:i4>0</vt:i4>
      </vt:variant>
      <vt:variant>
        <vt:i4>5</vt:i4>
      </vt:variant>
      <vt:variant>
        <vt:lpwstr>http://www.dentalboard.gov.au/Forms.aspx</vt:lpwstr>
      </vt:variant>
      <vt:variant>
        <vt:lpwstr/>
      </vt:variant>
      <vt:variant>
        <vt:i4>2687037</vt:i4>
      </vt:variant>
      <vt:variant>
        <vt:i4>15</vt:i4>
      </vt:variant>
      <vt:variant>
        <vt:i4>0</vt:i4>
      </vt:variant>
      <vt:variant>
        <vt:i4>5</vt:i4>
      </vt:variant>
      <vt:variant>
        <vt:lpwstr>http://www.chiropracticboard.gov.au/Forms.aspx</vt:lpwstr>
      </vt:variant>
      <vt:variant>
        <vt:lpwstr/>
      </vt:variant>
      <vt:variant>
        <vt:i4>2818128</vt:i4>
      </vt:variant>
      <vt:variant>
        <vt:i4>12</vt:i4>
      </vt:variant>
      <vt:variant>
        <vt:i4>0</vt:i4>
      </vt:variant>
      <vt:variant>
        <vt:i4>5</vt:i4>
      </vt:variant>
      <vt:variant>
        <vt:lpwstr>http://www.ahpra.gov.au</vt:lpwstr>
      </vt:variant>
      <vt:variant>
        <vt:lpwstr/>
      </vt:variant>
      <vt:variant>
        <vt:i4>2818128</vt:i4>
      </vt:variant>
      <vt:variant>
        <vt:i4>9</vt:i4>
      </vt:variant>
      <vt:variant>
        <vt:i4>0</vt:i4>
      </vt:variant>
      <vt:variant>
        <vt:i4>5</vt:i4>
      </vt:variant>
      <vt:variant>
        <vt:lpwstr>http://www.ahpra.gov.au</vt:lpwstr>
      </vt:variant>
      <vt:variant>
        <vt:lpwstr/>
      </vt:variant>
      <vt:variant>
        <vt:i4>2818128</vt:i4>
      </vt:variant>
      <vt:variant>
        <vt:i4>6</vt:i4>
      </vt:variant>
      <vt:variant>
        <vt:i4>0</vt:i4>
      </vt:variant>
      <vt:variant>
        <vt:i4>5</vt:i4>
      </vt:variant>
      <vt:variant>
        <vt:lpwstr>http://www.ahpra.gov.au</vt:lpwstr>
      </vt:variant>
      <vt:variant>
        <vt:lpwstr/>
      </vt:variant>
      <vt:variant>
        <vt:i4>2818128</vt:i4>
      </vt:variant>
      <vt:variant>
        <vt:i4>3</vt:i4>
      </vt:variant>
      <vt:variant>
        <vt:i4>0</vt:i4>
      </vt:variant>
      <vt:variant>
        <vt:i4>5</vt:i4>
      </vt:variant>
      <vt:variant>
        <vt:lpwstr>http://www.ahpra.gov.au</vt:lpwstr>
      </vt:variant>
      <vt:variant>
        <vt:lpwstr/>
      </vt:variant>
      <vt:variant>
        <vt:i4>2818128</vt:i4>
      </vt:variant>
      <vt:variant>
        <vt:i4>0</vt:i4>
      </vt:variant>
      <vt:variant>
        <vt:i4>0</vt:i4>
      </vt:variant>
      <vt:variant>
        <vt:i4>5</vt:i4>
      </vt:variant>
      <vt:variant>
        <vt:lpwstr>http://www.ahpra.gov.au</vt:lpwstr>
      </vt:variant>
      <vt:variant>
        <vt:lpwstr/>
      </vt:variant>
      <vt:variant>
        <vt:i4>2490451</vt:i4>
      </vt:variant>
      <vt:variant>
        <vt:i4>15853</vt:i4>
      </vt:variant>
      <vt:variant>
        <vt:i4>1025</vt:i4>
      </vt:variant>
      <vt:variant>
        <vt:i4>1</vt:i4>
      </vt:variant>
      <vt:variant>
        <vt:lpwstr>AHPRA_CombinedBoards_Full</vt:lpwstr>
      </vt:variant>
      <vt:variant>
        <vt:lpwstr/>
      </vt:variant>
      <vt:variant>
        <vt:i4>6225932</vt:i4>
      </vt:variant>
      <vt:variant>
        <vt:i4>15994</vt:i4>
      </vt:variant>
      <vt:variant>
        <vt:i4>1026</vt:i4>
      </vt:variant>
      <vt:variant>
        <vt:i4>1</vt:i4>
      </vt:variant>
      <vt:variant>
        <vt:lpwstr>AHPRA_Pharm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criminal history checks for new applicants</dc:title>
  <dc:subject>Fact sheet</dc:subject>
  <dc:creator>AHPRA</dc:creator>
  <cp:lastModifiedBy>Gareth Meade</cp:lastModifiedBy>
  <cp:revision>4</cp:revision>
  <cp:lastPrinted>2015-02-05T00:21:00Z</cp:lastPrinted>
  <dcterms:created xsi:type="dcterms:W3CDTF">2015-02-05T00:20:00Z</dcterms:created>
  <dcterms:modified xsi:type="dcterms:W3CDTF">2015-02-05T00:55:00Z</dcterms:modified>
</cp:coreProperties>
</file>