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EC" w:rsidRPr="00B304EC" w:rsidRDefault="0099715B" w:rsidP="0099715B">
      <w:pPr>
        <w:pStyle w:val="AHPRAbody"/>
        <w:ind w:right="192"/>
        <w:rPr>
          <w:color w:val="00BCE4"/>
          <w:sz w:val="32"/>
          <w:szCs w:val="52"/>
        </w:rPr>
      </w:pPr>
      <w:r>
        <w:rPr>
          <w:color w:val="00BCE4"/>
          <w:sz w:val="32"/>
          <w:szCs w:val="52"/>
        </w:rPr>
        <w:t>English language skills registration standard policy</w:t>
      </w:r>
    </w:p>
    <w:p w:rsidR="0099715B" w:rsidRPr="0022267E" w:rsidRDefault="0099715B" w:rsidP="0099715B">
      <w:pPr>
        <w:pStyle w:val="AHPRAbody"/>
        <w:ind w:right="192"/>
      </w:pPr>
      <w:r>
        <w:br/>
      </w:r>
      <w:r w:rsidR="001F7832">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5pt;width:419.4pt;height:0;z-index:251658240;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" adj="41,-1,41"/>
        </w:pict>
      </w:r>
      <w:r>
        <w:t xml:space="preserve">Approved </w:t>
      </w:r>
      <w:bookmarkStart w:id="0" w:name="_GoBack"/>
      <w:r>
        <w:t>26 May</w:t>
      </w:r>
      <w:r w:rsidRPr="0022267E">
        <w:t xml:space="preserve"> 2016</w:t>
      </w:r>
      <w:bookmarkEnd w:id="0"/>
    </w:p>
    <w:p w:rsidR="0099715B" w:rsidRPr="004B5F65" w:rsidRDefault="0099715B" w:rsidP="0099715B">
      <w:pPr>
        <w:pStyle w:val="AHPRASubhead"/>
        <w:ind w:right="192"/>
      </w:pPr>
      <w:r>
        <w:t xml:space="preserve">Authority </w:t>
      </w:r>
    </w:p>
    <w:p w:rsidR="0099715B" w:rsidRPr="00F240C7" w:rsidRDefault="0099715B" w:rsidP="0099715B">
      <w:pPr>
        <w:pStyle w:val="AHPRAbody"/>
        <w:ind w:right="192"/>
      </w:pPr>
      <w:r w:rsidRPr="002C6DF2">
        <w:t xml:space="preserve">This policy is developed pursuant to the </w:t>
      </w:r>
      <w:r>
        <w:t xml:space="preserve">Nursing and Midwifery </w:t>
      </w:r>
      <w:r w:rsidRPr="007C7115">
        <w:t xml:space="preserve">Board </w:t>
      </w:r>
      <w:r>
        <w:t xml:space="preserve">of Australia (NMBA) functions under the </w:t>
      </w:r>
      <w:r w:rsidRPr="002C6DF2">
        <w:t xml:space="preserve">Health Practitioner Regulation National Law as in force in each state and territory </w:t>
      </w:r>
      <w:r>
        <w:t xml:space="preserve">(the National Law). </w:t>
      </w:r>
    </w:p>
    <w:p w:rsidR="0099715B" w:rsidRPr="002C6DF2" w:rsidRDefault="0099715B" w:rsidP="0099715B">
      <w:pPr>
        <w:pStyle w:val="AHPRASubhead"/>
        <w:ind w:right="192"/>
      </w:pPr>
      <w:r>
        <w:t>Purpose</w:t>
      </w:r>
      <w:r w:rsidRPr="002C6DF2">
        <w:t xml:space="preserve"> </w:t>
      </w:r>
    </w:p>
    <w:p w:rsidR="0099715B" w:rsidRDefault="0099715B" w:rsidP="0099715B">
      <w:pPr>
        <w:pStyle w:val="AHPRAbody"/>
        <w:ind w:right="192"/>
      </w:pPr>
      <w:r>
        <w:t>Section 38</w:t>
      </w:r>
      <w:r w:rsidRPr="007C7115">
        <w:t xml:space="preserve"> </w:t>
      </w:r>
      <w:r>
        <w:t xml:space="preserve">of the National Law requires the NMBA </w:t>
      </w:r>
      <w:r w:rsidRPr="007C7115">
        <w:t>to</w:t>
      </w:r>
      <w:r>
        <w:t xml:space="preserve"> develop an English language skills registration standard (ELS Standard).</w:t>
      </w:r>
    </w:p>
    <w:p w:rsidR="0099715B" w:rsidRDefault="0099715B" w:rsidP="0099715B">
      <w:pPr>
        <w:pStyle w:val="AHPRAbody"/>
        <w:ind w:right="192"/>
      </w:pPr>
      <w:r>
        <w:t xml:space="preserve">The NMBA ELS Standard (2015) sets out the NMBA’s requirements for English language skills for applicants for registration.  </w:t>
      </w:r>
      <w:r>
        <w:rPr>
          <w:szCs w:val="20"/>
        </w:rPr>
        <w:t>The</w:t>
      </w:r>
      <w:r w:rsidRPr="003E66C2">
        <w:rPr>
          <w:szCs w:val="20"/>
        </w:rPr>
        <w:t xml:space="preserve"> ELS Standard provides flexible and varied approaches for applicants to demonstrate compliance with the ELS Standard</w:t>
      </w:r>
      <w:r>
        <w:rPr>
          <w:rFonts w:ascii="HelveticaNeue" w:hAnsi="HelveticaNeue" w:cs="HelveticaNeue"/>
          <w:color w:val="636467"/>
          <w:sz w:val="18"/>
          <w:szCs w:val="18"/>
          <w:lang w:eastAsia="en-AU"/>
        </w:rPr>
        <w:t>.</w:t>
      </w:r>
      <w:r>
        <w:t xml:space="preserve"> The ELS standard sets out five ways (pathways) that an applicant for initial registration can demonstrate their English language competency.</w:t>
      </w:r>
    </w:p>
    <w:p w:rsidR="0099715B" w:rsidRDefault="0099715B" w:rsidP="0099715B">
      <w:pPr>
        <w:pStyle w:val="AHPRAbody"/>
        <w:ind w:right="192"/>
      </w:pPr>
      <w:r w:rsidRPr="007C7115">
        <w:t xml:space="preserve">The </w:t>
      </w:r>
      <w:r>
        <w:t>purpose of this policy is to:</w:t>
      </w:r>
    </w:p>
    <w:p w:rsidR="0099715B" w:rsidRDefault="0099715B" w:rsidP="0099715B">
      <w:pPr>
        <w:pStyle w:val="AHPRABulletlevel1"/>
        <w:numPr>
          <w:ilvl w:val="0"/>
          <w:numId w:val="17"/>
        </w:numPr>
        <w:spacing w:after="200"/>
        <w:ind w:left="444" w:right="193"/>
      </w:pPr>
      <w:r>
        <w:t>provide clarity about the extended education pathways (Pathways 2 and 3) including:</w:t>
      </w:r>
    </w:p>
    <w:p w:rsidR="0099715B" w:rsidRDefault="0099715B" w:rsidP="0099715B">
      <w:pPr>
        <w:pStyle w:val="AHPRABulletlevel1"/>
        <w:numPr>
          <w:ilvl w:val="0"/>
          <w:numId w:val="10"/>
        </w:numPr>
        <w:spacing w:after="200"/>
        <w:ind w:left="777" w:right="193"/>
      </w:pPr>
      <w:r>
        <w:t xml:space="preserve">setting out the period over which this education may be completed </w:t>
      </w:r>
    </w:p>
    <w:p w:rsidR="0099715B" w:rsidRDefault="0099715B" w:rsidP="0099715B">
      <w:pPr>
        <w:pStyle w:val="AHPRABulletlevel1"/>
        <w:numPr>
          <w:ilvl w:val="0"/>
          <w:numId w:val="10"/>
        </w:numPr>
        <w:spacing w:after="200"/>
        <w:ind w:left="777" w:right="193"/>
      </w:pPr>
      <w:r>
        <w:t>confirming  that completion of</w:t>
      </w:r>
      <w:r>
        <w:rPr>
          <w:rFonts w:cs="Arial"/>
          <w:bCs/>
          <w:color w:val="000000"/>
          <w:szCs w:val="20"/>
        </w:rPr>
        <w:t xml:space="preserve"> five years (full time equivalent) of vocational education taught and assessed in English in Australia will be accepted for the purpose of meeting Pathways 2 and 3, </w:t>
      </w:r>
      <w:r>
        <w:t xml:space="preserve">and </w:t>
      </w:r>
    </w:p>
    <w:p w:rsidR="0099715B" w:rsidRDefault="0099715B" w:rsidP="0099715B">
      <w:pPr>
        <w:pStyle w:val="AHPRABulletlevel1"/>
        <w:numPr>
          <w:ilvl w:val="0"/>
          <w:numId w:val="10"/>
        </w:numPr>
        <w:spacing w:after="200"/>
        <w:ind w:left="777" w:right="193"/>
      </w:pPr>
      <w:proofErr w:type="gramStart"/>
      <w:r>
        <w:t>providing</w:t>
      </w:r>
      <w:proofErr w:type="gramEnd"/>
      <w:r>
        <w:t xml:space="preserve"> a definition of ‘full time equivalent’ education and ‘vocational education’ for the purpose of applying the ELS Standard and this policy.</w:t>
      </w:r>
    </w:p>
    <w:p w:rsidR="0099715B" w:rsidRPr="0099715B" w:rsidRDefault="0099715B" w:rsidP="0099715B">
      <w:pPr>
        <w:pStyle w:val="AHPRABulletlevel1"/>
        <w:numPr>
          <w:ilvl w:val="0"/>
          <w:numId w:val="17"/>
        </w:numPr>
        <w:spacing w:after="200"/>
        <w:ind w:left="444" w:right="193"/>
      </w:pPr>
      <w:r w:rsidRPr="0099715B">
        <w:t xml:space="preserve">provide clarity about demonstrating English language proficiency at least equivalent to the other pathways in the ELS standard, </w:t>
      </w:r>
    </w:p>
    <w:p w:rsidR="0099715B" w:rsidRPr="0099715B" w:rsidRDefault="0099715B" w:rsidP="0099715B">
      <w:pPr>
        <w:pStyle w:val="AHPRABulletlevel1"/>
        <w:numPr>
          <w:ilvl w:val="0"/>
          <w:numId w:val="17"/>
        </w:numPr>
        <w:spacing w:after="200"/>
        <w:ind w:left="444" w:right="193"/>
      </w:pPr>
      <w:proofErr w:type="gramStart"/>
      <w:r>
        <w:t>c</w:t>
      </w:r>
      <w:r w:rsidRPr="0099715B">
        <w:t>onfirm</w:t>
      </w:r>
      <w:proofErr w:type="gramEnd"/>
      <w:r w:rsidRPr="0099715B">
        <w:t xml:space="preserve"> that as the NMBA does not have limited registration pathways the exemptions with respect to limited registration do not currently apply.</w:t>
      </w:r>
      <w:r w:rsidRPr="0099715B" w:rsidDel="00977903">
        <w:t xml:space="preserve"> </w:t>
      </w:r>
    </w:p>
    <w:p w:rsidR="0099715B" w:rsidRPr="00A860AA" w:rsidRDefault="0099715B" w:rsidP="0099715B">
      <w:pPr>
        <w:pStyle w:val="AHPRASubhead"/>
        <w:numPr>
          <w:ilvl w:val="0"/>
          <w:numId w:val="19"/>
        </w:numPr>
        <w:ind w:right="192"/>
      </w:pPr>
      <w:r w:rsidRPr="00A860AA">
        <w:t>Extended education pathways (Pathways 2 and 3)</w:t>
      </w:r>
    </w:p>
    <w:p w:rsidR="0099715B" w:rsidRPr="00DE2A6D" w:rsidRDefault="0099715B" w:rsidP="00DE2A6D">
      <w:pPr>
        <w:pStyle w:val="AHPRASubhead"/>
        <w:numPr>
          <w:ilvl w:val="0"/>
          <w:numId w:val="20"/>
        </w:numPr>
        <w:ind w:right="192"/>
        <w:rPr>
          <w:rFonts w:cs="Arial"/>
          <w:color w:val="auto"/>
          <w:szCs w:val="20"/>
        </w:rPr>
      </w:pPr>
      <w:r w:rsidRPr="00DE2A6D">
        <w:rPr>
          <w:rFonts w:cs="Arial"/>
          <w:color w:val="auto"/>
          <w:szCs w:val="20"/>
        </w:rPr>
        <w:t>Period over which the five years of education may be undertaken</w:t>
      </w:r>
    </w:p>
    <w:p w:rsidR="0099715B" w:rsidRPr="00DE2A6D" w:rsidRDefault="0099715B" w:rsidP="00DE2A6D">
      <w:pPr>
        <w:pStyle w:val="AHPRASubhead"/>
        <w:ind w:left="432" w:right="192"/>
        <w:rPr>
          <w:rFonts w:cs="Arial"/>
          <w:b w:val="0"/>
          <w:color w:val="auto"/>
          <w:szCs w:val="20"/>
        </w:rPr>
      </w:pPr>
      <w:r w:rsidRPr="00DE2A6D">
        <w:rPr>
          <w:rFonts w:cs="Arial"/>
          <w:b w:val="0"/>
          <w:color w:val="auto"/>
          <w:szCs w:val="20"/>
        </w:rPr>
        <w:t>The five years (full time equivalent) of education taught and assessed in English for the purpose of pathways 2 and 3 do not need to be consecutive, however the five years of study must occur within a seven year period.</w:t>
      </w:r>
    </w:p>
    <w:p w:rsidR="0099715B" w:rsidRPr="0099715B" w:rsidRDefault="0099715B" w:rsidP="0099715B">
      <w:pPr>
        <w:pStyle w:val="AHPRASubhead"/>
        <w:numPr>
          <w:ilvl w:val="0"/>
          <w:numId w:val="19"/>
        </w:numPr>
        <w:ind w:right="192"/>
      </w:pPr>
      <w:r w:rsidRPr="0099715B">
        <w:t>Demonstrating English language proficiency at least equivalent to the other pathways in the standard</w:t>
      </w:r>
    </w:p>
    <w:p w:rsidR="0099715B" w:rsidRPr="00584AC3" w:rsidRDefault="0099715B" w:rsidP="0099715B">
      <w:pPr>
        <w:pStyle w:val="AHPRASubhead"/>
        <w:ind w:left="432" w:right="192"/>
        <w:rPr>
          <w:rFonts w:cs="Arial"/>
          <w:b w:val="0"/>
          <w:color w:val="auto"/>
          <w:szCs w:val="20"/>
        </w:rPr>
      </w:pPr>
      <w:r w:rsidRPr="00584AC3">
        <w:rPr>
          <w:rFonts w:cs="Arial"/>
          <w:b w:val="0"/>
          <w:color w:val="auto"/>
          <w:szCs w:val="20"/>
        </w:rPr>
        <w:t>One of the pathways to demonstrate your English language competency in the ELS standard</w:t>
      </w:r>
      <w:r w:rsidRPr="00584AC3">
        <w:rPr>
          <w:rFonts w:cs="Arial"/>
          <w:color w:val="auto"/>
          <w:szCs w:val="20"/>
        </w:rPr>
        <w:t xml:space="preserve"> </w:t>
      </w:r>
      <w:r w:rsidRPr="00584AC3">
        <w:rPr>
          <w:rFonts w:cs="Arial"/>
          <w:b w:val="0"/>
          <w:color w:val="auto"/>
          <w:szCs w:val="20"/>
        </w:rPr>
        <w:t>(Pathway 5)</w:t>
      </w:r>
      <w:r w:rsidRPr="00584AC3">
        <w:rPr>
          <w:rFonts w:cs="Arial"/>
          <w:color w:val="auto"/>
          <w:szCs w:val="20"/>
        </w:rPr>
        <w:t xml:space="preserve"> states</w:t>
      </w:r>
      <w:r w:rsidRPr="00584AC3">
        <w:rPr>
          <w:rFonts w:cs="Arial"/>
          <w:b w:val="0"/>
          <w:color w:val="auto"/>
          <w:szCs w:val="20"/>
        </w:rPr>
        <w:t>:</w:t>
      </w:r>
    </w:p>
    <w:p w:rsidR="0099715B" w:rsidRPr="003E66C2" w:rsidRDefault="0099715B" w:rsidP="0099715B">
      <w:pPr>
        <w:ind w:left="792" w:right="192"/>
        <w:rPr>
          <w:i/>
          <w:sz w:val="20"/>
          <w:szCs w:val="20"/>
        </w:rPr>
      </w:pPr>
      <w:r w:rsidRPr="003E66C2">
        <w:rPr>
          <w:i/>
          <w:sz w:val="20"/>
          <w:szCs w:val="20"/>
        </w:rPr>
        <w:lastRenderedPageBreak/>
        <w:t>In other defined circumstances/cases where there is compe</w:t>
      </w:r>
      <w:r>
        <w:rPr>
          <w:i/>
          <w:sz w:val="20"/>
          <w:szCs w:val="20"/>
        </w:rPr>
        <w:t>lli</w:t>
      </w:r>
      <w:r w:rsidRPr="003E66C2">
        <w:rPr>
          <w:i/>
          <w:sz w:val="20"/>
          <w:szCs w:val="20"/>
        </w:rPr>
        <w:t xml:space="preserve">ng evidence demonstrating English language proficiency at least equivalent to the other pathways in this standard set out in a policy published by the Board.  </w:t>
      </w:r>
      <w:r w:rsidRPr="003E66C2">
        <w:rPr>
          <w:sz w:val="20"/>
          <w:szCs w:val="20"/>
        </w:rPr>
        <w:t xml:space="preserve"> </w:t>
      </w:r>
    </w:p>
    <w:p w:rsidR="0099715B" w:rsidRPr="003E66C2" w:rsidRDefault="0099715B" w:rsidP="0099715B">
      <w:pPr>
        <w:pStyle w:val="Default"/>
        <w:spacing w:after="120"/>
        <w:ind w:left="432" w:right="192"/>
        <w:rPr>
          <w:rFonts w:eastAsiaTheme="majorEastAsia"/>
          <w:b/>
          <w:bCs/>
          <w:i/>
          <w:iCs/>
          <w:color w:val="auto"/>
          <w:sz w:val="20"/>
          <w:szCs w:val="20"/>
        </w:rPr>
      </w:pPr>
      <w:r>
        <w:rPr>
          <w:color w:val="auto"/>
          <w:sz w:val="20"/>
          <w:szCs w:val="20"/>
        </w:rPr>
        <w:t>T</w:t>
      </w:r>
      <w:r w:rsidRPr="003E66C2">
        <w:rPr>
          <w:color w:val="auto"/>
          <w:sz w:val="20"/>
          <w:szCs w:val="20"/>
        </w:rPr>
        <w:t>his policy confirm</w:t>
      </w:r>
      <w:r>
        <w:rPr>
          <w:color w:val="auto"/>
          <w:sz w:val="20"/>
          <w:szCs w:val="20"/>
        </w:rPr>
        <w:t>s</w:t>
      </w:r>
      <w:r w:rsidRPr="003E66C2">
        <w:rPr>
          <w:color w:val="auto"/>
          <w:sz w:val="20"/>
          <w:szCs w:val="20"/>
        </w:rPr>
        <w:t xml:space="preserve"> that:</w:t>
      </w:r>
    </w:p>
    <w:p w:rsidR="0099715B" w:rsidRPr="003E66C2" w:rsidRDefault="0099715B" w:rsidP="0099715B">
      <w:pPr>
        <w:pStyle w:val="AHPRABulletlevel1"/>
        <w:numPr>
          <w:ilvl w:val="0"/>
          <w:numId w:val="14"/>
        </w:numPr>
        <w:spacing w:after="240"/>
        <w:ind w:left="868" w:right="192"/>
        <w:rPr>
          <w:rFonts w:eastAsiaTheme="majorEastAsia"/>
          <w:b/>
          <w:bCs/>
          <w:i/>
          <w:iCs/>
        </w:rPr>
      </w:pPr>
      <w:r w:rsidRPr="003E66C2">
        <w:t>there are no defined circumstances/cases where there is compelling evidence demonstrating English language proficiency to meet the NMBA’s ELS registration standard</w:t>
      </w:r>
    </w:p>
    <w:p w:rsidR="0099715B" w:rsidRPr="003E66C2" w:rsidRDefault="0099715B" w:rsidP="0099715B">
      <w:pPr>
        <w:pStyle w:val="AHPRABulletlevel1"/>
        <w:numPr>
          <w:ilvl w:val="0"/>
          <w:numId w:val="14"/>
        </w:numPr>
        <w:spacing w:after="240"/>
        <w:ind w:left="868" w:right="192"/>
        <w:rPr>
          <w:rFonts w:eastAsiaTheme="majorEastAsia"/>
          <w:b/>
          <w:bCs/>
          <w:i/>
          <w:iCs/>
        </w:rPr>
      </w:pPr>
      <w:r w:rsidRPr="003E66C2">
        <w:t>if there were defined circumstances/cases where there is compelling evidence demonstrating English language proficiency to meet the NMBA’s ELS registration standard these would not apply to individual appl</w:t>
      </w:r>
      <w:r>
        <w:t>icants but to a group or cohort</w:t>
      </w:r>
    </w:p>
    <w:p w:rsidR="0099715B" w:rsidRPr="009F4833" w:rsidRDefault="0099715B" w:rsidP="0099715B">
      <w:pPr>
        <w:pStyle w:val="AHPRABulletlevel1"/>
        <w:numPr>
          <w:ilvl w:val="0"/>
          <w:numId w:val="14"/>
        </w:numPr>
        <w:ind w:left="868" w:right="192"/>
        <w:rPr>
          <w:rFonts w:eastAsiaTheme="majorEastAsia"/>
          <w:b/>
          <w:bCs/>
          <w:i/>
          <w:iCs/>
        </w:rPr>
      </w:pPr>
      <w:proofErr w:type="gramStart"/>
      <w:r w:rsidRPr="003E66C2">
        <w:t>the</w:t>
      </w:r>
      <w:proofErr w:type="gramEnd"/>
      <w:r w:rsidRPr="003E66C2">
        <w:t xml:space="preserve"> NMBA would define and approve the circumstances/cases where a group or cohort’s provision of compelling evidence demonstrates English language proficiency equivalent to the other pathways in the ELS registration standard, not its committees or boards.</w:t>
      </w:r>
    </w:p>
    <w:p w:rsidR="0099715B" w:rsidRDefault="0099715B" w:rsidP="0099715B">
      <w:pPr>
        <w:pStyle w:val="AHPRABulletlevel1"/>
        <w:numPr>
          <w:ilvl w:val="0"/>
          <w:numId w:val="0"/>
        </w:numPr>
        <w:ind w:left="369" w:right="192"/>
      </w:pPr>
    </w:p>
    <w:p w:rsidR="0099715B" w:rsidRPr="0099715B" w:rsidRDefault="0099715B" w:rsidP="0099715B">
      <w:pPr>
        <w:pStyle w:val="AHPRASubhead"/>
        <w:numPr>
          <w:ilvl w:val="0"/>
          <w:numId w:val="19"/>
        </w:numPr>
        <w:ind w:right="192"/>
      </w:pPr>
      <w:r w:rsidRPr="0099715B">
        <w:t>Exemptions with respect to limited registration</w:t>
      </w:r>
    </w:p>
    <w:p w:rsidR="0099715B" w:rsidRPr="0099715B" w:rsidRDefault="0099715B" w:rsidP="0099715B">
      <w:pPr>
        <w:pStyle w:val="AHPRASubhead"/>
        <w:ind w:left="432" w:right="192"/>
        <w:rPr>
          <w:rFonts w:cs="Arial"/>
          <w:b w:val="0"/>
          <w:color w:val="auto"/>
          <w:szCs w:val="20"/>
        </w:rPr>
      </w:pPr>
      <w:r w:rsidRPr="0099715B">
        <w:rPr>
          <w:rFonts w:cs="Arial"/>
          <w:b w:val="0"/>
          <w:color w:val="auto"/>
          <w:szCs w:val="20"/>
        </w:rPr>
        <w:t>The NMBA currently does not have pathways to limited registration and therefore the exemptions with respect to limited registration in the ELS registration standard do not apply at this time.</w:t>
      </w:r>
    </w:p>
    <w:p w:rsidR="0099715B" w:rsidRPr="00F14E1E" w:rsidRDefault="0099715B" w:rsidP="0099715B">
      <w:pPr>
        <w:pStyle w:val="AHPRASubhead"/>
        <w:ind w:right="192"/>
        <w:rPr>
          <w:szCs w:val="20"/>
        </w:rPr>
      </w:pPr>
      <w:r w:rsidRPr="00F14E1E">
        <w:rPr>
          <w:szCs w:val="20"/>
        </w:rPr>
        <w:t>Definitions</w:t>
      </w:r>
    </w:p>
    <w:p w:rsidR="0099715B" w:rsidRPr="00DE2A6D" w:rsidRDefault="0099715B" w:rsidP="00DE2A6D">
      <w:pPr>
        <w:pStyle w:val="AHPRASubhead"/>
        <w:numPr>
          <w:ilvl w:val="0"/>
          <w:numId w:val="20"/>
        </w:numPr>
        <w:ind w:right="192"/>
        <w:rPr>
          <w:rFonts w:cs="Arial"/>
          <w:color w:val="auto"/>
          <w:szCs w:val="20"/>
        </w:rPr>
      </w:pPr>
      <w:r w:rsidRPr="00DE2A6D">
        <w:rPr>
          <w:rFonts w:cs="Arial"/>
          <w:color w:val="auto"/>
          <w:szCs w:val="20"/>
        </w:rPr>
        <w:t>Definition of full time equivalent</w:t>
      </w:r>
    </w:p>
    <w:p w:rsidR="0099715B" w:rsidRPr="005F793C" w:rsidRDefault="0099715B" w:rsidP="008C6145">
      <w:pPr>
        <w:pStyle w:val="Default"/>
        <w:spacing w:after="200"/>
        <w:ind w:left="360" w:right="193"/>
        <w:rPr>
          <w:sz w:val="20"/>
          <w:szCs w:val="20"/>
        </w:rPr>
      </w:pPr>
      <w:r w:rsidRPr="005F793C">
        <w:rPr>
          <w:sz w:val="20"/>
          <w:szCs w:val="20"/>
        </w:rPr>
        <w:t xml:space="preserve">‘Full-time equivalent’ means: </w:t>
      </w:r>
    </w:p>
    <w:p w:rsidR="0099715B" w:rsidRPr="005F793C" w:rsidRDefault="0099715B" w:rsidP="008C6145">
      <w:pPr>
        <w:pStyle w:val="Default"/>
        <w:numPr>
          <w:ilvl w:val="0"/>
          <w:numId w:val="8"/>
        </w:numPr>
        <w:spacing w:after="200"/>
        <w:ind w:left="720" w:right="193"/>
        <w:rPr>
          <w:sz w:val="20"/>
          <w:szCs w:val="20"/>
        </w:rPr>
      </w:pPr>
      <w:proofErr w:type="gramStart"/>
      <w:r w:rsidRPr="005F793C">
        <w:rPr>
          <w:sz w:val="20"/>
          <w:szCs w:val="20"/>
        </w:rPr>
        <w:t>a</w:t>
      </w:r>
      <w:proofErr w:type="gramEnd"/>
      <w:r w:rsidRPr="005F793C">
        <w:rPr>
          <w:sz w:val="20"/>
          <w:szCs w:val="20"/>
        </w:rPr>
        <w:t xml:space="preserve"> course load that a student would need to take in order to complete a course in the minimum time (not including accelerated or fast-track courses). For example, a full-time load for a four year undergraduate degree would be the normal course load for a student who would expect to complete that degree in four years, or </w:t>
      </w:r>
    </w:p>
    <w:p w:rsidR="0099715B" w:rsidRPr="008C6145" w:rsidRDefault="0099715B" w:rsidP="008C6145">
      <w:pPr>
        <w:pStyle w:val="Default"/>
        <w:numPr>
          <w:ilvl w:val="0"/>
          <w:numId w:val="8"/>
        </w:numPr>
        <w:spacing w:after="200"/>
        <w:ind w:left="720" w:right="193"/>
        <w:rPr>
          <w:sz w:val="20"/>
          <w:szCs w:val="20"/>
        </w:rPr>
      </w:pPr>
      <w:proofErr w:type="gramStart"/>
      <w:r w:rsidRPr="005F793C">
        <w:rPr>
          <w:sz w:val="20"/>
          <w:szCs w:val="20"/>
        </w:rPr>
        <w:t>a</w:t>
      </w:r>
      <w:proofErr w:type="gramEnd"/>
      <w:r w:rsidRPr="005F793C">
        <w:rPr>
          <w:sz w:val="20"/>
          <w:szCs w:val="20"/>
        </w:rPr>
        <w:t xml:space="preserve"> combination of part-time courses, which together make up a full-time course load. For example, two part-time courses each consisting of a 50% course load. </w:t>
      </w:r>
    </w:p>
    <w:p w:rsidR="0099715B" w:rsidRPr="00EE74A4" w:rsidRDefault="0099715B" w:rsidP="00DE2A6D">
      <w:pPr>
        <w:widowControl w:val="0"/>
        <w:autoSpaceDE w:val="0"/>
        <w:autoSpaceDN w:val="0"/>
        <w:adjustRightInd w:val="0"/>
        <w:spacing w:after="0"/>
        <w:ind w:left="360" w:right="192"/>
        <w:jc w:val="both"/>
        <w:rPr>
          <w:rFonts w:cs="Arial"/>
          <w:bCs/>
          <w:sz w:val="20"/>
          <w:szCs w:val="20"/>
        </w:rPr>
      </w:pPr>
      <w:r>
        <w:rPr>
          <w:rFonts w:cs="Arial"/>
          <w:sz w:val="20"/>
          <w:szCs w:val="20"/>
          <w:lang w:val="en-US" w:eastAsia="en-AU"/>
        </w:rPr>
        <w:t xml:space="preserve">Key considerations: </w:t>
      </w:r>
    </w:p>
    <w:p w:rsidR="0099715B" w:rsidRDefault="0099715B" w:rsidP="0099715B">
      <w:pPr>
        <w:pStyle w:val="ListParagraph"/>
        <w:widowControl w:val="0"/>
        <w:autoSpaceDE w:val="0"/>
        <w:autoSpaceDN w:val="0"/>
        <w:adjustRightInd w:val="0"/>
        <w:spacing w:after="0"/>
        <w:ind w:right="192"/>
        <w:jc w:val="both"/>
        <w:rPr>
          <w:rFonts w:ascii="Arial" w:hAnsi="Arial" w:cs="Arial"/>
          <w:sz w:val="20"/>
          <w:szCs w:val="20"/>
          <w:lang w:val="en-US" w:eastAsia="en-AU"/>
        </w:rPr>
      </w:pPr>
    </w:p>
    <w:p w:rsidR="0099715B" w:rsidRDefault="0099715B" w:rsidP="00DE2A6D">
      <w:pPr>
        <w:pStyle w:val="AHPRABulletlevel1"/>
        <w:ind w:left="720" w:right="192"/>
        <w:rPr>
          <w:lang w:val="en-US" w:eastAsia="en-AU"/>
        </w:rPr>
      </w:pPr>
      <w:r>
        <w:rPr>
          <w:lang w:val="en-US" w:eastAsia="en-AU"/>
        </w:rPr>
        <w:t xml:space="preserve">To determine whether the </w:t>
      </w:r>
      <w:r w:rsidRPr="00C92FFB">
        <w:rPr>
          <w:lang w:val="en-US" w:eastAsia="en-AU"/>
        </w:rPr>
        <w:t xml:space="preserve">amount </w:t>
      </w:r>
      <w:r>
        <w:rPr>
          <w:lang w:val="en-US" w:eastAsia="en-AU"/>
        </w:rPr>
        <w:t xml:space="preserve">of study undertaken is full time or a percentage of full time equivalent, the advice of the </w:t>
      </w:r>
      <w:r w:rsidRPr="00C92FFB">
        <w:rPr>
          <w:lang w:val="en-US" w:eastAsia="en-AU"/>
        </w:rPr>
        <w:t>Education provider</w:t>
      </w:r>
      <w:r>
        <w:rPr>
          <w:lang w:val="en-US" w:eastAsia="en-AU"/>
        </w:rPr>
        <w:t xml:space="preserve"> should be initially relied upon.  I</w:t>
      </w:r>
      <w:r w:rsidRPr="00C92FFB">
        <w:rPr>
          <w:lang w:val="en-US" w:eastAsia="en-AU"/>
        </w:rPr>
        <w:t xml:space="preserve">f this </w:t>
      </w:r>
      <w:r>
        <w:rPr>
          <w:lang w:val="en-US" w:eastAsia="en-AU"/>
        </w:rPr>
        <w:t xml:space="preserve">advice </w:t>
      </w:r>
      <w:r w:rsidRPr="00C92FFB">
        <w:rPr>
          <w:lang w:val="en-US" w:eastAsia="en-AU"/>
        </w:rPr>
        <w:t xml:space="preserve">is not </w:t>
      </w:r>
      <w:r>
        <w:rPr>
          <w:lang w:val="en-US" w:eastAsia="en-AU"/>
        </w:rPr>
        <w:t>available</w:t>
      </w:r>
      <w:r w:rsidRPr="00C92FFB">
        <w:rPr>
          <w:lang w:val="en-US" w:eastAsia="en-AU"/>
        </w:rPr>
        <w:t xml:space="preserve"> then, as set by the Australian Qualifications Framework Council (</w:t>
      </w:r>
      <w:hyperlink r:id="rId8" w:history="1">
        <w:r w:rsidRPr="00C92FFB">
          <w:rPr>
            <w:rStyle w:val="Hyperlink"/>
            <w:rFonts w:cs="Arial"/>
            <w:szCs w:val="20"/>
            <w:lang w:val="en-US" w:eastAsia="en-AU"/>
          </w:rPr>
          <w:t>http://www.aqf.edu.au/wp-content/uploads/2013/06/Volume-of-learning-explanation-v2-2014.pdf</w:t>
        </w:r>
      </w:hyperlink>
      <w:r w:rsidRPr="00C92FFB">
        <w:rPr>
          <w:lang w:val="en-US" w:eastAsia="en-AU"/>
        </w:rPr>
        <w:t xml:space="preserve">) </w:t>
      </w:r>
      <w:r>
        <w:rPr>
          <w:lang w:val="en-US" w:eastAsia="en-AU"/>
        </w:rPr>
        <w:t xml:space="preserve">that states: </w:t>
      </w:r>
      <w:r w:rsidRPr="00C92FFB">
        <w:rPr>
          <w:i/>
          <w:lang w:val="en-US" w:eastAsia="en-AU"/>
        </w:rPr>
        <w:t>the accepted length of a full time year, used for educational participation, is 1200 hours</w:t>
      </w:r>
      <w:r w:rsidRPr="00C92FFB">
        <w:rPr>
          <w:lang w:val="en-US" w:eastAsia="en-AU"/>
        </w:rPr>
        <w:t xml:space="preserve"> </w:t>
      </w:r>
    </w:p>
    <w:p w:rsidR="0099715B" w:rsidRDefault="0099715B" w:rsidP="00DE2A6D">
      <w:pPr>
        <w:pStyle w:val="AHPRABulletlevel1"/>
        <w:numPr>
          <w:ilvl w:val="0"/>
          <w:numId w:val="0"/>
        </w:numPr>
        <w:ind w:right="192"/>
        <w:rPr>
          <w:lang w:val="en-US" w:eastAsia="en-AU"/>
        </w:rPr>
      </w:pPr>
    </w:p>
    <w:p w:rsidR="0099715B" w:rsidRPr="006E7A41" w:rsidRDefault="0099715B" w:rsidP="00DE2A6D">
      <w:pPr>
        <w:pStyle w:val="AHPRABulletlevel1"/>
        <w:ind w:left="720" w:right="192"/>
        <w:rPr>
          <w:lang w:val="en-US" w:eastAsia="en-AU"/>
        </w:rPr>
      </w:pPr>
      <w:r>
        <w:rPr>
          <w:lang w:val="en-US" w:eastAsia="en-AU"/>
        </w:rPr>
        <w:t xml:space="preserve">The study can be completed either </w:t>
      </w:r>
      <w:r w:rsidRPr="00EE74A4">
        <w:rPr>
          <w:lang w:val="en-US" w:eastAsia="en-AU"/>
        </w:rPr>
        <w:t>part-time or a full-time student; however</w:t>
      </w:r>
      <w:r>
        <w:rPr>
          <w:lang w:val="en-US" w:eastAsia="en-AU"/>
        </w:rPr>
        <w:t>,</w:t>
      </w:r>
      <w:r w:rsidRPr="00EE74A4">
        <w:rPr>
          <w:lang w:val="en-US" w:eastAsia="en-AU"/>
        </w:rPr>
        <w:t xml:space="preserve"> the evidence of combined studies completed must be equal to what a </w:t>
      </w:r>
      <w:r>
        <w:rPr>
          <w:lang w:val="en-US" w:eastAsia="en-AU"/>
        </w:rPr>
        <w:t xml:space="preserve">full </w:t>
      </w:r>
      <w:r w:rsidRPr="00EE74A4">
        <w:rPr>
          <w:lang w:val="en-US" w:eastAsia="en-AU"/>
        </w:rPr>
        <w:t xml:space="preserve">time </w:t>
      </w:r>
      <w:r>
        <w:rPr>
          <w:lang w:val="en-US" w:eastAsia="en-AU"/>
        </w:rPr>
        <w:t>student would complete</w:t>
      </w:r>
      <w:r w:rsidRPr="00EE74A4">
        <w:rPr>
          <w:lang w:val="en-US" w:eastAsia="en-AU"/>
        </w:rPr>
        <w:t xml:space="preserve"> in a five-year period, </w:t>
      </w:r>
      <w:proofErr w:type="spellStart"/>
      <w:r w:rsidRPr="00EE74A4">
        <w:rPr>
          <w:lang w:val="en-US" w:eastAsia="en-AU"/>
        </w:rPr>
        <w:t>recognising</w:t>
      </w:r>
      <w:proofErr w:type="spellEnd"/>
      <w:r w:rsidRPr="00EE74A4">
        <w:rPr>
          <w:lang w:val="en-US" w:eastAsia="en-AU"/>
        </w:rPr>
        <w:t xml:space="preserve"> that the five years do not need to be consecutive</w:t>
      </w:r>
      <w:r>
        <w:rPr>
          <w:lang w:val="en-US" w:eastAsia="en-AU"/>
        </w:rPr>
        <w:t xml:space="preserve"> </w:t>
      </w:r>
      <w:r w:rsidRPr="007B7B7E">
        <w:rPr>
          <w:lang w:val="en-US" w:eastAsia="en-AU"/>
        </w:rPr>
        <w:t>but the five year</w:t>
      </w:r>
      <w:r>
        <w:rPr>
          <w:lang w:val="en-US" w:eastAsia="en-AU"/>
        </w:rPr>
        <w:t>s of</w:t>
      </w:r>
      <w:r w:rsidRPr="007B7B7E">
        <w:rPr>
          <w:lang w:val="en-US" w:eastAsia="en-AU"/>
        </w:rPr>
        <w:t xml:space="preserve"> study must oc</w:t>
      </w:r>
      <w:r>
        <w:rPr>
          <w:lang w:val="en-US" w:eastAsia="en-AU"/>
        </w:rPr>
        <w:t>cur within a seven year period</w:t>
      </w:r>
    </w:p>
    <w:p w:rsidR="0099715B" w:rsidRPr="00EE74A4" w:rsidRDefault="0099715B" w:rsidP="00DE2A6D">
      <w:pPr>
        <w:pStyle w:val="AHPRABulletlevel1"/>
        <w:numPr>
          <w:ilvl w:val="0"/>
          <w:numId w:val="0"/>
        </w:numPr>
        <w:ind w:right="192"/>
        <w:rPr>
          <w:lang w:val="en-US" w:eastAsia="en-AU"/>
        </w:rPr>
      </w:pPr>
    </w:p>
    <w:p w:rsidR="0099715B" w:rsidRDefault="0099715B" w:rsidP="00DE2A6D">
      <w:pPr>
        <w:pStyle w:val="AHPRABulletlevel1"/>
        <w:ind w:left="720" w:right="192"/>
        <w:rPr>
          <w:lang w:val="en-US" w:eastAsia="en-AU"/>
        </w:rPr>
      </w:pPr>
      <w:r>
        <w:rPr>
          <w:bCs/>
          <w:color w:val="000000"/>
        </w:rPr>
        <w:t xml:space="preserve">Concurrent education may be taken into account but must not be counted for more than one full time equivalent load.  For example an applicant that has studied two programs over a year concurrently, one at half </w:t>
      </w:r>
      <w:r>
        <w:rPr>
          <w:lang w:val="en-US" w:eastAsia="en-AU"/>
        </w:rPr>
        <w:t xml:space="preserve">full time equivalent and the other at three quarters full time equivalent, this would equal one full time equivalent for one year </w:t>
      </w:r>
    </w:p>
    <w:p w:rsidR="0099715B" w:rsidRDefault="0099715B" w:rsidP="00DE2A6D">
      <w:pPr>
        <w:pStyle w:val="AHPRABulletlevel1"/>
        <w:numPr>
          <w:ilvl w:val="0"/>
          <w:numId w:val="0"/>
        </w:numPr>
        <w:ind w:right="192"/>
        <w:rPr>
          <w:lang w:val="en-US" w:eastAsia="en-AU"/>
        </w:rPr>
      </w:pPr>
    </w:p>
    <w:p w:rsidR="0099715B" w:rsidRPr="0022267E" w:rsidRDefault="0099715B" w:rsidP="00DE2A6D">
      <w:pPr>
        <w:pStyle w:val="AHPRABulletlevel1"/>
        <w:spacing w:after="200"/>
        <w:ind w:left="714" w:right="193" w:hanging="357"/>
        <w:rPr>
          <w:lang w:val="en-US" w:eastAsia="en-AU"/>
        </w:rPr>
      </w:pPr>
      <w:r w:rsidRPr="0022267E">
        <w:rPr>
          <w:lang w:eastAsia="en-AU"/>
        </w:rPr>
        <w:t>The tertiary education provided was undertaken primarily face to face and requires students to use English language speaking, writing, reading and listening skills</w:t>
      </w:r>
    </w:p>
    <w:p w:rsidR="00DE2A6D" w:rsidRPr="00DE2A6D" w:rsidRDefault="0099715B" w:rsidP="00DE2A6D">
      <w:pPr>
        <w:pStyle w:val="AHPRABulletlevel1"/>
        <w:spacing w:after="200"/>
        <w:ind w:left="714" w:right="193" w:hanging="357"/>
        <w:rPr>
          <w:lang w:eastAsia="en-AU"/>
        </w:rPr>
      </w:pPr>
      <w:r w:rsidRPr="00DE2A6D">
        <w:rPr>
          <w:lang w:eastAsia="en-AU"/>
        </w:rPr>
        <w:t>Failed subjects and ‘recognised prior learning’ (RPL) are not counted towards a full time course load</w:t>
      </w:r>
    </w:p>
    <w:p w:rsidR="0099715B" w:rsidRPr="00DE2A6D" w:rsidRDefault="0099715B" w:rsidP="00DE2A6D">
      <w:pPr>
        <w:pStyle w:val="AHPRABulletlevel1"/>
        <w:spacing w:after="200"/>
        <w:ind w:left="714" w:right="193" w:hanging="357"/>
        <w:rPr>
          <w:lang w:eastAsia="en-AU"/>
        </w:rPr>
      </w:pPr>
      <w:r w:rsidRPr="00DE2A6D">
        <w:rPr>
          <w:lang w:eastAsia="en-AU"/>
        </w:rPr>
        <w:lastRenderedPageBreak/>
        <w:t>If less than 75% of the full time course load has been completed, this is not considered to be full time education and no education from this period of education can be counted towards the extended education pathways</w:t>
      </w:r>
    </w:p>
    <w:p w:rsidR="0099715B" w:rsidRPr="00F240C7" w:rsidRDefault="0099715B" w:rsidP="00DE2A6D">
      <w:pPr>
        <w:pStyle w:val="AHPRABulletlevel1"/>
        <w:rPr>
          <w:lang w:val="en-US" w:eastAsia="en-AU"/>
        </w:rPr>
      </w:pPr>
      <w:r>
        <w:rPr>
          <w:lang w:val="en-US" w:eastAsia="en-AU"/>
        </w:rPr>
        <w:t>The last period of study that is being relied on must have been completed within the preceding 5 years.</w:t>
      </w:r>
    </w:p>
    <w:p w:rsidR="0099715B" w:rsidRPr="00EE74A4" w:rsidRDefault="0099715B" w:rsidP="0099715B">
      <w:pPr>
        <w:pStyle w:val="ListParagraph"/>
        <w:widowControl w:val="0"/>
        <w:autoSpaceDE w:val="0"/>
        <w:autoSpaceDN w:val="0"/>
        <w:adjustRightInd w:val="0"/>
        <w:spacing w:after="0"/>
        <w:ind w:right="192"/>
        <w:jc w:val="both"/>
        <w:rPr>
          <w:rFonts w:ascii="Arial" w:hAnsi="Arial" w:cs="Arial"/>
          <w:sz w:val="20"/>
          <w:szCs w:val="20"/>
          <w:lang w:val="en-US" w:eastAsia="en-AU"/>
        </w:rPr>
      </w:pPr>
    </w:p>
    <w:p w:rsidR="0099715B" w:rsidRPr="00DE2A6D" w:rsidRDefault="0099715B" w:rsidP="00DE2A6D">
      <w:pPr>
        <w:pStyle w:val="AHPRASubhead"/>
        <w:numPr>
          <w:ilvl w:val="0"/>
          <w:numId w:val="20"/>
        </w:numPr>
        <w:ind w:right="192"/>
        <w:rPr>
          <w:rFonts w:cs="Arial"/>
          <w:color w:val="auto"/>
          <w:szCs w:val="20"/>
        </w:rPr>
      </w:pPr>
      <w:r w:rsidRPr="00DE2A6D">
        <w:rPr>
          <w:rFonts w:cs="Arial"/>
          <w:color w:val="auto"/>
          <w:szCs w:val="20"/>
        </w:rPr>
        <w:t>Definition of vocational education</w:t>
      </w:r>
    </w:p>
    <w:p w:rsidR="0099715B" w:rsidRPr="00D3364C" w:rsidRDefault="0099715B" w:rsidP="00DE2A6D">
      <w:pPr>
        <w:pStyle w:val="Default"/>
        <w:spacing w:after="120"/>
        <w:ind w:left="432" w:right="192"/>
        <w:rPr>
          <w:sz w:val="20"/>
          <w:szCs w:val="20"/>
        </w:rPr>
      </w:pPr>
      <w:r w:rsidRPr="009F6CBB">
        <w:rPr>
          <w:b/>
          <w:sz w:val="20"/>
          <w:szCs w:val="20"/>
        </w:rPr>
        <w:t>Vocational education</w:t>
      </w:r>
      <w:r>
        <w:rPr>
          <w:b/>
        </w:rPr>
        <w:t xml:space="preserve"> </w:t>
      </w:r>
      <w:r w:rsidRPr="00463420">
        <w:rPr>
          <w:bCs/>
          <w:sz w:val="20"/>
          <w:szCs w:val="20"/>
        </w:rPr>
        <w:t>in the conte</w:t>
      </w:r>
      <w:r>
        <w:rPr>
          <w:bCs/>
          <w:sz w:val="20"/>
          <w:szCs w:val="20"/>
        </w:rPr>
        <w:t xml:space="preserve">xt of the ELS Standard and this policy </w:t>
      </w:r>
      <w:r w:rsidRPr="00D3364C">
        <w:rPr>
          <w:sz w:val="20"/>
          <w:szCs w:val="20"/>
        </w:rPr>
        <w:t>means education taught and assessed in English in Australia where:</w:t>
      </w:r>
    </w:p>
    <w:p w:rsidR="0099715B" w:rsidRPr="00D3364C" w:rsidRDefault="0099715B" w:rsidP="00DE2A6D">
      <w:pPr>
        <w:pStyle w:val="Default"/>
        <w:numPr>
          <w:ilvl w:val="0"/>
          <w:numId w:val="9"/>
        </w:numPr>
        <w:adjustRightInd/>
        <w:spacing w:after="120"/>
        <w:ind w:left="792" w:right="192"/>
        <w:rPr>
          <w:sz w:val="20"/>
          <w:szCs w:val="20"/>
        </w:rPr>
      </w:pPr>
      <w:r w:rsidRPr="00D3364C">
        <w:rPr>
          <w:sz w:val="20"/>
          <w:szCs w:val="20"/>
        </w:rPr>
        <w:t>the level of the vocational education was at the Australian Qualifications Framework Level 3 or Certificate III or higher (</w:t>
      </w:r>
      <w:hyperlink r:id="rId9" w:history="1">
        <w:r w:rsidRPr="00D3364C">
          <w:rPr>
            <w:rStyle w:val="Hyperlink"/>
            <w:sz w:val="20"/>
            <w:szCs w:val="20"/>
          </w:rPr>
          <w:t>http://www.aqf.edu.au/aqf/in-detail/aqf-levels/</w:t>
        </w:r>
      </w:hyperlink>
      <w:r w:rsidRPr="00D3364C">
        <w:rPr>
          <w:sz w:val="20"/>
          <w:szCs w:val="20"/>
        </w:rPr>
        <w:t xml:space="preserve">) </w:t>
      </w:r>
    </w:p>
    <w:p w:rsidR="0099715B" w:rsidRPr="00D3364C" w:rsidRDefault="0099715B" w:rsidP="00DE2A6D">
      <w:pPr>
        <w:pStyle w:val="Default"/>
        <w:numPr>
          <w:ilvl w:val="0"/>
          <w:numId w:val="9"/>
        </w:numPr>
        <w:adjustRightInd/>
        <w:spacing w:after="120"/>
        <w:ind w:left="792" w:right="192"/>
        <w:rPr>
          <w:color w:val="auto"/>
          <w:sz w:val="20"/>
          <w:szCs w:val="20"/>
        </w:rPr>
      </w:pPr>
      <w:r w:rsidRPr="00D3364C">
        <w:rPr>
          <w:sz w:val="20"/>
          <w:szCs w:val="20"/>
        </w:rPr>
        <w:t>the vocational education provided was undertaken primarily face to face</w:t>
      </w:r>
      <w:r w:rsidRPr="00D3364C">
        <w:rPr>
          <w:color w:val="1F497D"/>
          <w:sz w:val="20"/>
          <w:szCs w:val="20"/>
        </w:rPr>
        <w:t xml:space="preserve"> </w:t>
      </w:r>
      <w:r w:rsidRPr="00D3364C">
        <w:rPr>
          <w:color w:val="auto"/>
          <w:sz w:val="20"/>
          <w:szCs w:val="20"/>
        </w:rPr>
        <w:t xml:space="preserve">and requires students to use English language speaking, writing, reading and listening skills, and </w:t>
      </w:r>
    </w:p>
    <w:p w:rsidR="0099715B" w:rsidRPr="0022267E" w:rsidRDefault="0099715B" w:rsidP="00DE2A6D">
      <w:pPr>
        <w:pStyle w:val="Default"/>
        <w:numPr>
          <w:ilvl w:val="0"/>
          <w:numId w:val="9"/>
        </w:numPr>
        <w:adjustRightInd/>
        <w:ind w:left="792" w:right="192"/>
        <w:rPr>
          <w:color w:val="auto"/>
          <w:sz w:val="20"/>
          <w:szCs w:val="20"/>
        </w:rPr>
      </w:pPr>
      <w:proofErr w:type="gramStart"/>
      <w:r w:rsidRPr="00D3364C">
        <w:rPr>
          <w:color w:val="auto"/>
          <w:sz w:val="20"/>
          <w:szCs w:val="20"/>
        </w:rPr>
        <w:t>no</w:t>
      </w:r>
      <w:proofErr w:type="gramEnd"/>
      <w:r w:rsidRPr="00D3364C">
        <w:rPr>
          <w:color w:val="auto"/>
          <w:sz w:val="20"/>
          <w:szCs w:val="20"/>
        </w:rPr>
        <w:t xml:space="preserve"> more than two</w:t>
      </w:r>
      <w:r w:rsidRPr="00D3364C">
        <w:rPr>
          <w:sz w:val="20"/>
          <w:szCs w:val="20"/>
        </w:rPr>
        <w:t xml:space="preserve"> years (full time equivalent) of the vocational education was </w:t>
      </w:r>
      <w:r w:rsidRPr="00D3364C">
        <w:rPr>
          <w:color w:val="1F497D"/>
          <w:sz w:val="20"/>
          <w:szCs w:val="20"/>
        </w:rPr>
        <w:t>un</w:t>
      </w:r>
      <w:r w:rsidRPr="00D3364C">
        <w:rPr>
          <w:sz w:val="20"/>
          <w:szCs w:val="20"/>
        </w:rPr>
        <w:t>related to health ca</w:t>
      </w:r>
      <w:r>
        <w:rPr>
          <w:sz w:val="20"/>
          <w:szCs w:val="20"/>
        </w:rPr>
        <w:t xml:space="preserve">re or health service provision </w:t>
      </w:r>
      <w:r w:rsidRPr="0022267E">
        <w:rPr>
          <w:color w:val="auto"/>
          <w:sz w:val="20"/>
          <w:szCs w:val="20"/>
        </w:rPr>
        <w:t>and must also have been taken face to face.</w:t>
      </w:r>
    </w:p>
    <w:p w:rsidR="0099715B" w:rsidRPr="00F14E1E" w:rsidRDefault="0099715B" w:rsidP="00DE2A6D">
      <w:pPr>
        <w:pStyle w:val="Default"/>
        <w:adjustRightInd/>
        <w:ind w:left="432" w:right="192"/>
        <w:rPr>
          <w:sz w:val="20"/>
          <w:szCs w:val="20"/>
        </w:rPr>
      </w:pPr>
    </w:p>
    <w:p w:rsidR="0099715B" w:rsidRPr="0022267E" w:rsidRDefault="0099715B" w:rsidP="00DE2A6D">
      <w:pPr>
        <w:pStyle w:val="Default"/>
        <w:numPr>
          <w:ilvl w:val="0"/>
          <w:numId w:val="9"/>
        </w:numPr>
        <w:adjustRightInd/>
        <w:ind w:left="792" w:right="192"/>
        <w:rPr>
          <w:color w:val="auto"/>
          <w:sz w:val="20"/>
          <w:szCs w:val="20"/>
        </w:rPr>
      </w:pPr>
      <w:r>
        <w:rPr>
          <w:bCs/>
          <w:color w:val="auto"/>
          <w:sz w:val="20"/>
          <w:szCs w:val="20"/>
        </w:rPr>
        <w:t>f</w:t>
      </w:r>
      <w:r w:rsidRPr="0022267E">
        <w:rPr>
          <w:bCs/>
          <w:color w:val="auto"/>
          <w:sz w:val="20"/>
          <w:szCs w:val="20"/>
        </w:rPr>
        <w:t>or vocational courses that are taken over 26 weeks or less, the course must be completed for the education to be counted</w:t>
      </w:r>
    </w:p>
    <w:p w:rsidR="0099715B" w:rsidRPr="00D3364C" w:rsidRDefault="0099715B" w:rsidP="00DE2A6D">
      <w:pPr>
        <w:pStyle w:val="Default"/>
        <w:ind w:left="792" w:right="192"/>
        <w:rPr>
          <w:sz w:val="20"/>
          <w:szCs w:val="20"/>
        </w:rPr>
      </w:pPr>
    </w:p>
    <w:p w:rsidR="0099715B" w:rsidRPr="00DE2A6D" w:rsidRDefault="0099715B" w:rsidP="00DE2A6D">
      <w:pPr>
        <w:pStyle w:val="AHPRAbody"/>
        <w:ind w:left="432" w:right="192"/>
        <w:jc w:val="both"/>
        <w:rPr>
          <w:bCs/>
          <w:szCs w:val="20"/>
        </w:rPr>
      </w:pPr>
      <w:r>
        <w:rPr>
          <w:bCs/>
          <w:szCs w:val="20"/>
        </w:rPr>
        <w:t>As with the other types of education accepted under pathways 2 and 3 (secondary and tertiary), the vocational education must meet the requirements of the definition of full time equivalent education set out in this policy.</w:t>
      </w:r>
    </w:p>
    <w:p w:rsidR="0099715B" w:rsidRPr="007C7115" w:rsidRDefault="0099715B" w:rsidP="0099715B">
      <w:pPr>
        <w:pStyle w:val="AHPRASubhead"/>
        <w:ind w:right="192"/>
        <w:rPr>
          <w:szCs w:val="20"/>
        </w:rPr>
      </w:pPr>
      <w:r w:rsidRPr="007C7115">
        <w:rPr>
          <w:szCs w:val="20"/>
        </w:rPr>
        <w:t xml:space="preserve">Review </w:t>
      </w:r>
    </w:p>
    <w:p w:rsidR="0099715B" w:rsidRPr="00F240C7" w:rsidRDefault="0099715B" w:rsidP="0099715B">
      <w:pPr>
        <w:autoSpaceDE w:val="0"/>
        <w:autoSpaceDN w:val="0"/>
        <w:adjustRightInd w:val="0"/>
        <w:spacing w:before="120"/>
        <w:ind w:right="192"/>
        <w:jc w:val="both"/>
        <w:rPr>
          <w:rFonts w:cs="Arial"/>
          <w:sz w:val="20"/>
          <w:szCs w:val="20"/>
        </w:rPr>
      </w:pPr>
      <w:r w:rsidRPr="007C7115">
        <w:rPr>
          <w:rFonts w:cs="Arial"/>
          <w:sz w:val="20"/>
          <w:szCs w:val="20"/>
        </w:rPr>
        <w:t xml:space="preserve">The Board will review this </w:t>
      </w:r>
      <w:r>
        <w:rPr>
          <w:rFonts w:cs="Arial"/>
          <w:sz w:val="20"/>
          <w:szCs w:val="20"/>
        </w:rPr>
        <w:t xml:space="preserve">Policy at least </w:t>
      </w:r>
      <w:r w:rsidRPr="007C7115">
        <w:rPr>
          <w:rFonts w:cs="Arial"/>
          <w:sz w:val="20"/>
          <w:szCs w:val="20"/>
        </w:rPr>
        <w:t>e</w:t>
      </w:r>
      <w:r>
        <w:rPr>
          <w:rFonts w:cs="Arial"/>
          <w:sz w:val="20"/>
          <w:szCs w:val="20"/>
        </w:rPr>
        <w:t>ve</w:t>
      </w:r>
      <w:r w:rsidRPr="007C7115">
        <w:rPr>
          <w:rFonts w:cs="Arial"/>
          <w:sz w:val="20"/>
          <w:szCs w:val="20"/>
        </w:rPr>
        <w:t>ry</w:t>
      </w:r>
      <w:r>
        <w:rPr>
          <w:rFonts w:cs="Arial"/>
          <w:sz w:val="20"/>
          <w:szCs w:val="20"/>
        </w:rPr>
        <w:t xml:space="preserve"> five</w:t>
      </w:r>
      <w:r w:rsidRPr="007C7115">
        <w:rPr>
          <w:rFonts w:cs="Arial"/>
          <w:sz w:val="20"/>
          <w:szCs w:val="20"/>
        </w:rPr>
        <w:t xml:space="preserve"> years</w:t>
      </w:r>
      <w:r>
        <w:rPr>
          <w:rFonts w:cs="Arial"/>
          <w:sz w:val="20"/>
          <w:szCs w:val="20"/>
        </w:rPr>
        <w:t xml:space="preserve">, or as necessary. </w:t>
      </w:r>
    </w:p>
    <w:p w:rsidR="00B304EC" w:rsidRPr="003855BC" w:rsidRDefault="00B304EC" w:rsidP="0099715B">
      <w:pPr>
        <w:pStyle w:val="AHPRAbody"/>
        <w:ind w:right="192"/>
      </w:pPr>
    </w:p>
    <w:sectPr w:rsidR="00B304EC" w:rsidRPr="003855BC" w:rsidSect="001D493C">
      <w:headerReference w:type="even" r:id="rId10"/>
      <w:headerReference w:type="default" r:id="rId11"/>
      <w:footerReference w:type="even" r:id="rId12"/>
      <w:footerReference w:type="default" r:id="rId13"/>
      <w:headerReference w:type="first" r:id="rId14"/>
      <w:footerReference w:type="first" r:id="rId15"/>
      <w:pgSz w:w="11900" w:h="16840"/>
      <w:pgMar w:top="1276" w:right="1247" w:bottom="1134" w:left="1247" w:header="283"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5B" w:rsidRDefault="0099715B" w:rsidP="00FC2881">
      <w:pPr>
        <w:spacing w:after="0"/>
      </w:pPr>
      <w:r>
        <w:separator/>
      </w:r>
    </w:p>
    <w:p w:rsidR="0099715B" w:rsidRDefault="0099715B"/>
  </w:endnote>
  <w:endnote w:type="continuationSeparator" w:id="0">
    <w:p w:rsidR="0099715B" w:rsidRDefault="0099715B" w:rsidP="00FC2881">
      <w:pPr>
        <w:spacing w:after="0"/>
      </w:pPr>
      <w:r>
        <w:continuationSeparator/>
      </w:r>
    </w:p>
    <w:p w:rsidR="0099715B" w:rsidRDefault="0099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B" w:rsidRDefault="0099715B" w:rsidP="00FC2881">
    <w:pPr>
      <w:pStyle w:val="Footer"/>
      <w:framePr w:wrap="around" w:vAnchor="text" w:hAnchor="margin" w:xAlign="right" w:y="1"/>
    </w:pPr>
    <w:r>
      <w:fldChar w:fldCharType="begin"/>
    </w:r>
    <w:r>
      <w:instrText xml:space="preserve">PAGE  </w:instrText>
    </w:r>
    <w:r>
      <w:fldChar w:fldCharType="end"/>
    </w:r>
  </w:p>
  <w:p w:rsidR="0099715B" w:rsidRDefault="0099715B" w:rsidP="00FC2881">
    <w:pPr>
      <w:pStyle w:val="Footer"/>
      <w:ind w:right="360"/>
    </w:pPr>
  </w:p>
  <w:p w:rsidR="0099715B" w:rsidRDefault="00997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8"/>
        <w:szCs w:val="18"/>
      </w:rPr>
      <w:id w:val="3075703"/>
      <w:docPartObj>
        <w:docPartGallery w:val="Page Numbers (Bottom of Page)"/>
        <w:docPartUnique/>
      </w:docPartObj>
    </w:sdtPr>
    <w:sdtEndPr/>
    <w:sdtContent>
      <w:sdt>
        <w:sdtPr>
          <w:rPr>
            <w:color w:val="7F7F7F" w:themeColor="text1" w:themeTint="80"/>
            <w:sz w:val="18"/>
            <w:szCs w:val="18"/>
          </w:rPr>
          <w:id w:val="565050523"/>
          <w:docPartObj>
            <w:docPartGallery w:val="Page Numbers (Top of Page)"/>
            <w:docPartUnique/>
          </w:docPartObj>
        </w:sdtPr>
        <w:sdtEndPr/>
        <w:sdtContent>
          <w:p w:rsidR="0099715B" w:rsidRPr="001D493C" w:rsidRDefault="0078111D" w:rsidP="001D493C">
            <w:pPr>
              <w:pStyle w:val="Footer"/>
              <w:tabs>
                <w:tab w:val="clear" w:pos="8640"/>
                <w:tab w:val="right" w:pos="9356"/>
              </w:tabs>
              <w:rPr>
                <w:color w:val="7F7F7F" w:themeColor="text1" w:themeTint="80"/>
                <w:sz w:val="18"/>
                <w:szCs w:val="18"/>
              </w:rPr>
            </w:pPr>
            <w:r w:rsidRPr="001D493C">
              <w:rPr>
                <w:color w:val="7F7F7F" w:themeColor="text1" w:themeTint="80"/>
                <w:sz w:val="18"/>
                <w:szCs w:val="18"/>
              </w:rPr>
              <w:t xml:space="preserve">NMBA English language skills registration standards policy – updated 26 May 2016 </w:t>
            </w:r>
            <w:r w:rsidR="001D493C">
              <w:rPr>
                <w:color w:val="7F7F7F" w:themeColor="text1" w:themeTint="80"/>
                <w:sz w:val="18"/>
                <w:szCs w:val="18"/>
              </w:rPr>
              <w:tab/>
              <w:t xml:space="preserve">                      </w:t>
            </w:r>
            <w:r w:rsidRPr="001D493C">
              <w:rPr>
                <w:color w:val="7F7F7F" w:themeColor="text1" w:themeTint="80"/>
                <w:sz w:val="18"/>
                <w:szCs w:val="18"/>
              </w:rPr>
              <w:t xml:space="preserve">Page </w:t>
            </w:r>
            <w:r w:rsidRPr="001D493C">
              <w:rPr>
                <w:b/>
                <w:color w:val="7F7F7F" w:themeColor="text1" w:themeTint="80"/>
                <w:sz w:val="18"/>
                <w:szCs w:val="18"/>
              </w:rPr>
              <w:fldChar w:fldCharType="begin"/>
            </w:r>
            <w:r w:rsidRPr="001D493C">
              <w:rPr>
                <w:b/>
                <w:color w:val="7F7F7F" w:themeColor="text1" w:themeTint="80"/>
                <w:sz w:val="18"/>
                <w:szCs w:val="18"/>
              </w:rPr>
              <w:instrText xml:space="preserve"> PAGE </w:instrText>
            </w:r>
            <w:r w:rsidRPr="001D493C">
              <w:rPr>
                <w:b/>
                <w:color w:val="7F7F7F" w:themeColor="text1" w:themeTint="80"/>
                <w:sz w:val="18"/>
                <w:szCs w:val="18"/>
              </w:rPr>
              <w:fldChar w:fldCharType="separate"/>
            </w:r>
            <w:r w:rsidR="001F7832">
              <w:rPr>
                <w:b/>
                <w:noProof/>
                <w:color w:val="7F7F7F" w:themeColor="text1" w:themeTint="80"/>
                <w:sz w:val="18"/>
                <w:szCs w:val="18"/>
              </w:rPr>
              <w:t>3</w:t>
            </w:r>
            <w:r w:rsidRPr="001D493C">
              <w:rPr>
                <w:b/>
                <w:color w:val="7F7F7F" w:themeColor="text1" w:themeTint="80"/>
                <w:sz w:val="18"/>
                <w:szCs w:val="18"/>
              </w:rPr>
              <w:fldChar w:fldCharType="end"/>
            </w:r>
            <w:r w:rsidRPr="001D493C">
              <w:rPr>
                <w:color w:val="7F7F7F" w:themeColor="text1" w:themeTint="80"/>
                <w:sz w:val="18"/>
                <w:szCs w:val="18"/>
              </w:rPr>
              <w:t xml:space="preserve"> of </w:t>
            </w:r>
            <w:r w:rsidRPr="001D493C">
              <w:rPr>
                <w:b/>
                <w:color w:val="7F7F7F" w:themeColor="text1" w:themeTint="80"/>
                <w:sz w:val="18"/>
                <w:szCs w:val="18"/>
              </w:rPr>
              <w:fldChar w:fldCharType="begin"/>
            </w:r>
            <w:r w:rsidRPr="001D493C">
              <w:rPr>
                <w:b/>
                <w:color w:val="7F7F7F" w:themeColor="text1" w:themeTint="80"/>
                <w:sz w:val="18"/>
                <w:szCs w:val="18"/>
              </w:rPr>
              <w:instrText xml:space="preserve"> NUMPAGES  </w:instrText>
            </w:r>
            <w:r w:rsidRPr="001D493C">
              <w:rPr>
                <w:b/>
                <w:color w:val="7F7F7F" w:themeColor="text1" w:themeTint="80"/>
                <w:sz w:val="18"/>
                <w:szCs w:val="18"/>
              </w:rPr>
              <w:fldChar w:fldCharType="separate"/>
            </w:r>
            <w:r w:rsidR="001F7832">
              <w:rPr>
                <w:b/>
                <w:noProof/>
                <w:color w:val="7F7F7F" w:themeColor="text1" w:themeTint="80"/>
                <w:sz w:val="18"/>
                <w:szCs w:val="18"/>
              </w:rPr>
              <w:t>3</w:t>
            </w:r>
            <w:r w:rsidRPr="001D493C">
              <w:rPr>
                <w:b/>
                <w:color w:val="7F7F7F" w:themeColor="text1" w:themeTint="80"/>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B" w:rsidRPr="00E77E23" w:rsidRDefault="0099715B" w:rsidP="003C13F1">
    <w:pPr>
      <w:pStyle w:val="AHPRAfirstpagefooter"/>
      <w:spacing w:after="0"/>
      <w:jc w:val="center"/>
    </w:pPr>
    <w:r>
      <w:rPr>
        <w:color w:val="007DC3"/>
      </w:rPr>
      <w:t>Nursing and Midwifery</w:t>
    </w:r>
    <w:r w:rsidRPr="00E77E23">
      <w:t xml:space="preserve"> </w:t>
    </w:r>
    <w:r>
      <w:t>Board of Australia</w:t>
    </w:r>
  </w:p>
  <w:p w:rsidR="0099715B" w:rsidRDefault="0099715B" w:rsidP="001D493C">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5B" w:rsidRDefault="0099715B" w:rsidP="00FC2881">
      <w:pPr>
        <w:spacing w:after="0"/>
      </w:pPr>
      <w:r>
        <w:separator/>
      </w:r>
    </w:p>
    <w:p w:rsidR="0099715B" w:rsidRDefault="0099715B"/>
  </w:footnote>
  <w:footnote w:type="continuationSeparator" w:id="0">
    <w:p w:rsidR="0099715B" w:rsidRDefault="0099715B" w:rsidP="00FC2881">
      <w:pPr>
        <w:spacing w:after="0"/>
      </w:pPr>
      <w:r>
        <w:continuationSeparator/>
      </w:r>
    </w:p>
    <w:p w:rsidR="0099715B" w:rsidRDefault="00997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3C" w:rsidRDefault="001D4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B" w:rsidRPr="00315933" w:rsidRDefault="0099715B" w:rsidP="00D638E0">
    <w:pPr>
      <w:ind w:left="-1134" w:right="-567"/>
      <w:jc w:val="right"/>
    </w:pPr>
  </w:p>
  <w:p w:rsidR="0099715B" w:rsidRDefault="009971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B" w:rsidRDefault="0099715B" w:rsidP="00E844A0">
    <w:r w:rsidRPr="003C13F1">
      <w:rPr>
        <w:noProof/>
        <w:lang w:eastAsia="en-AU"/>
      </w:rPr>
      <w:drawing>
        <wp:anchor distT="0" distB="0" distL="114300" distR="114300" simplePos="0" relativeHeight="251659264" behindDoc="0" locked="0" layoutInCell="1" allowOverlap="1">
          <wp:simplePos x="0" y="0"/>
          <wp:positionH relativeFrom="margin">
            <wp:posOffset>4757496</wp:posOffset>
          </wp:positionH>
          <wp:positionV relativeFrom="margin">
            <wp:posOffset>-1707972</wp:posOffset>
          </wp:positionV>
          <wp:extent cx="1651051" cy="1316736"/>
          <wp:effectExtent l="19050" t="0" r="5665" b="0"/>
          <wp:wrapSquare wrapText="bothSides"/>
          <wp:docPr id="8" name="Picture 2" descr="AHPRA_Nursing&amp;Midwife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99715B" w:rsidRDefault="0099715B" w:rsidP="00E844A0"/>
  <w:p w:rsidR="0099715B" w:rsidRDefault="0099715B" w:rsidP="00E844A0"/>
  <w:p w:rsidR="0099715B" w:rsidRDefault="0099715B" w:rsidP="00E844A0"/>
  <w:p w:rsidR="0099715B" w:rsidRDefault="0099715B" w:rsidP="00E844A0"/>
  <w:p w:rsidR="0099715B" w:rsidRDefault="0099715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8F"/>
    <w:multiLevelType w:val="hybridMultilevel"/>
    <w:tmpl w:val="3EBC2F22"/>
    <w:lvl w:ilvl="0" w:tplc="04090019">
      <w:start w:val="1"/>
      <w:numFmt w:val="lowerLetter"/>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 w15:restartNumberingAfterBreak="0">
    <w:nsid w:val="03CD068B"/>
    <w:multiLevelType w:val="multilevel"/>
    <w:tmpl w:val="5D8655B8"/>
    <w:numStyleLink w:val="AHPRANumberedheadinglist"/>
  </w:abstractNum>
  <w:abstractNum w:abstractNumId="2"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86CC8"/>
    <w:multiLevelType w:val="hybridMultilevel"/>
    <w:tmpl w:val="E9CE4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0931A10"/>
    <w:multiLevelType w:val="hybridMultilevel"/>
    <w:tmpl w:val="0DBEA148"/>
    <w:lvl w:ilvl="0" w:tplc="E7066C94">
      <w:start w:val="1"/>
      <w:numFmt w:val="decimal"/>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6" w15:restartNumberingAfterBreak="0">
    <w:nsid w:val="24115099"/>
    <w:multiLevelType w:val="hybridMultilevel"/>
    <w:tmpl w:val="1E005078"/>
    <w:lvl w:ilvl="0" w:tplc="0C09000F">
      <w:start w:val="1"/>
      <w:numFmt w:val="decimal"/>
      <w:lvlText w:val="%1."/>
      <w:lvlJc w:val="left"/>
      <w:pPr>
        <w:ind w:left="432" w:hanging="444"/>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7" w15:restartNumberingAfterBreak="0">
    <w:nsid w:val="330A4FA0"/>
    <w:multiLevelType w:val="hybridMultilevel"/>
    <w:tmpl w:val="E5A8EA20"/>
    <w:lvl w:ilvl="0" w:tplc="0C09000F">
      <w:start w:val="1"/>
      <w:numFmt w:val="decimal"/>
      <w:lvlText w:val="%1."/>
      <w:lvlJc w:val="left"/>
      <w:pPr>
        <w:ind w:left="432" w:hanging="444"/>
      </w:pPr>
      <w:rPr>
        <w:rFonts w:hint="default"/>
      </w:rPr>
    </w:lvl>
    <w:lvl w:ilvl="1" w:tplc="60981FEE">
      <w:start w:val="1"/>
      <w:numFmt w:val="lowerLetter"/>
      <w:lvlText w:val="%2."/>
      <w:lvlJc w:val="left"/>
      <w:pPr>
        <w:ind w:left="1434" w:hanging="360"/>
      </w:pPr>
      <w:rPr>
        <w:rFonts w:hint="default"/>
      </w:r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8"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B1524"/>
    <w:multiLevelType w:val="hybridMultilevel"/>
    <w:tmpl w:val="F51CF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1" w15:restartNumberingAfterBreak="0">
    <w:nsid w:val="4B997C38"/>
    <w:multiLevelType w:val="hybridMultilevel"/>
    <w:tmpl w:val="A54A8904"/>
    <w:lvl w:ilvl="0" w:tplc="E7066C94">
      <w:start w:val="1"/>
      <w:numFmt w:val="decimal"/>
      <w:lvlText w:val="%1."/>
      <w:lvlJc w:val="left"/>
      <w:pPr>
        <w:ind w:left="1074" w:hanging="720"/>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12" w15:restartNumberingAfterBreak="0">
    <w:nsid w:val="5B9F2057"/>
    <w:multiLevelType w:val="hybridMultilevel"/>
    <w:tmpl w:val="DF50C4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8F6EB8"/>
    <w:multiLevelType w:val="hybridMultilevel"/>
    <w:tmpl w:val="AE7414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3086CD9"/>
    <w:multiLevelType w:val="hybridMultilevel"/>
    <w:tmpl w:val="7D06C11E"/>
    <w:lvl w:ilvl="0" w:tplc="9CE0BF0A">
      <w:start w:val="1"/>
      <w:numFmt w:val="decimal"/>
      <w:lvlText w:val="%1."/>
      <w:lvlJc w:val="left"/>
      <w:pPr>
        <w:ind w:left="438" w:hanging="444"/>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8342EB"/>
    <w:multiLevelType w:val="hybridMultilevel"/>
    <w:tmpl w:val="E766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2D02E4"/>
    <w:multiLevelType w:val="multilevel"/>
    <w:tmpl w:val="A8240A3C"/>
    <w:numStyleLink w:val="AHPRANumberedlist"/>
  </w:abstractNum>
  <w:abstractNum w:abstractNumId="18" w15:restartNumberingAfterBreak="0">
    <w:nsid w:val="7A96329A"/>
    <w:multiLevelType w:val="hybridMultilevel"/>
    <w:tmpl w:val="E110BA06"/>
    <w:lvl w:ilvl="0" w:tplc="E7066C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4"/>
  </w:num>
  <w:num w:numId="5">
    <w:abstractNumId w:val="8"/>
  </w:num>
  <w:num w:numId="6">
    <w:abstractNumId w:val="1"/>
  </w:num>
  <w:num w:numId="7">
    <w:abstractNumId w:val="17"/>
  </w:num>
  <w:num w:numId="8">
    <w:abstractNumId w:val="9"/>
  </w:num>
  <w:num w:numId="9">
    <w:abstractNumId w:val="12"/>
  </w:num>
  <w:num w:numId="10">
    <w:abstractNumId w:val="13"/>
  </w:num>
  <w:num w:numId="11">
    <w:abstractNumId w:val="3"/>
  </w:num>
  <w:num w:numId="12">
    <w:abstractNumId w:val="18"/>
  </w:num>
  <w:num w:numId="13">
    <w:abstractNumId w:val="5"/>
  </w:num>
  <w:num w:numId="14">
    <w:abstractNumId w:val="16"/>
  </w:num>
  <w:num w:numId="15">
    <w:abstractNumId w:val="11"/>
  </w:num>
  <w:num w:numId="16">
    <w:abstractNumId w:val="14"/>
  </w:num>
  <w:num w:numId="17">
    <w:abstractNumId w:val="6"/>
  </w:num>
  <w:num w:numId="18">
    <w:abstractNumId w:val="10"/>
  </w:num>
  <w:num w:numId="19">
    <w:abstractNumId w:val="7"/>
  </w:num>
  <w:num w:numId="20">
    <w:abstractNumId w:val="0"/>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16C74"/>
    <w:rsid w:val="00000033"/>
    <w:rsid w:val="00006922"/>
    <w:rsid w:val="000334D7"/>
    <w:rsid w:val="00071439"/>
    <w:rsid w:val="000945FB"/>
    <w:rsid w:val="00095CEB"/>
    <w:rsid w:val="000A6BF7"/>
    <w:rsid w:val="0010139F"/>
    <w:rsid w:val="001017A4"/>
    <w:rsid w:val="00144DEF"/>
    <w:rsid w:val="001C425C"/>
    <w:rsid w:val="001D493C"/>
    <w:rsid w:val="001E1E31"/>
    <w:rsid w:val="001E2849"/>
    <w:rsid w:val="001E4A94"/>
    <w:rsid w:val="001E5621"/>
    <w:rsid w:val="001F7832"/>
    <w:rsid w:val="00220A3B"/>
    <w:rsid w:val="0028013F"/>
    <w:rsid w:val="00295B44"/>
    <w:rsid w:val="002B2D48"/>
    <w:rsid w:val="002C08FB"/>
    <w:rsid w:val="002C34EA"/>
    <w:rsid w:val="00303BE1"/>
    <w:rsid w:val="00305AFC"/>
    <w:rsid w:val="0031738E"/>
    <w:rsid w:val="003354E4"/>
    <w:rsid w:val="003855BC"/>
    <w:rsid w:val="003C13F1"/>
    <w:rsid w:val="003C610F"/>
    <w:rsid w:val="003D6DBD"/>
    <w:rsid w:val="003E00B5"/>
    <w:rsid w:val="003E3268"/>
    <w:rsid w:val="003F2F06"/>
    <w:rsid w:val="00405C0A"/>
    <w:rsid w:val="00414F2C"/>
    <w:rsid w:val="00450B34"/>
    <w:rsid w:val="004606A7"/>
    <w:rsid w:val="004A4D2E"/>
    <w:rsid w:val="004A5E5D"/>
    <w:rsid w:val="004B747B"/>
    <w:rsid w:val="004D7537"/>
    <w:rsid w:val="004F5C05"/>
    <w:rsid w:val="00514849"/>
    <w:rsid w:val="005330A7"/>
    <w:rsid w:val="00553A4C"/>
    <w:rsid w:val="00554335"/>
    <w:rsid w:val="005565CE"/>
    <w:rsid w:val="005708AE"/>
    <w:rsid w:val="005A0FA9"/>
    <w:rsid w:val="005C5932"/>
    <w:rsid w:val="005C6817"/>
    <w:rsid w:val="00616043"/>
    <w:rsid w:val="00640B2C"/>
    <w:rsid w:val="00667CAD"/>
    <w:rsid w:val="00681D5E"/>
    <w:rsid w:val="006C0257"/>
    <w:rsid w:val="006C0E29"/>
    <w:rsid w:val="006D30FE"/>
    <w:rsid w:val="006D3757"/>
    <w:rsid w:val="006E38F0"/>
    <w:rsid w:val="006F7348"/>
    <w:rsid w:val="006F796D"/>
    <w:rsid w:val="0070155F"/>
    <w:rsid w:val="00716C74"/>
    <w:rsid w:val="007372A4"/>
    <w:rsid w:val="00741B04"/>
    <w:rsid w:val="0076115C"/>
    <w:rsid w:val="007664F3"/>
    <w:rsid w:val="0078111D"/>
    <w:rsid w:val="007A35B9"/>
    <w:rsid w:val="007B77D6"/>
    <w:rsid w:val="007C0B6E"/>
    <w:rsid w:val="007D4836"/>
    <w:rsid w:val="007E2C84"/>
    <w:rsid w:val="007F0095"/>
    <w:rsid w:val="008338F7"/>
    <w:rsid w:val="00836397"/>
    <w:rsid w:val="00845054"/>
    <w:rsid w:val="00852D1C"/>
    <w:rsid w:val="00856147"/>
    <w:rsid w:val="00860F40"/>
    <w:rsid w:val="008615C9"/>
    <w:rsid w:val="00864020"/>
    <w:rsid w:val="008979D5"/>
    <w:rsid w:val="008A4C3B"/>
    <w:rsid w:val="008B2AD7"/>
    <w:rsid w:val="008C6145"/>
    <w:rsid w:val="008C738C"/>
    <w:rsid w:val="008D6B7E"/>
    <w:rsid w:val="008D7845"/>
    <w:rsid w:val="00915CA3"/>
    <w:rsid w:val="00923B23"/>
    <w:rsid w:val="0092765E"/>
    <w:rsid w:val="00937ED0"/>
    <w:rsid w:val="00952797"/>
    <w:rsid w:val="009777D3"/>
    <w:rsid w:val="009859E6"/>
    <w:rsid w:val="0099715B"/>
    <w:rsid w:val="00997D7B"/>
    <w:rsid w:val="009A0A5D"/>
    <w:rsid w:val="009C6933"/>
    <w:rsid w:val="00A04C7A"/>
    <w:rsid w:val="00A058E5"/>
    <w:rsid w:val="00A10C1A"/>
    <w:rsid w:val="00A2072E"/>
    <w:rsid w:val="00A237BB"/>
    <w:rsid w:val="00A82078"/>
    <w:rsid w:val="00A838C8"/>
    <w:rsid w:val="00A91C42"/>
    <w:rsid w:val="00A9516B"/>
    <w:rsid w:val="00A9780A"/>
    <w:rsid w:val="00AA00AF"/>
    <w:rsid w:val="00AA2FC9"/>
    <w:rsid w:val="00AB283D"/>
    <w:rsid w:val="00AD312E"/>
    <w:rsid w:val="00AE3EAF"/>
    <w:rsid w:val="00B024B0"/>
    <w:rsid w:val="00B304EC"/>
    <w:rsid w:val="00B51748"/>
    <w:rsid w:val="00B57198"/>
    <w:rsid w:val="00B85023"/>
    <w:rsid w:val="00B91200"/>
    <w:rsid w:val="00BA469B"/>
    <w:rsid w:val="00BB4A5B"/>
    <w:rsid w:val="00BF2534"/>
    <w:rsid w:val="00BF79DC"/>
    <w:rsid w:val="00C35DE1"/>
    <w:rsid w:val="00C524AA"/>
    <w:rsid w:val="00C54689"/>
    <w:rsid w:val="00C609E2"/>
    <w:rsid w:val="00C81B3A"/>
    <w:rsid w:val="00CB6C08"/>
    <w:rsid w:val="00CD0DCA"/>
    <w:rsid w:val="00D12F61"/>
    <w:rsid w:val="00D201C6"/>
    <w:rsid w:val="00D31FF2"/>
    <w:rsid w:val="00D638E0"/>
    <w:rsid w:val="00D716BA"/>
    <w:rsid w:val="00D8404D"/>
    <w:rsid w:val="00DC2952"/>
    <w:rsid w:val="00DE2A6D"/>
    <w:rsid w:val="00DF1AB7"/>
    <w:rsid w:val="00E07C02"/>
    <w:rsid w:val="00E12B06"/>
    <w:rsid w:val="00E15BF6"/>
    <w:rsid w:val="00E71CB9"/>
    <w:rsid w:val="00E73698"/>
    <w:rsid w:val="00E8251C"/>
    <w:rsid w:val="00E844A0"/>
    <w:rsid w:val="00F13ED2"/>
    <w:rsid w:val="00F27ACB"/>
    <w:rsid w:val="00F3616F"/>
    <w:rsid w:val="00F6618F"/>
    <w:rsid w:val="00F66578"/>
    <w:rsid w:val="00F70DD5"/>
    <w:rsid w:val="00F73165"/>
    <w:rsid w:val="00F8003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2" type="connector" idref="#AutoShape 3"/>
      </o:rules>
    </o:shapelayout>
  </w:shapeDefaults>
  <w:decimalSymbol w:val="."/>
  <w:listSeparator w:val=","/>
  <w15:docId w15:val="{F3526DB9-3390-4374-AC8D-C0A4FDC6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customStyle="1" w:styleId="AHPRAHeadline">
    <w:name w:val="AHPRA Headline"/>
    <w:basedOn w:val="Normal"/>
    <w:qFormat/>
    <w:rsid w:val="0099715B"/>
    <w:rPr>
      <w:color w:val="008EC4"/>
      <w:sz w:val="28"/>
    </w:rPr>
  </w:style>
  <w:style w:type="paragraph" w:customStyle="1" w:styleId="AHPRASubhead">
    <w:name w:val="AHPRA Subhead"/>
    <w:basedOn w:val="Normal"/>
    <w:qFormat/>
    <w:rsid w:val="0099715B"/>
    <w:rPr>
      <w:b/>
      <w:color w:val="008EC4"/>
      <w:sz w:val="20"/>
    </w:rPr>
  </w:style>
  <w:style w:type="paragraph" w:styleId="ListParagraph">
    <w:name w:val="List Paragraph"/>
    <w:basedOn w:val="Normal"/>
    <w:qFormat/>
    <w:rsid w:val="0099715B"/>
    <w:pPr>
      <w:ind w:left="720"/>
      <w:contextualSpacing/>
    </w:pPr>
    <w:rPr>
      <w:rFonts w:ascii="Cambria" w:hAnsi="Cambria"/>
    </w:rPr>
  </w:style>
  <w:style w:type="paragraph" w:customStyle="1" w:styleId="Default">
    <w:name w:val="Default"/>
    <w:rsid w:val="0099715B"/>
    <w:pPr>
      <w:autoSpaceDE w:val="0"/>
      <w:autoSpaceDN w:val="0"/>
      <w:adjustRightInd w:val="0"/>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qf.edu.au/wp-content/uploads/2013/06/Volume-of-learning-explanation-v2-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f.edu.au/aqf/in-detail/aqf-level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CE68-253A-49E2-BE42-9A9DC702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1</TotalTime>
  <Pages>3</Pages>
  <Words>1047</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English language skills registration standard policy</vt:lpstr>
    </vt:vector>
  </TitlesOfParts>
  <Company>Johanna Villani Design</Company>
  <LinksUpToDate>false</LinksUpToDate>
  <CharactersWithSpaces>6915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skills registration standard policy</dc:title>
  <dc:subject>Policy</dc:subject>
  <dc:creator>Nursing and Midwifery Board</dc:creator>
  <cp:keywords>26 May 2016</cp:keywords>
  <cp:lastModifiedBy>Tara Johnson</cp:lastModifiedBy>
  <cp:revision>3</cp:revision>
  <cp:lastPrinted>2016-06-16T03:15:00Z</cp:lastPrinted>
  <dcterms:created xsi:type="dcterms:W3CDTF">2016-06-16T03:15:00Z</dcterms:created>
  <dcterms:modified xsi:type="dcterms:W3CDTF">2016-06-16T03:15:00Z</dcterms:modified>
</cp:coreProperties>
</file>